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b w:val="0"/>
          <w:bCs w:val="0"/>
          <w:color w:val="000000" w:themeColor="text1"/>
          <w:kern w:val="2"/>
          <w:sz w:val="21"/>
          <w:szCs w:val="22"/>
          <w14:textFill>
            <w14:solidFill>
              <w14:schemeClr w14:val="tx1"/>
            </w14:solidFill>
          </w14:textFill>
        </w:rPr>
        <w:id w:val="147461335"/>
        <w:docPartObj>
          <w:docPartGallery w:val="Table of Contents"/>
          <w:docPartUnique/>
        </w:docPartObj>
      </w:sdtPr>
      <w:sdtEndPr>
        <w:rPr>
          <w:rFonts w:ascii="Times New Roman" w:hAnsi="Times New Roman" w:cs="Times New Roman" w:eastAsiaTheme="minorEastAsia"/>
          <w:b w:val="0"/>
          <w:bCs w:val="0"/>
          <w:color w:val="000000" w:themeColor="text1"/>
          <w:kern w:val="2"/>
          <w:sz w:val="21"/>
          <w:szCs w:val="22"/>
          <w14:textFill>
            <w14:solidFill>
              <w14:schemeClr w14:val="tx1"/>
            </w14:solidFill>
          </w14:textFill>
        </w:rPr>
      </w:sdtEndPr>
      <w:sdtContent>
        <w:p>
          <w:pPr>
            <w:pStyle w:val="45"/>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14:textFill>
                <w14:solidFill>
                  <w14:schemeClr w14:val="tx1"/>
                </w14:solidFill>
              </w14:textFill>
            </w:rPr>
            <w:t>目录</w:t>
          </w:r>
          <w:r>
            <w:rPr>
              <w:rFonts w:cs="Times New Roman"/>
              <w:color w:val="000000" w:themeColor="text1"/>
              <w:sz w:val="21"/>
              <w:szCs w:val="21"/>
              <w14:textFill>
                <w14:solidFill>
                  <w14:schemeClr w14:val="tx1"/>
                </w14:solidFill>
              </w14:textFill>
            </w:rPr>
            <w:fldChar w:fldCharType="begin"/>
          </w:r>
          <w:r>
            <w:rPr>
              <w:rFonts w:cs="Times New Roman"/>
              <w:color w:val="000000" w:themeColor="text1"/>
              <w:sz w:val="21"/>
              <w:szCs w:val="21"/>
              <w14:textFill>
                <w14:solidFill>
                  <w14:schemeClr w14:val="tx1"/>
                </w14:solidFill>
              </w14:textFill>
            </w:rPr>
            <w:instrText xml:space="preserve">TOC \o "1-3" \h \u </w:instrText>
          </w:r>
          <w:r>
            <w:rPr>
              <w:rFonts w:cs="Times New Roman"/>
              <w:color w:val="000000" w:themeColor="text1"/>
              <w:sz w:val="21"/>
              <w:szCs w:val="21"/>
              <w14:textFill>
                <w14:solidFill>
                  <w14:schemeClr w14:val="tx1"/>
                </w14:solidFill>
              </w14:textFill>
            </w:rPr>
            <w:fldChar w:fldCharType="separate"/>
          </w:r>
        </w:p>
        <w:p>
          <w:pPr>
            <w:pStyle w:val="73"/>
            <w:tabs>
              <w:tab w:val="right" w:leader="dot" w:pos="9070"/>
              <w:tab w:val="clear" w:pos="905"/>
              <w:tab w:val="clear" w:pos="906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_Toc28319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s="Times New Roman"/>
              <w:color w:val="000000" w:themeColor="text1"/>
              <w:szCs w:val="44"/>
              <w:lang w:val="en-US" w:eastAsia="zh-CN"/>
              <w14:textFill>
                <w14:solidFill>
                  <w14:schemeClr w14:val="tx1"/>
                </w14:solidFill>
              </w14:textFill>
            </w:rPr>
            <w:t>1</w:t>
          </w:r>
          <w:r>
            <w:rPr>
              <w:rFonts w:hint="eastAsia" w:ascii="Times New Roman" w:hAnsi="Times New Roman" w:eastAsia="黑体" w:cs="Times New Roman"/>
              <w:color w:val="000000" w:themeColor="text1"/>
              <w:szCs w:val="44"/>
              <w:lang w:val="en-US" w:eastAsia="zh-CN"/>
              <w14:textFill>
                <w14:solidFill>
                  <w14:schemeClr w14:val="tx1"/>
                </w14:solidFill>
              </w14:textFill>
            </w:rPr>
            <w:t>概 述</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_Toc28319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rFonts w:ascii="Times New Roman" w:hAnsi="Times New Roman"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lang w:val="en-US" w:eastAsia="zh-CN"/>
              <w14:textFill>
                <w14:solidFill>
                  <w14:schemeClr w14:val="tx1"/>
                </w14:solidFill>
              </w14:textFill>
            </w:rPr>
            <w:fldChar w:fldCharType="begin"/>
          </w:r>
          <w:r>
            <w:rPr>
              <w:rFonts w:ascii="Times New Roman" w:hAnsi="Times New Roman" w:cs="Times New Roman"/>
              <w:color w:val="000000" w:themeColor="text1"/>
              <w:szCs w:val="21"/>
              <w:lang w:val="en-US" w:eastAsia="zh-CN"/>
              <w14:textFill>
                <w14:solidFill>
                  <w14:schemeClr w14:val="tx1"/>
                </w14:solidFill>
              </w14:textFill>
            </w:rPr>
            <w:instrText xml:space="preserve"> HYPERLINK \l _Toc25525 </w:instrText>
          </w:r>
          <w:r>
            <w:rPr>
              <w:rFonts w:ascii="Times New Roman" w:hAnsi="Times New Roman" w:cs="Times New Roman"/>
              <w:color w:val="000000" w:themeColor="text1"/>
              <w:szCs w:val="21"/>
              <w:lang w:val="en-US" w:eastAsia="zh-CN"/>
              <w14:textFill>
                <w14:solidFill>
                  <w14:schemeClr w14:val="tx1"/>
                </w14:solidFill>
              </w14:textFill>
            </w:rPr>
            <w:fldChar w:fldCharType="separate"/>
          </w:r>
          <w:r>
            <w:rPr>
              <w:rFonts w:ascii="Times New Roman" w:hAnsi="Times New Roman" w:cs="Times New Roman"/>
              <w:color w:val="000000" w:themeColor="text1"/>
              <w:szCs w:val="21"/>
              <w:lang w:val="en-US" w:eastAsia="zh-CN"/>
              <w14:textFill>
                <w14:solidFill>
                  <w14:schemeClr w14:val="tx1"/>
                </w14:solidFill>
              </w14:textFill>
            </w:rPr>
            <w:t>1.1</w:t>
          </w:r>
          <w:r>
            <w:rPr>
              <w:rFonts w:hint="eastAsia" w:ascii="Times New Roman" w:hAnsi="Times New Roman" w:cs="Times New Roman"/>
              <w:color w:val="000000" w:themeColor="text1"/>
              <w:szCs w:val="21"/>
              <w:lang w:val="en-US" w:eastAsia="zh-CN"/>
              <w14:textFill>
                <w14:solidFill>
                  <w14:schemeClr w14:val="tx1"/>
                </w14:solidFill>
              </w14:textFill>
            </w:rPr>
            <w:t>项目背景</w:t>
          </w:r>
          <w:r>
            <w:rPr>
              <w:rFonts w:ascii="Times New Roman" w:hAnsi="Times New Roman" w:cs="Times New Roman"/>
              <w:color w:val="000000" w:themeColor="text1"/>
              <w:szCs w:val="21"/>
              <w:lang w:val="en-US" w:eastAsia="zh-CN"/>
              <w14:textFill>
                <w14:solidFill>
                  <w14:schemeClr w14:val="tx1"/>
                </w14:solidFill>
              </w14:textFill>
            </w:rPr>
            <w:tab/>
          </w:r>
          <w:r>
            <w:rPr>
              <w:rFonts w:ascii="Times New Roman" w:hAnsi="Times New Roman" w:cs="Times New Roman"/>
              <w:color w:val="000000" w:themeColor="text1"/>
              <w:szCs w:val="21"/>
              <w:lang w:val="en-US" w:eastAsia="zh-CN"/>
              <w14:textFill>
                <w14:solidFill>
                  <w14:schemeClr w14:val="tx1"/>
                </w14:solidFill>
              </w14:textFill>
            </w:rPr>
            <w:fldChar w:fldCharType="begin"/>
          </w:r>
          <w:r>
            <w:rPr>
              <w:rFonts w:ascii="Times New Roman" w:hAnsi="Times New Roman" w:cs="Times New Roman"/>
              <w:color w:val="000000" w:themeColor="text1"/>
              <w:szCs w:val="21"/>
              <w:lang w:val="en-US" w:eastAsia="zh-CN"/>
              <w14:textFill>
                <w14:solidFill>
                  <w14:schemeClr w14:val="tx1"/>
                </w14:solidFill>
              </w14:textFill>
            </w:rPr>
            <w:instrText xml:space="preserve"> PAGEREF _Toc25525 \h </w:instrText>
          </w:r>
          <w:r>
            <w:rPr>
              <w:rFonts w:ascii="Times New Roman" w:hAnsi="Times New Roman" w:cs="Times New Roman"/>
              <w:color w:val="000000" w:themeColor="text1"/>
              <w:szCs w:val="21"/>
              <w:lang w:val="en-US" w:eastAsia="zh-CN"/>
              <w14:textFill>
                <w14:solidFill>
                  <w14:schemeClr w14:val="tx1"/>
                </w14:solidFill>
              </w14:textFill>
            </w:rPr>
            <w:fldChar w:fldCharType="separate"/>
          </w:r>
          <w:r>
            <w:rPr>
              <w:rFonts w:ascii="Times New Roman" w:hAnsi="Times New Roman" w:cs="Times New Roman"/>
              <w:color w:val="000000" w:themeColor="text1"/>
              <w:szCs w:val="21"/>
              <w:lang w:val="en-US" w:eastAsia="zh-CN"/>
              <w14:textFill>
                <w14:solidFill>
                  <w14:schemeClr w14:val="tx1"/>
                </w14:solidFill>
              </w14:textFill>
            </w:rPr>
            <w:t>1</w:t>
          </w:r>
          <w:r>
            <w:rPr>
              <w:rFonts w:ascii="Times New Roman" w:hAnsi="Times New Roman" w:cs="Times New Roman"/>
              <w:color w:val="000000" w:themeColor="text1"/>
              <w:szCs w:val="21"/>
              <w:lang w:val="en-US" w:eastAsia="zh-CN"/>
              <w14:textFill>
                <w14:solidFill>
                  <w14:schemeClr w14:val="tx1"/>
                </w14:solidFill>
              </w14:textFill>
            </w:rPr>
            <w:fldChar w:fldCharType="end"/>
          </w:r>
          <w:r>
            <w:rPr>
              <w:rFonts w:ascii="Times New Roman" w:hAnsi="Times New Roman" w:cs="Times New Roman"/>
              <w:color w:val="000000" w:themeColor="text1"/>
              <w:szCs w:val="21"/>
              <w:lang w:val="en-US" w:eastAsia="zh-CN"/>
              <w14:textFill>
                <w14:solidFill>
                  <w14:schemeClr w14:val="tx1"/>
                </w14:solidFill>
              </w14:textFill>
            </w:rPr>
            <w:fldChar w:fldCharType="end"/>
          </w:r>
        </w:p>
        <w:p>
          <w:pPr>
            <w:pStyle w:val="45"/>
            <w:tabs>
              <w:tab w:val="right" w:leader="dot" w:pos="907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_Toc771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lang w:val="en-US" w:eastAsia="zh-CN"/>
              <w14:textFill>
                <w14:solidFill>
                  <w14:schemeClr w14:val="tx1"/>
                </w14:solidFill>
              </w14:textFill>
            </w:rPr>
            <w:t>1.2</w:t>
          </w:r>
          <w:r>
            <w:rPr>
              <w:rFonts w:hint="eastAsia" w:ascii="Times New Roman" w:hAnsi="Times New Roman" w:cs="Times New Roman"/>
              <w:color w:val="000000" w:themeColor="text1"/>
              <w:szCs w:val="21"/>
              <w:lang w:val="en-US" w:eastAsia="zh-CN"/>
              <w14:textFill>
                <w14:solidFill>
                  <w14:schemeClr w14:val="tx1"/>
                </w14:solidFill>
              </w14:textFill>
            </w:rPr>
            <w:t>环境影响评价</w:t>
          </w:r>
          <w:r>
            <w:rPr>
              <w:rFonts w:hint="eastAsia" w:ascii="Times New Roman" w:hAnsi="Times New Roman" w:cs="Times New Roman"/>
              <w:color w:val="000000" w:themeColor="text1"/>
              <w:szCs w:val="21"/>
              <w14:textFill>
                <w14:solidFill>
                  <w14:schemeClr w14:val="tx1"/>
                </w14:solidFill>
              </w14:textFill>
            </w:rPr>
            <w:t>工作过程</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_Toc771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_Toc23641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lang w:val="en-US" w:eastAsia="zh-CN"/>
              <w14:textFill>
                <w14:solidFill>
                  <w14:schemeClr w14:val="tx1"/>
                </w14:solidFill>
              </w14:textFill>
            </w:rPr>
            <w:t>1.3</w:t>
          </w:r>
          <w:r>
            <w:rPr>
              <w:rFonts w:hint="eastAsia" w:ascii="Times New Roman" w:hAnsi="Times New Roman" w:cs="Times New Roman"/>
              <w:color w:val="000000" w:themeColor="text1"/>
              <w:szCs w:val="21"/>
              <w14:textFill>
                <w14:solidFill>
                  <w14:schemeClr w14:val="tx1"/>
                </w14:solidFill>
              </w14:textFill>
            </w:rPr>
            <w:t>项目主要评价内容及评价重点</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_Toc23641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_Toc20934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4分析判定相关情况</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_Toc20934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_Toc14241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5项目关注的主要环境问题及环境影响</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_Toc14241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21</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_Toc5214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6环境影响</w:t>
          </w:r>
          <w:r>
            <w:rPr>
              <w:rFonts w:hint="eastAsia" w:ascii="Times New Roman" w:hAnsi="Times New Roman" w:cs="Times New Roman"/>
              <w:color w:val="000000" w:themeColor="text1"/>
              <w:szCs w:val="21"/>
              <w14:textFill>
                <w14:solidFill>
                  <w14:schemeClr w14:val="tx1"/>
                </w14:solidFill>
              </w14:textFill>
            </w:rPr>
            <w:t>报告书主要结论</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_Toc5214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22</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73"/>
            <w:tabs>
              <w:tab w:val="right" w:leader="dot" w:pos="9070"/>
              <w:tab w:val="clear" w:pos="905"/>
              <w:tab w:val="clear" w:pos="906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_Toc28972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s="Times New Roman"/>
              <w:color w:val="000000" w:themeColor="text1"/>
              <w:szCs w:val="44"/>
              <w:lang w:val="en-US" w:eastAsia="zh-CN"/>
              <w14:textFill>
                <w14:solidFill>
                  <w14:schemeClr w14:val="tx1"/>
                </w14:solidFill>
              </w14:textFill>
            </w:rPr>
            <w:t>2</w:t>
          </w:r>
          <w:r>
            <w:rPr>
              <w:rFonts w:ascii="黑体" w:hAnsi="黑体" w:eastAsia="黑体"/>
              <w:color w:val="000000" w:themeColor="text1"/>
              <w:szCs w:val="44"/>
              <w14:textFill>
                <w14:solidFill>
                  <w14:schemeClr w14:val="tx1"/>
                </w14:solidFill>
              </w14:textFill>
            </w:rPr>
            <w:t>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_Toc28972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_Toc26597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2</w:t>
          </w:r>
          <w:r>
            <w:rPr>
              <w:rFonts w:ascii="Times New Roman" w:hAnsi="Times New Roman" w:eastAsia="黑体"/>
              <w:color w:val="000000" w:themeColor="text1"/>
              <w:szCs w:val="32"/>
              <w14:textFill>
                <w14:solidFill>
                  <w14:schemeClr w14:val="tx1"/>
                </w14:solidFill>
              </w14:textFill>
            </w:rPr>
            <w:t>.1</w:t>
          </w:r>
          <w:r>
            <w:rPr>
              <w:rFonts w:ascii="黑体" w:hAnsi="黑体" w:eastAsia="黑体"/>
              <w:color w:val="000000" w:themeColor="text1"/>
              <w:szCs w:val="32"/>
              <w14:textFill>
                <w14:solidFill>
                  <w14:schemeClr w14:val="tx1"/>
                </w14:solidFill>
              </w14:textFill>
            </w:rPr>
            <w:t>评价目的与原则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_Toc27067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2</w:t>
          </w:r>
          <w:r>
            <w:rPr>
              <w:rFonts w:ascii="Times New Roman" w:hAnsi="Times New Roman" w:eastAsia="黑体"/>
              <w:color w:val="000000" w:themeColor="text1"/>
              <w:szCs w:val="32"/>
              <w14:textFill>
                <w14:solidFill>
                  <w14:schemeClr w14:val="tx1"/>
                </w14:solidFill>
              </w14:textFill>
            </w:rPr>
            <w:t>.2</w:t>
          </w:r>
          <w:r>
            <w:rPr>
              <w:rFonts w:ascii="黑体" w:hAnsi="黑体" w:eastAsia="黑体"/>
              <w:color w:val="000000" w:themeColor="text1"/>
              <w:szCs w:val="32"/>
              <w14:textFill>
                <w14:solidFill>
                  <w14:schemeClr w14:val="tx1"/>
                </w14:solidFill>
              </w14:textFill>
            </w:rPr>
            <w:t>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_Toc18915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2</w:t>
          </w:r>
          <w:r>
            <w:rPr>
              <w:rFonts w:ascii="Times New Roman" w:hAnsi="Times New Roman" w:eastAsia="黑体"/>
              <w:color w:val="000000" w:themeColor="text1"/>
              <w:szCs w:val="32"/>
              <w14:textFill>
                <w14:solidFill>
                  <w14:schemeClr w14:val="tx1"/>
                </w14:solidFill>
              </w14:textFill>
            </w:rPr>
            <w:t>.3</w:t>
          </w:r>
          <w:r>
            <w:rPr>
              <w:rFonts w:hint="eastAsia" w:ascii="黑体" w:hAnsi="黑体" w:eastAsia="黑体"/>
              <w:color w:val="000000" w:themeColor="text1"/>
              <w:szCs w:val="32"/>
              <w14:textFill>
                <w14:solidFill>
                  <w14:schemeClr w14:val="tx1"/>
                </w14:solidFill>
              </w14:textFill>
            </w:rPr>
            <w:t>评价内容及评价重点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_Toc18915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_Toc29024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s="Times New Roman"/>
              <w:color w:val="000000" w:themeColor="text1"/>
              <w:szCs w:val="32"/>
              <w:lang w:val="en-US" w:eastAsia="zh-CN"/>
              <w14:textFill>
                <w14:solidFill>
                  <w14:schemeClr w14:val="tx1"/>
                </w14:solidFill>
              </w14:textFill>
            </w:rPr>
            <w:t>2.4</w:t>
          </w:r>
          <w:r>
            <w:rPr>
              <w:rFonts w:hint="eastAsia" w:ascii="黑体" w:hAnsi="黑体" w:eastAsia="黑体"/>
              <w:color w:val="000000" w:themeColor="text1"/>
              <w:szCs w:val="32"/>
              <w14:textFill>
                <w14:solidFill>
                  <w14:schemeClr w14:val="tx1"/>
                </w14:solidFill>
              </w14:textFill>
            </w:rPr>
            <w:t>评价时段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_Toc30782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s="Times New Roman"/>
              <w:color w:val="000000" w:themeColor="text1"/>
              <w:szCs w:val="32"/>
              <w:lang w:val="en-US" w:eastAsia="zh-CN"/>
              <w14:textFill>
                <w14:solidFill>
                  <w14:schemeClr w14:val="tx1"/>
                </w14:solidFill>
              </w14:textFill>
            </w:rPr>
            <w:t>2.5</w:t>
          </w:r>
          <w:r>
            <w:rPr>
              <w:rFonts w:hint="eastAsia" w:ascii="黑体" w:hAnsi="黑体" w:eastAsia="黑体"/>
              <w:color w:val="000000" w:themeColor="text1"/>
              <w:szCs w:val="32"/>
              <w14:textFill>
                <w14:solidFill>
                  <w14:schemeClr w14:val="tx1"/>
                </w14:solidFill>
              </w14:textFill>
            </w:rPr>
            <w:t>环境影响识别及评价因子筛选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_Toc30782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_Toc11285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s="Times New Roman"/>
              <w:color w:val="000000" w:themeColor="text1"/>
              <w:szCs w:val="32"/>
              <w:lang w:val="en-US" w:eastAsia="zh-CN"/>
              <w14:textFill>
                <w14:solidFill>
                  <w14:schemeClr w14:val="tx1"/>
                </w14:solidFill>
              </w14:textFill>
            </w:rPr>
            <w:t>2.6</w:t>
          </w:r>
          <w:r>
            <w:rPr>
              <w:rFonts w:ascii="黑体" w:hAnsi="黑体" w:eastAsia="黑体"/>
              <w:color w:val="000000" w:themeColor="text1"/>
              <w:szCs w:val="32"/>
              <w14:textFill>
                <w14:solidFill>
                  <w14:schemeClr w14:val="tx1"/>
                </w14:solidFill>
              </w14:textFill>
            </w:rPr>
            <w:t>项目所在区域环境功能区划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_Toc11285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_Toc13808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s="Times New Roman"/>
              <w:color w:val="000000" w:themeColor="text1"/>
              <w:szCs w:val="32"/>
              <w:lang w:val="en-US" w:eastAsia="zh-CN"/>
              <w14:textFill>
                <w14:solidFill>
                  <w14:schemeClr w14:val="tx1"/>
                </w14:solidFill>
              </w14:textFill>
            </w:rPr>
            <w:t>2.7</w:t>
          </w:r>
          <w:r>
            <w:rPr>
              <w:rFonts w:ascii="黑体" w:hAnsi="黑体" w:eastAsia="黑体"/>
              <w:color w:val="000000" w:themeColor="text1"/>
              <w:szCs w:val="32"/>
              <w14:textFill>
                <w14:solidFill>
                  <w14:schemeClr w14:val="tx1"/>
                </w14:solidFill>
              </w14:textFill>
            </w:rPr>
            <w:t>评价工作等级</w:t>
          </w:r>
          <w:r>
            <w:rPr>
              <w:rFonts w:hint="eastAsia" w:ascii="黑体" w:hAnsi="黑体" w:eastAsia="黑体"/>
              <w:color w:val="000000" w:themeColor="text1"/>
              <w:szCs w:val="32"/>
              <w14:textFill>
                <w14:solidFill>
                  <w14:schemeClr w14:val="tx1"/>
                </w14:solidFill>
              </w14:textFill>
            </w:rPr>
            <w:t>及评价范围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_Toc13808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_Toc27694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2.8</w:t>
          </w:r>
          <w:r>
            <w:rPr>
              <w:rFonts w:hint="eastAsia" w:ascii="黑体" w:hAnsi="黑体" w:eastAsia="黑体"/>
              <w:color w:val="000000" w:themeColor="text1"/>
              <w:szCs w:val="32"/>
              <w14:textFill>
                <w14:solidFill>
                  <w14:schemeClr w14:val="tx1"/>
                </w14:solidFill>
              </w14:textFill>
            </w:rPr>
            <w:t>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_Toc27694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_Toc16951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s="Times New Roman"/>
              <w:color w:val="000000" w:themeColor="text1"/>
              <w:szCs w:val="32"/>
              <w:lang w:val="en-US" w:eastAsia="zh-CN"/>
              <w14:textFill>
                <w14:solidFill>
                  <w14:schemeClr w14:val="tx1"/>
                </w14:solidFill>
              </w14:textFill>
            </w:rPr>
            <w:t>2.9</w:t>
          </w:r>
          <w:r>
            <w:rPr>
              <w:rFonts w:hint="eastAsia" w:ascii="黑体" w:hAnsi="黑体" w:eastAsia="黑体"/>
              <w:color w:val="000000" w:themeColor="text1"/>
              <w:szCs w:val="32"/>
              <w14:textFill>
                <w14:solidFill>
                  <w14:schemeClr w14:val="tx1"/>
                </w14:solidFill>
              </w14:textFill>
            </w:rPr>
            <w:t>环境保护目标及敏感区域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_Toc16951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73"/>
            <w:tabs>
              <w:tab w:val="right" w:leader="dot" w:pos="9070"/>
              <w:tab w:val="clear" w:pos="905"/>
              <w:tab w:val="clear" w:pos="906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_Toc14661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44"/>
              <w:lang w:val="en-US" w:eastAsia="zh-CN"/>
              <w14:textFill>
                <w14:solidFill>
                  <w14:schemeClr w14:val="tx1"/>
                </w14:solidFill>
              </w14:textFill>
            </w:rPr>
            <w:t>3</w:t>
          </w:r>
          <w:r>
            <w:rPr>
              <w:rFonts w:ascii="黑体" w:hAnsi="黑体" w:eastAsia="黑体"/>
              <w:color w:val="000000" w:themeColor="text1"/>
              <w:szCs w:val="44"/>
              <w14:textFill>
                <w14:solidFill>
                  <w14:schemeClr w14:val="tx1"/>
                </w14:solidFill>
              </w14:textFill>
            </w:rPr>
            <w:t>建设项目概况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_Toc14661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_Toc32332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.1</w:t>
          </w:r>
          <w:r>
            <w:rPr>
              <w:rFonts w:hint="eastAsia" w:ascii="Times New Roman" w:hAnsi="Times New Roman" w:eastAsia="黑体"/>
              <w:color w:val="000000" w:themeColor="text1"/>
              <w:szCs w:val="32"/>
              <w:lang w:val="en-US" w:eastAsia="zh-CN"/>
              <w14:textFill>
                <w14:solidFill>
                  <w14:schemeClr w14:val="tx1"/>
                </w14:solidFill>
              </w14:textFill>
            </w:rPr>
            <w:t>建设地点及周边环境状况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_Toc12174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.2</w:t>
          </w:r>
          <w:r>
            <w:rPr>
              <w:rFonts w:ascii="黑体" w:hAnsi="黑体" w:eastAsia="黑体"/>
              <w:color w:val="000000" w:themeColor="text1"/>
              <w:szCs w:val="32"/>
              <w14:textFill>
                <w14:solidFill>
                  <w14:schemeClr w14:val="tx1"/>
                </w14:solidFill>
              </w14:textFill>
            </w:rPr>
            <w:t>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_Toc12174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_Toc24052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.3</w:t>
          </w:r>
          <w:r>
            <w:rPr>
              <w:rFonts w:hint="eastAsia" w:ascii="黑体" w:hAnsi="黑体" w:eastAsia="黑体"/>
              <w:color w:val="000000" w:themeColor="text1"/>
              <w:szCs w:val="32"/>
              <w14:textFill>
                <w14:solidFill>
                  <w14:schemeClr w14:val="tx1"/>
                </w14:solidFill>
              </w14:textFill>
            </w:rPr>
            <w:t>职工定员及生产制度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_Toc688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.4</w:t>
          </w:r>
          <w:r>
            <w:rPr>
              <w:rFonts w:hint="eastAsia" w:ascii="黑体" w:hAnsi="黑体" w:eastAsia="黑体"/>
              <w:color w:val="000000" w:themeColor="text1"/>
              <w:szCs w:val="32"/>
              <w14:textFill>
                <w14:solidFill>
                  <w14:schemeClr w14:val="tx1"/>
                </w14:solidFill>
              </w14:textFill>
            </w:rPr>
            <w:t>拟建项目生产规模及产品方案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_Toc2207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.5</w:t>
          </w:r>
          <w:r>
            <w:rPr>
              <w:rFonts w:ascii="黑体" w:hAnsi="黑体" w:eastAsia="黑体"/>
              <w:color w:val="000000" w:themeColor="text1"/>
              <w:szCs w:val="32"/>
              <w14:textFill>
                <w14:solidFill>
                  <w14:schemeClr w14:val="tx1"/>
                </w14:solidFill>
              </w14:textFill>
            </w:rPr>
            <w:t>建设</w:t>
          </w:r>
          <w:r>
            <w:rPr>
              <w:rFonts w:hint="eastAsia" w:ascii="黑体" w:hAnsi="黑体" w:eastAsia="黑体"/>
              <w:color w:val="000000" w:themeColor="text1"/>
              <w:szCs w:val="32"/>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_Toc7008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.6</w:t>
          </w:r>
          <w:r>
            <w:rPr>
              <w:rFonts w:ascii="黑体" w:hAnsi="黑体" w:eastAsia="黑体"/>
              <w:color w:val="000000" w:themeColor="text1"/>
              <w:szCs w:val="32"/>
              <w14:textFill>
                <w14:solidFill>
                  <w14:schemeClr w14:val="tx1"/>
                </w14:solidFill>
              </w14:textFill>
            </w:rPr>
            <w:t>主要原辅材料消耗</w:t>
          </w:r>
          <w:r>
            <w:rPr>
              <w:rFonts w:hint="eastAsia" w:ascii="黑体" w:hAnsi="黑体" w:eastAsia="黑体"/>
              <w:color w:val="000000" w:themeColor="text1"/>
              <w:szCs w:val="32"/>
              <w14:textFill>
                <w14:solidFill>
                  <w14:schemeClr w14:val="tx1"/>
                </w14:solidFill>
              </w14:textFill>
            </w:rPr>
            <w:t>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_Toc8079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.7</w:t>
          </w:r>
          <w:r>
            <w:rPr>
              <w:rFonts w:ascii="黑体" w:hAnsi="黑体" w:eastAsia="黑体"/>
              <w:color w:val="000000" w:themeColor="text1"/>
              <w:szCs w:val="32"/>
              <w14:textFill>
                <w14:solidFill>
                  <w14:schemeClr w14:val="tx1"/>
                </w14:solidFill>
              </w14:textFill>
            </w:rPr>
            <w:t>主要</w:t>
          </w:r>
          <w:r>
            <w:rPr>
              <w:rFonts w:hint="eastAsia" w:ascii="黑体" w:hAnsi="黑体" w:eastAsia="黑体"/>
              <w:color w:val="000000" w:themeColor="text1"/>
              <w:szCs w:val="32"/>
              <w14:textFill>
                <w14:solidFill>
                  <w14:schemeClr w14:val="tx1"/>
                </w14:solidFill>
              </w14:textFill>
            </w:rPr>
            <w:t>生产</w:t>
          </w:r>
          <w:r>
            <w:rPr>
              <w:rFonts w:ascii="黑体" w:hAnsi="黑体" w:eastAsia="黑体"/>
              <w:color w:val="000000" w:themeColor="text1"/>
              <w:szCs w:val="32"/>
              <w14:textFill>
                <w14:solidFill>
                  <w14:schemeClr w14:val="tx1"/>
                </w14:solidFill>
              </w14:textFill>
            </w:rPr>
            <w:t>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_Toc8079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_Toc24716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.8</w:t>
          </w:r>
          <w:r>
            <w:rPr>
              <w:rFonts w:hint="eastAsia" w:ascii="黑体" w:hAnsi="黑体" w:eastAsia="黑体"/>
              <w:color w:val="000000" w:themeColor="text1"/>
              <w:szCs w:val="32"/>
              <w14:textFill>
                <w14:solidFill>
                  <w14:schemeClr w14:val="tx1"/>
                </w14:solidFill>
              </w14:textFill>
            </w:rPr>
            <w:t>项目平面布置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_Toc21804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3</w:t>
          </w:r>
          <w:r>
            <w:rPr>
              <w:rFonts w:ascii="Times New Roman" w:hAnsi="Times New Roman" w:eastAsia="黑体"/>
              <w:color w:val="000000" w:themeColor="text1"/>
              <w:szCs w:val="32"/>
              <w14:textFill>
                <w14:solidFill>
                  <w14:schemeClr w14:val="tx1"/>
                </w14:solidFill>
              </w14:textFill>
            </w:rPr>
            <w:t>.9</w:t>
          </w:r>
          <w:r>
            <w:rPr>
              <w:rFonts w:hint="eastAsia" w:ascii="黑体" w:hAnsi="黑体" w:eastAsia="黑体"/>
              <w:color w:val="000000" w:themeColor="text1"/>
              <w:szCs w:val="32"/>
              <w14:textFill>
                <w14:solidFill>
                  <w14:schemeClr w14:val="tx1"/>
                </w14:solidFill>
              </w14:textFill>
            </w:rPr>
            <w:t>项目</w:t>
          </w:r>
          <w:r>
            <w:rPr>
              <w:rFonts w:ascii="黑体" w:hAnsi="黑体" w:eastAsia="黑体"/>
              <w:color w:val="000000" w:themeColor="text1"/>
              <w:szCs w:val="32"/>
              <w14:textFill>
                <w14:solidFill>
                  <w14:schemeClr w14:val="tx1"/>
                </w14:solidFill>
              </w14:textFill>
            </w:rPr>
            <w:t>主要技术经济指标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73"/>
            <w:tabs>
              <w:tab w:val="right" w:leader="dot" w:pos="9070"/>
              <w:tab w:val="clear" w:pos="905"/>
              <w:tab w:val="clear" w:pos="906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_Toc23798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44"/>
              <w:lang w:val="en-US" w:eastAsia="zh-CN"/>
              <w14:textFill>
                <w14:solidFill>
                  <w14:schemeClr w14:val="tx1"/>
                </w14:solidFill>
              </w14:textFill>
            </w:rPr>
            <w:t>4</w:t>
          </w:r>
          <w:r>
            <w:rPr>
              <w:rFonts w:ascii="黑体" w:hAnsi="黑体" w:eastAsia="黑体"/>
              <w:color w:val="000000" w:themeColor="text1"/>
              <w:szCs w:val="44"/>
              <w14:textFill>
                <w14:solidFill>
                  <w14:schemeClr w14:val="tx1"/>
                </w14:solidFill>
              </w14:textFill>
            </w:rPr>
            <w:t>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_Toc2393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4</w:t>
          </w:r>
          <w:r>
            <w:rPr>
              <w:rFonts w:ascii="Times New Roman" w:hAnsi="Times New Roman" w:eastAsia="黑体"/>
              <w:color w:val="000000" w:themeColor="text1"/>
              <w:szCs w:val="32"/>
              <w14:textFill>
                <w14:solidFill>
                  <w14:schemeClr w14:val="tx1"/>
                </w14:solidFill>
              </w14:textFill>
            </w:rPr>
            <w:t>.1</w:t>
          </w:r>
          <w:r>
            <w:rPr>
              <w:rFonts w:hint="eastAsia" w:ascii="Times New Roman" w:hAnsi="Times New Roman" w:eastAsia="黑体"/>
              <w:color w:val="000000" w:themeColor="text1"/>
              <w:szCs w:val="32"/>
              <w14:textFill>
                <w14:solidFill>
                  <w14:schemeClr w14:val="tx1"/>
                </w14:solidFill>
              </w14:textFill>
            </w:rPr>
            <w:t>施工期</w:t>
          </w:r>
          <w:r>
            <w:rPr>
              <w:rFonts w:hint="eastAsia" w:ascii="黑体" w:hAnsi="黑体" w:eastAsia="黑体"/>
              <w:color w:val="000000" w:themeColor="text1"/>
              <w:szCs w:val="32"/>
              <w14:textFill>
                <w14:solidFill>
                  <w14:schemeClr w14:val="tx1"/>
                </w14:solidFill>
              </w14:textFill>
            </w:rPr>
            <w:t>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_Toc20077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4</w:t>
          </w:r>
          <w:r>
            <w:rPr>
              <w:rFonts w:ascii="Times New Roman" w:hAnsi="Times New Roman" w:eastAsia="黑体"/>
              <w:color w:val="000000" w:themeColor="text1"/>
              <w:szCs w:val="32"/>
              <w14:textFill>
                <w14:solidFill>
                  <w14:schemeClr w14:val="tx1"/>
                </w14:solidFill>
              </w14:textFill>
            </w:rPr>
            <w:t>.</w:t>
          </w:r>
          <w:r>
            <w:rPr>
              <w:rFonts w:hint="eastAsia" w:ascii="Times New Roman" w:hAnsi="Times New Roman" w:eastAsia="黑体"/>
              <w:color w:val="000000" w:themeColor="text1"/>
              <w:szCs w:val="32"/>
              <w14:textFill>
                <w14:solidFill>
                  <w14:schemeClr w14:val="tx1"/>
                </w14:solidFill>
              </w14:textFill>
            </w:rPr>
            <w:t>2运营期</w:t>
          </w:r>
          <w:r>
            <w:rPr>
              <w:rFonts w:hint="eastAsia" w:ascii="黑体" w:hAnsi="黑体" w:eastAsia="黑体"/>
              <w:color w:val="000000" w:themeColor="text1"/>
              <w:szCs w:val="32"/>
              <w14:textFill>
                <w14:solidFill>
                  <w14:schemeClr w14:val="tx1"/>
                </w14:solidFill>
              </w14:textFill>
            </w:rPr>
            <w:t>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_Toc20077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_Toc32591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28"/>
              <w:lang w:val="en-US" w:eastAsia="zh-CN"/>
              <w14:textFill>
                <w14:solidFill>
                  <w14:schemeClr w14:val="tx1"/>
                </w14:solidFill>
              </w14:textFill>
            </w:rPr>
            <w:t>4</w:t>
          </w:r>
          <w:r>
            <w:rPr>
              <w:rFonts w:ascii="Times New Roman" w:hAnsi="Times New Roman" w:eastAsia="黑体"/>
              <w:color w:val="000000" w:themeColor="text1"/>
              <w:szCs w:val="28"/>
              <w14:textFill>
                <w14:solidFill>
                  <w14:schemeClr w14:val="tx1"/>
                </w14:solidFill>
              </w14:textFill>
            </w:rPr>
            <w:t>.</w:t>
          </w:r>
          <w:r>
            <w:rPr>
              <w:rFonts w:hint="eastAsia" w:ascii="Times New Roman" w:hAnsi="Times New Roman" w:eastAsia="黑体"/>
              <w:color w:val="000000" w:themeColor="text1"/>
              <w:szCs w:val="28"/>
              <w14:textFill>
                <w14:solidFill>
                  <w14:schemeClr w14:val="tx1"/>
                </w14:solidFill>
              </w14:textFill>
            </w:rPr>
            <w:t>2</w:t>
          </w:r>
          <w:r>
            <w:rPr>
              <w:rFonts w:ascii="Times New Roman" w:hAnsi="Times New Roman" w:eastAsia="黑体"/>
              <w:color w:val="000000" w:themeColor="text1"/>
              <w:szCs w:val="28"/>
              <w14:textFill>
                <w14:solidFill>
                  <w14:schemeClr w14:val="tx1"/>
                </w14:solidFill>
              </w14:textFill>
            </w:rPr>
            <w:t>.1</w:t>
          </w:r>
          <w:r>
            <w:rPr>
              <w:rFonts w:hint="eastAsia" w:ascii="黑体" w:hAnsi="黑体" w:eastAsia="黑体"/>
              <w:color w:val="000000" w:themeColor="text1"/>
              <w:szCs w:val="28"/>
              <w14:textFill>
                <w14:solidFill>
                  <w14:schemeClr w14:val="tx1"/>
                </w14:solidFill>
              </w14:textFill>
            </w:rPr>
            <w:t>工艺流程简述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_Toc25026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4</w:t>
          </w:r>
          <w:r>
            <w:rPr>
              <w:rFonts w:ascii="Times New Roman" w:hAnsi="Times New Roman" w:eastAsia="黑体"/>
              <w:color w:val="000000" w:themeColor="text1"/>
              <w:szCs w:val="32"/>
              <w14:textFill>
                <w14:solidFill>
                  <w14:schemeClr w14:val="tx1"/>
                </w14:solidFill>
              </w14:textFill>
            </w:rPr>
            <w:t>.</w:t>
          </w:r>
          <w:r>
            <w:rPr>
              <w:rFonts w:hint="eastAsia" w:ascii="Times New Roman" w:hAnsi="Times New Roman" w:eastAsia="黑体"/>
              <w:color w:val="000000" w:themeColor="text1"/>
              <w:szCs w:val="32"/>
              <w14:textFill>
                <w14:solidFill>
                  <w14:schemeClr w14:val="tx1"/>
                </w14:solidFill>
              </w14:textFill>
            </w:rPr>
            <w:t>3</w:t>
          </w:r>
          <w:r>
            <w:rPr>
              <w:rFonts w:hint="eastAsia" w:ascii="黑体" w:hAnsi="黑体" w:eastAsia="黑体"/>
              <w:color w:val="000000" w:themeColor="text1"/>
              <w:szCs w:val="32"/>
              <w14:textFill>
                <w14:solidFill>
                  <w14:schemeClr w14:val="tx1"/>
                </w14:solidFill>
              </w14:textFill>
            </w:rPr>
            <w:t>项目污染物产生及排放情况汇总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_Toc25026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73"/>
            <w:tabs>
              <w:tab w:val="right" w:leader="dot" w:pos="9070"/>
              <w:tab w:val="clear" w:pos="905"/>
              <w:tab w:val="clear" w:pos="906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_Toc7285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44"/>
              <w:lang w:val="en-US" w:eastAsia="zh-CN"/>
              <w14:textFill>
                <w14:solidFill>
                  <w14:schemeClr w14:val="tx1"/>
                </w14:solidFill>
              </w14:textFill>
            </w:rPr>
            <w:t>5区域环境状况</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_Toc7285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75</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_Toc21001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5</w:t>
          </w:r>
          <w:r>
            <w:rPr>
              <w:rFonts w:ascii="Times New Roman" w:hAnsi="Times New Roman" w:eastAsia="黑体"/>
              <w:color w:val="000000" w:themeColor="text1"/>
              <w:szCs w:val="32"/>
              <w14:textFill>
                <w14:solidFill>
                  <w14:schemeClr w14:val="tx1"/>
                </w14:solidFill>
              </w14:textFill>
            </w:rPr>
            <w:t>.1</w:t>
          </w:r>
          <w:r>
            <w:rPr>
              <w:rFonts w:ascii="黑体" w:hAnsi="黑体" w:eastAsia="黑体"/>
              <w:color w:val="000000" w:themeColor="text1"/>
              <w:szCs w:val="32"/>
              <w14:textFill>
                <w14:solidFill>
                  <w14:schemeClr w14:val="tx1"/>
                </w14:solidFill>
              </w14:textFill>
            </w:rPr>
            <w:t>自然环境简况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_Toc21001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75</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_Toc3939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5</w:t>
          </w:r>
          <w:r>
            <w:rPr>
              <w:rFonts w:ascii="Times New Roman" w:hAnsi="Times New Roman" w:eastAsia="黑体"/>
              <w:color w:val="000000" w:themeColor="text1"/>
              <w:szCs w:val="32"/>
              <w14:textFill>
                <w14:solidFill>
                  <w14:schemeClr w14:val="tx1"/>
                </w14:solidFill>
              </w14:textFill>
            </w:rPr>
            <w:t>.</w:t>
          </w:r>
          <w:r>
            <w:rPr>
              <w:rFonts w:hint="eastAsia" w:ascii="Times New Roman" w:hAnsi="Times New Roman" w:eastAsia="黑体"/>
              <w:color w:val="000000" w:themeColor="text1"/>
              <w:szCs w:val="32"/>
              <w14:textFill>
                <w14:solidFill>
                  <w14:schemeClr w14:val="tx1"/>
                </w14:solidFill>
              </w14:textFill>
            </w:rPr>
            <w:t>2宜昌化工园宜都园区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_Toc3939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_Toc3969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5</w:t>
          </w:r>
          <w:r>
            <w:rPr>
              <w:rFonts w:ascii="Times New Roman" w:hAnsi="Times New Roman" w:eastAsia="黑体"/>
              <w:color w:val="000000" w:themeColor="text1"/>
              <w:szCs w:val="32"/>
              <w14:textFill>
                <w14:solidFill>
                  <w14:schemeClr w14:val="tx1"/>
                </w14:solidFill>
              </w14:textFill>
            </w:rPr>
            <w:t>.</w:t>
          </w:r>
          <w:r>
            <w:rPr>
              <w:rFonts w:hint="eastAsia" w:ascii="Times New Roman" w:hAnsi="Times New Roman" w:eastAsia="黑体"/>
              <w:color w:val="000000" w:themeColor="text1"/>
              <w:szCs w:val="32"/>
              <w14:textFill>
                <w14:solidFill>
                  <w14:schemeClr w14:val="tx1"/>
                </w14:solidFill>
              </w14:textFill>
            </w:rPr>
            <w:t>3</w:t>
          </w:r>
          <w:r>
            <w:rPr>
              <w:rFonts w:ascii="黑体" w:hAnsi="黑体" w:eastAsia="黑体"/>
              <w:color w:val="000000" w:themeColor="text1"/>
              <w:szCs w:val="32"/>
              <w14:textFill>
                <w14:solidFill>
                  <w14:schemeClr w14:val="tx1"/>
                </w14:solidFill>
              </w14:textFill>
            </w:rPr>
            <w:t>环境质量现状监测与评价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_Toc3969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ind w:left="0" w:leftChars="0" w:firstLine="480" w:firstLineChars="200"/>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pP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fldChar w:fldCharType="begin"/>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instrText xml:space="preserve"> HYPERLINK \l _Toc24971 </w:instrText>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6环境影响预测与评价</w:t>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tab/>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fldChar w:fldCharType="begin"/>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instrText xml:space="preserve"> PAGEREF _Toc24971 \h </w:instrText>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fldChar w:fldCharType="separate"/>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t>100</w:t>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fldChar w:fldCharType="end"/>
          </w:r>
          <w:r>
            <w:rPr>
              <w:rFonts w:ascii="Times New Roman" w:hAnsi="Times New Roman" w:cs="Times New Roman" w:eastAsiaTheme="minorEastAsia"/>
              <w:color w:val="000000" w:themeColor="text1"/>
              <w:kern w:val="2"/>
              <w:sz w:val="24"/>
              <w:szCs w:val="21"/>
              <w:lang w:val="en-US" w:eastAsia="zh-CN" w:bidi="ar-SA"/>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_Toc13611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6</w:t>
          </w:r>
          <w:r>
            <w:rPr>
              <w:rFonts w:ascii="Times New Roman" w:hAnsi="Times New Roman" w:eastAsia="黑体"/>
              <w:color w:val="000000" w:themeColor="text1"/>
              <w:szCs w:val="32"/>
              <w14:textFill>
                <w14:solidFill>
                  <w14:schemeClr w14:val="tx1"/>
                </w14:solidFill>
              </w14:textFill>
            </w:rPr>
            <w:t>.1</w:t>
          </w:r>
          <w:r>
            <w:rPr>
              <w:rFonts w:hint="eastAsia" w:ascii="黑体" w:hAnsi="黑体" w:eastAsia="黑体"/>
              <w:color w:val="000000" w:themeColor="text1"/>
              <w:szCs w:val="32"/>
              <w14:textFill>
                <w14:solidFill>
                  <w14:schemeClr w14:val="tx1"/>
                </w14:solidFill>
              </w14:textFill>
            </w:rPr>
            <w:t>施工期</w:t>
          </w:r>
          <w:r>
            <w:rPr>
              <w:rFonts w:ascii="黑体" w:hAnsi="黑体" w:eastAsia="黑体"/>
              <w:color w:val="000000" w:themeColor="text1"/>
              <w:szCs w:val="32"/>
              <w14:textFill>
                <w14:solidFill>
                  <w14:schemeClr w14:val="tx1"/>
                </w14:solidFill>
              </w14:textFill>
            </w:rPr>
            <w:t>环境影响</w:t>
          </w:r>
          <w:r>
            <w:rPr>
              <w:rFonts w:hint="eastAsia" w:ascii="黑体" w:hAnsi="黑体" w:eastAsia="黑体"/>
              <w:color w:val="000000" w:themeColor="text1"/>
              <w:szCs w:val="32"/>
              <w14:textFill>
                <w14:solidFill>
                  <w14:schemeClr w14:val="tx1"/>
                </w14:solidFill>
              </w14:textFill>
            </w:rPr>
            <w:t>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_Toc28150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6</w:t>
          </w:r>
          <w:r>
            <w:rPr>
              <w:rFonts w:ascii="Times New Roman" w:hAnsi="Times New Roman" w:eastAsia="黑体"/>
              <w:color w:val="000000" w:themeColor="text1"/>
              <w:szCs w:val="32"/>
              <w14:textFill>
                <w14:solidFill>
                  <w14:schemeClr w14:val="tx1"/>
                </w14:solidFill>
              </w14:textFill>
            </w:rPr>
            <w:t>.2</w:t>
          </w:r>
          <w:r>
            <w:rPr>
              <w:rFonts w:hint="eastAsia" w:ascii="黑体" w:hAnsi="黑体" w:eastAsia="黑体"/>
              <w:color w:val="000000" w:themeColor="text1"/>
              <w:szCs w:val="32"/>
              <w14:textFill>
                <w14:solidFill>
                  <w14:schemeClr w14:val="tx1"/>
                </w14:solidFill>
              </w14:textFill>
            </w:rPr>
            <w:t>运营期环境影响预测与评价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_Toc28150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ind w:left="0" w:leftChars="0" w:firstLine="480" w:firstLineChars="200"/>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pP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HYPERLINK \l _Toc7352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7环境风险评价</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ab/>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PAGEREF _Toc7352 \h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148</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_Toc26210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7</w:t>
          </w:r>
          <w:r>
            <w:rPr>
              <w:rFonts w:ascii="Times New Roman" w:hAnsi="Times New Roman" w:eastAsia="黑体"/>
              <w:color w:val="000000" w:themeColor="text1"/>
              <w:szCs w:val="32"/>
              <w14:textFill>
                <w14:solidFill>
                  <w14:schemeClr w14:val="tx1"/>
                </w14:solidFill>
              </w14:textFill>
            </w:rPr>
            <w:t>.1</w:t>
          </w:r>
          <w:r>
            <w:rPr>
              <w:rFonts w:hint="eastAsia" w:ascii="黑体" w:hAnsi="黑体" w:eastAsia="黑体"/>
              <w:color w:val="000000" w:themeColor="text1"/>
              <w:szCs w:val="32"/>
              <w14:textFill>
                <w14:solidFill>
                  <w14:schemeClr w14:val="tx1"/>
                </w14:solidFill>
              </w14:textFill>
            </w:rPr>
            <w:t>评价目的和评价重点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148</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_Toc26720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7</w:t>
          </w:r>
          <w:r>
            <w:rPr>
              <w:rFonts w:ascii="Times New Roman" w:hAnsi="Times New Roman" w:eastAsia="黑体"/>
              <w:color w:val="000000" w:themeColor="text1"/>
              <w:szCs w:val="32"/>
              <w14:textFill>
                <w14:solidFill>
                  <w14:schemeClr w14:val="tx1"/>
                </w14:solidFill>
              </w14:textFill>
            </w:rPr>
            <w:t>.2</w:t>
          </w:r>
          <w:r>
            <w:rPr>
              <w:rFonts w:hint="eastAsia" w:ascii="黑体" w:hAnsi="黑体" w:eastAsia="黑体"/>
              <w:color w:val="000000" w:themeColor="text1"/>
              <w:szCs w:val="32"/>
              <w14:textFill>
                <w14:solidFill>
                  <w14:schemeClr w14:val="tx1"/>
                </w14:solidFill>
              </w14:textFill>
            </w:rPr>
            <w:t>环境风险调查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_Toc26720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148</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_Toc24691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7</w:t>
          </w:r>
          <w:r>
            <w:rPr>
              <w:rFonts w:ascii="Times New Roman" w:hAnsi="Times New Roman" w:eastAsia="黑体"/>
              <w:color w:val="000000" w:themeColor="text1"/>
              <w:szCs w:val="32"/>
              <w14:textFill>
                <w14:solidFill>
                  <w14:schemeClr w14:val="tx1"/>
                </w14:solidFill>
              </w14:textFill>
            </w:rPr>
            <w:t>.</w:t>
          </w:r>
          <w:r>
            <w:rPr>
              <w:rFonts w:hint="eastAsia" w:ascii="Times New Roman" w:hAnsi="Times New Roman" w:eastAsia="黑体"/>
              <w:color w:val="000000" w:themeColor="text1"/>
              <w:szCs w:val="32"/>
              <w14:textFill>
                <w14:solidFill>
                  <w14:schemeClr w14:val="tx1"/>
                </w14:solidFill>
              </w14:textFill>
            </w:rPr>
            <w:t>3</w:t>
          </w:r>
          <w:r>
            <w:rPr>
              <w:rFonts w:hint="eastAsia" w:ascii="黑体" w:hAnsi="黑体" w:eastAsia="黑体"/>
              <w:color w:val="000000" w:themeColor="text1"/>
              <w:szCs w:val="32"/>
              <w14:textFill>
                <w14:solidFill>
                  <w14:schemeClr w14:val="tx1"/>
                </w14:solidFill>
              </w14:textFill>
            </w:rPr>
            <w:t>评价等级及范围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_Toc24691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_Toc15526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7</w:t>
          </w:r>
          <w:r>
            <w:rPr>
              <w:rFonts w:ascii="Times New Roman" w:hAnsi="Times New Roman" w:eastAsia="黑体"/>
              <w:color w:val="000000" w:themeColor="text1"/>
              <w:szCs w:val="32"/>
              <w14:textFill>
                <w14:solidFill>
                  <w14:schemeClr w14:val="tx1"/>
                </w14:solidFill>
              </w14:textFill>
            </w:rPr>
            <w:t>.4</w:t>
          </w:r>
          <w:r>
            <w:rPr>
              <w:rFonts w:hint="eastAsia" w:ascii="Times New Roman" w:hAnsi="Times New Roman" w:eastAsia="黑体"/>
              <w:color w:val="000000" w:themeColor="text1"/>
              <w:szCs w:val="32"/>
              <w14:textFill>
                <w14:solidFill>
                  <w14:schemeClr w14:val="tx1"/>
                </w14:solidFill>
              </w14:textFill>
            </w:rPr>
            <w:t>环境</w:t>
          </w:r>
          <w:r>
            <w:rPr>
              <w:rFonts w:hint="eastAsia" w:ascii="黑体" w:hAnsi="黑体" w:eastAsia="黑体"/>
              <w:color w:val="000000" w:themeColor="text1"/>
              <w:szCs w:val="32"/>
              <w14:textFill>
                <w14:solidFill>
                  <w14:schemeClr w14:val="tx1"/>
                </w14:solidFill>
              </w14:textFill>
            </w:rPr>
            <w:t>风险识别</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_Toc26380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7</w:t>
          </w:r>
          <w:r>
            <w:rPr>
              <w:rFonts w:ascii="Times New Roman" w:hAnsi="Times New Roman" w:eastAsia="黑体"/>
              <w:color w:val="000000" w:themeColor="text1"/>
              <w:szCs w:val="32"/>
              <w14:textFill>
                <w14:solidFill>
                  <w14:schemeClr w14:val="tx1"/>
                </w14:solidFill>
              </w14:textFill>
            </w:rPr>
            <w:t>.</w:t>
          </w:r>
          <w:r>
            <w:rPr>
              <w:rFonts w:hint="eastAsia" w:ascii="Times New Roman" w:hAnsi="Times New Roman" w:eastAsia="黑体"/>
              <w:color w:val="000000" w:themeColor="text1"/>
              <w:szCs w:val="32"/>
              <w14:textFill>
                <w14:solidFill>
                  <w14:schemeClr w14:val="tx1"/>
                </w14:solidFill>
              </w14:textFill>
            </w:rPr>
            <w:t>5环境</w:t>
          </w:r>
          <w:r>
            <w:rPr>
              <w:rFonts w:hint="eastAsia" w:ascii="黑体" w:hAnsi="黑体" w:eastAsia="黑体"/>
              <w:color w:val="000000" w:themeColor="text1"/>
              <w:szCs w:val="32"/>
              <w14:textFill>
                <w14:solidFill>
                  <w14:schemeClr w14:val="tx1"/>
                </w14:solidFill>
              </w14:textFill>
            </w:rPr>
            <w:t>风险类型及危害分析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159</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_Toc16863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7</w:t>
          </w:r>
          <w:r>
            <w:rPr>
              <w:rFonts w:ascii="Times New Roman" w:hAnsi="Times New Roman" w:eastAsia="黑体"/>
              <w:color w:val="000000" w:themeColor="text1"/>
              <w:szCs w:val="32"/>
              <w14:textFill>
                <w14:solidFill>
                  <w14:schemeClr w14:val="tx1"/>
                </w14:solidFill>
              </w14:textFill>
            </w:rPr>
            <w:t>.7</w:t>
          </w:r>
          <w:r>
            <w:rPr>
              <w:rFonts w:ascii="黑体" w:hAnsi="黑体" w:eastAsia="黑体"/>
              <w:color w:val="000000" w:themeColor="text1"/>
              <w:szCs w:val="32"/>
              <w14:textFill>
                <w14:solidFill>
                  <w14:schemeClr w14:val="tx1"/>
                </w14:solidFill>
              </w14:textFill>
            </w:rPr>
            <w:t>突发事故应急预案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_Toc16863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167</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_Toc2182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7</w:t>
          </w:r>
          <w:r>
            <w:rPr>
              <w:rFonts w:ascii="Times New Roman" w:hAnsi="Times New Roman" w:eastAsia="黑体"/>
              <w:color w:val="000000" w:themeColor="text1"/>
              <w:szCs w:val="32"/>
              <w14:textFill>
                <w14:solidFill>
                  <w14:schemeClr w14:val="tx1"/>
                </w14:solidFill>
              </w14:textFill>
            </w:rPr>
            <w:t>.8</w:t>
          </w:r>
          <w:r>
            <w:rPr>
              <w:rFonts w:hint="eastAsia" w:ascii="黑体" w:hAnsi="黑体" w:eastAsia="黑体"/>
              <w:color w:val="000000" w:themeColor="text1"/>
              <w:szCs w:val="32"/>
              <w14:textFill>
                <w14:solidFill>
                  <w14:schemeClr w14:val="tx1"/>
                </w14:solidFill>
              </w14:textFill>
            </w:rPr>
            <w:t>环境风险评价结论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ind w:left="0" w:leftChars="0" w:firstLine="480" w:firstLineChars="200"/>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pP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HYPERLINK \l _Toc23652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8环境保护措施及技术经济论证</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ab/>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PAGEREF _Toc23652 \h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174</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_Toc28649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8</w:t>
          </w:r>
          <w:r>
            <w:rPr>
              <w:rFonts w:ascii="Times New Roman" w:hAnsi="Times New Roman" w:eastAsia="黑体"/>
              <w:color w:val="000000" w:themeColor="text1"/>
              <w:szCs w:val="32"/>
              <w14:textFill>
                <w14:solidFill>
                  <w14:schemeClr w14:val="tx1"/>
                </w14:solidFill>
              </w14:textFill>
            </w:rPr>
            <w:t>.1</w:t>
          </w:r>
          <w:r>
            <w:rPr>
              <w:rFonts w:ascii="黑体" w:hAnsi="黑体" w:eastAsia="黑体"/>
              <w:color w:val="000000" w:themeColor="text1"/>
              <w:szCs w:val="32"/>
              <w14:textFill>
                <w14:solidFill>
                  <w14:schemeClr w14:val="tx1"/>
                </w14:solidFill>
              </w14:textFill>
            </w:rPr>
            <w:t>施工期污染防治措施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_Toc28649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174</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_Toc19328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8</w:t>
          </w:r>
          <w:r>
            <w:rPr>
              <w:rFonts w:ascii="Times New Roman" w:hAnsi="Times New Roman" w:eastAsia="黑体"/>
              <w:color w:val="000000" w:themeColor="text1"/>
              <w:szCs w:val="32"/>
              <w14:textFill>
                <w14:solidFill>
                  <w14:schemeClr w14:val="tx1"/>
                </w14:solidFill>
              </w14:textFill>
            </w:rPr>
            <w:t>.2</w:t>
          </w:r>
          <w:r>
            <w:rPr>
              <w:rFonts w:ascii="黑体" w:hAnsi="黑体" w:eastAsia="黑体"/>
              <w:color w:val="000000" w:themeColor="text1"/>
              <w:szCs w:val="32"/>
              <w14:textFill>
                <w14:solidFill>
                  <w14:schemeClr w14:val="tx1"/>
                </w14:solidFill>
              </w14:textFill>
            </w:rPr>
            <w:t>运营期污染防治措施可行性分析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_Toc19328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176</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_Toc7171 </w:instrText>
          </w:r>
          <w:r>
            <w:rPr>
              <w:rFonts w:ascii="Times New Roman" w:hAnsi="Times New Roman" w:cs="Times New Roman"/>
              <w:color w:val="000000" w:themeColor="text1"/>
              <w:szCs w:val="21"/>
              <w14:textFill>
                <w14:solidFill>
                  <w14:schemeClr w14:val="tx1"/>
                </w14:solidFill>
              </w14:textFill>
            </w:rPr>
            <w:fldChar w:fldCharType="separate"/>
          </w:r>
          <w:r>
            <w:rPr>
              <w:rFonts w:hint="eastAsia" w:ascii="Times New Roman" w:hAnsi="Times New Roman" w:eastAsia="黑体"/>
              <w:color w:val="000000" w:themeColor="text1"/>
              <w:szCs w:val="32"/>
              <w:lang w:val="en-US" w:eastAsia="zh-CN"/>
              <w14:textFill>
                <w14:solidFill>
                  <w14:schemeClr w14:val="tx1"/>
                </w14:solidFill>
              </w14:textFill>
            </w:rPr>
            <w:t>8</w:t>
          </w:r>
          <w:r>
            <w:rPr>
              <w:rFonts w:ascii="Times New Roman" w:hAnsi="Times New Roman" w:eastAsia="黑体"/>
              <w:color w:val="000000" w:themeColor="text1"/>
              <w:szCs w:val="32"/>
              <w14:textFill>
                <w14:solidFill>
                  <w14:schemeClr w14:val="tx1"/>
                </w14:solidFill>
              </w14:textFill>
            </w:rPr>
            <w:t>.3</w:t>
          </w:r>
          <w:r>
            <w:rPr>
              <w:rFonts w:hint="eastAsia" w:ascii="黑体" w:hAnsi="黑体" w:eastAsia="黑体"/>
              <w:color w:val="000000" w:themeColor="text1"/>
              <w:szCs w:val="32"/>
              <w14:textFill>
                <w14:solidFill>
                  <w14:schemeClr w14:val="tx1"/>
                </w14:solidFill>
              </w14:textFill>
            </w:rPr>
            <w:t>环境保护措施及投资估算汇总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191</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ind w:left="0" w:leftChars="0" w:firstLine="480" w:firstLineChars="200"/>
            <w:rPr>
              <w:color w:val="000000" w:themeColor="text1"/>
              <w14:textFill>
                <w14:solidFill>
                  <w14:schemeClr w14:val="tx1"/>
                </w14:solidFill>
              </w14:textFill>
            </w:rPr>
          </w:pP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HYPERLINK \l _Toc15882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default" w:ascii="Times New Roman" w:hAnsi="Times New Roman" w:eastAsia="黑体" w:cstheme="minorBidi"/>
              <w:color w:val="000000" w:themeColor="text1"/>
              <w:kern w:val="2"/>
              <w:sz w:val="24"/>
              <w:szCs w:val="44"/>
              <w:lang w:val="en-US" w:eastAsia="zh-CN" w:bidi="ar-SA"/>
              <w14:textFill>
                <w14:solidFill>
                  <w14:schemeClr w14:val="tx1"/>
                </w14:solidFill>
              </w14:textFill>
            </w:rPr>
            <w:t>9</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总量控制</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ab/>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PAGEREF _Toc15882 \h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193</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_Toc12257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9</w:t>
          </w:r>
          <w:r>
            <w:rPr>
              <w:rFonts w:ascii="Times New Roman" w:hAnsi="Times New Roman" w:eastAsia="黑体"/>
              <w:color w:val="000000" w:themeColor="text1"/>
              <w:szCs w:val="32"/>
              <w14:textFill>
                <w14:solidFill>
                  <w14:schemeClr w14:val="tx1"/>
                </w14:solidFill>
              </w14:textFill>
            </w:rPr>
            <w:t>.1</w:t>
          </w:r>
          <w:r>
            <w:rPr>
              <w:rFonts w:hint="eastAsia" w:ascii="黑体" w:hAnsi="黑体" w:eastAsia="黑体"/>
              <w:color w:val="000000" w:themeColor="text1"/>
              <w:szCs w:val="32"/>
              <w14:textFill>
                <w14:solidFill>
                  <w14:schemeClr w14:val="tx1"/>
                </w14:solidFill>
              </w14:textFill>
            </w:rPr>
            <w:t>实行总量控制的目的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_Toc12257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_Toc30731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9</w:t>
          </w:r>
          <w:r>
            <w:rPr>
              <w:rFonts w:ascii="Times New Roman" w:hAnsi="Times New Roman" w:eastAsia="黑体"/>
              <w:color w:val="000000" w:themeColor="text1"/>
              <w:szCs w:val="32"/>
              <w14:textFill>
                <w14:solidFill>
                  <w14:schemeClr w14:val="tx1"/>
                </w14:solidFill>
              </w14:textFill>
            </w:rPr>
            <w:t>.2</w:t>
          </w:r>
          <w:r>
            <w:rPr>
              <w:rFonts w:hint="eastAsia" w:ascii="黑体" w:hAnsi="黑体" w:eastAsia="黑体"/>
              <w:color w:val="000000" w:themeColor="text1"/>
              <w:szCs w:val="32"/>
              <w14:textFill>
                <w14:solidFill>
                  <w14:schemeClr w14:val="tx1"/>
                </w14:solidFill>
              </w14:textFill>
            </w:rPr>
            <w:t>总量控制因子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_Toc30731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_Toc5677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9</w:t>
          </w:r>
          <w:r>
            <w:rPr>
              <w:rFonts w:ascii="Times New Roman" w:hAnsi="Times New Roman" w:eastAsia="黑体"/>
              <w:color w:val="000000" w:themeColor="text1"/>
              <w:szCs w:val="32"/>
              <w14:textFill>
                <w14:solidFill>
                  <w14:schemeClr w14:val="tx1"/>
                </w14:solidFill>
              </w14:textFill>
            </w:rPr>
            <w:t>.3</w:t>
          </w:r>
          <w:r>
            <w:rPr>
              <w:rFonts w:hint="eastAsia" w:ascii="黑体" w:hAnsi="黑体" w:eastAsia="黑体"/>
              <w:color w:val="000000" w:themeColor="text1"/>
              <w:szCs w:val="32"/>
              <w14:textFill>
                <w14:solidFill>
                  <w14:schemeClr w14:val="tx1"/>
                </w14:solidFill>
              </w14:textFill>
            </w:rPr>
            <w:t>污染物排放总量控制指标的确定原则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_Toc10456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9</w:t>
          </w:r>
          <w:r>
            <w:rPr>
              <w:rFonts w:ascii="Times New Roman" w:hAnsi="Times New Roman" w:eastAsia="黑体"/>
              <w:color w:val="000000" w:themeColor="text1"/>
              <w:szCs w:val="32"/>
              <w14:textFill>
                <w14:solidFill>
                  <w14:schemeClr w14:val="tx1"/>
                </w14:solidFill>
              </w14:textFill>
            </w:rPr>
            <w:t>.</w:t>
          </w:r>
          <w:r>
            <w:rPr>
              <w:rFonts w:hint="eastAsia" w:ascii="Times New Roman" w:hAnsi="Times New Roman" w:eastAsia="黑体"/>
              <w:color w:val="000000" w:themeColor="text1"/>
              <w:szCs w:val="32"/>
              <w14:textFill>
                <w14:solidFill>
                  <w14:schemeClr w14:val="tx1"/>
                </w14:solidFill>
              </w14:textFill>
            </w:rPr>
            <w:t>4</w:t>
          </w:r>
          <w:r>
            <w:rPr>
              <w:rFonts w:hint="eastAsia" w:ascii="黑体" w:hAnsi="黑体" w:eastAsia="黑体"/>
              <w:color w:val="000000" w:themeColor="text1"/>
              <w:szCs w:val="32"/>
              <w14:textFill>
                <w14:solidFill>
                  <w14:schemeClr w14:val="tx1"/>
                </w14:solidFill>
              </w14:textFill>
            </w:rPr>
            <w:t>总量核算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_Toc10456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_Toc30418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9</w:t>
          </w:r>
          <w:r>
            <w:rPr>
              <w:rFonts w:ascii="Times New Roman" w:hAnsi="Times New Roman" w:eastAsia="黑体"/>
              <w:color w:val="000000" w:themeColor="text1"/>
              <w:szCs w:val="32"/>
              <w14:textFill>
                <w14:solidFill>
                  <w14:schemeClr w14:val="tx1"/>
                </w14:solidFill>
              </w14:textFill>
            </w:rPr>
            <w:t>.5</w:t>
          </w:r>
          <w:r>
            <w:rPr>
              <w:rFonts w:hint="eastAsia" w:ascii="黑体" w:hAnsi="黑体" w:eastAsia="黑体"/>
              <w:color w:val="000000" w:themeColor="text1"/>
              <w:szCs w:val="32"/>
              <w14:textFill>
                <w14:solidFill>
                  <w14:schemeClr w14:val="tx1"/>
                </w14:solidFill>
              </w14:textFill>
            </w:rPr>
            <w:t>总量指标来源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_Toc30418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194</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ind w:left="0" w:leftChars="0" w:firstLine="480" w:firstLineChars="200"/>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pP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HYPERLINK \l _Toc21346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default" w:ascii="Times New Roman" w:hAnsi="Times New Roman" w:eastAsia="黑体" w:cstheme="minorBidi"/>
              <w:color w:val="000000" w:themeColor="text1"/>
              <w:kern w:val="2"/>
              <w:sz w:val="24"/>
              <w:szCs w:val="44"/>
              <w:lang w:val="en-US" w:eastAsia="zh-CN" w:bidi="ar-SA"/>
              <w14:textFill>
                <w14:solidFill>
                  <w14:schemeClr w14:val="tx1"/>
                </w14:solidFill>
              </w14:textFill>
            </w:rPr>
            <w:t>10</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环境经济损益分析</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ab/>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PAGEREF _Toc21346 \h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195</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_Toc8423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10</w:t>
          </w:r>
          <w:r>
            <w:rPr>
              <w:rFonts w:ascii="Times New Roman" w:hAnsi="Times New Roman" w:eastAsia="黑体"/>
              <w:color w:val="000000" w:themeColor="text1"/>
              <w:szCs w:val="32"/>
              <w14:textFill>
                <w14:solidFill>
                  <w14:schemeClr w14:val="tx1"/>
                </w14:solidFill>
              </w14:textFill>
            </w:rPr>
            <w:t>.1</w:t>
          </w:r>
          <w:r>
            <w:rPr>
              <w:rFonts w:hint="eastAsia" w:ascii="黑体" w:hAnsi="黑体" w:eastAsia="黑体"/>
              <w:color w:val="000000" w:themeColor="text1"/>
              <w:szCs w:val="32"/>
              <w14:textFill>
                <w14:solidFill>
                  <w14:schemeClr w14:val="tx1"/>
                </w14:solidFill>
              </w14:textFill>
            </w:rPr>
            <w:t>环保费用估算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195</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_Toc30248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10</w:t>
          </w:r>
          <w:r>
            <w:rPr>
              <w:rFonts w:ascii="Times New Roman" w:hAnsi="Times New Roman" w:eastAsia="黑体"/>
              <w:color w:val="000000" w:themeColor="text1"/>
              <w:szCs w:val="32"/>
              <w14:textFill>
                <w14:solidFill>
                  <w14:schemeClr w14:val="tx1"/>
                </w14:solidFill>
              </w14:textFill>
            </w:rPr>
            <w:t>.2</w:t>
          </w:r>
          <w:r>
            <w:rPr>
              <w:rFonts w:hint="eastAsia" w:ascii="黑体" w:hAnsi="黑体" w:eastAsia="黑体"/>
              <w:color w:val="000000" w:themeColor="text1"/>
              <w:szCs w:val="32"/>
              <w14:textFill>
                <w14:solidFill>
                  <w14:schemeClr w14:val="tx1"/>
                </w14:solidFill>
              </w14:textFill>
            </w:rPr>
            <w:t>建设项目经济及社会效益分析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_Toc30248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197</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_Toc5803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10</w:t>
          </w:r>
          <w:r>
            <w:rPr>
              <w:rFonts w:ascii="Times New Roman" w:hAnsi="Times New Roman" w:eastAsia="黑体"/>
              <w:color w:val="000000" w:themeColor="text1"/>
              <w:szCs w:val="32"/>
              <w14:textFill>
                <w14:solidFill>
                  <w14:schemeClr w14:val="tx1"/>
                </w14:solidFill>
              </w14:textFill>
            </w:rPr>
            <w:t>.3</w:t>
          </w:r>
          <w:r>
            <w:rPr>
              <w:rFonts w:hint="eastAsia" w:ascii="黑体" w:hAnsi="黑体" w:eastAsia="黑体"/>
              <w:color w:val="000000" w:themeColor="text1"/>
              <w:szCs w:val="32"/>
              <w14:textFill>
                <w14:solidFill>
                  <w14:schemeClr w14:val="tx1"/>
                </w14:solidFill>
              </w14:textFill>
            </w:rPr>
            <w:t>环保效益分析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197</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_Toc15191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10</w:t>
          </w:r>
          <w:r>
            <w:rPr>
              <w:rFonts w:ascii="Times New Roman" w:hAnsi="Times New Roman" w:eastAsia="黑体"/>
              <w:color w:val="000000" w:themeColor="text1"/>
              <w:szCs w:val="32"/>
              <w14:textFill>
                <w14:solidFill>
                  <w14:schemeClr w14:val="tx1"/>
                </w14:solidFill>
              </w14:textFill>
            </w:rPr>
            <w:t>.4</w:t>
          </w:r>
          <w:r>
            <w:rPr>
              <w:rFonts w:hint="eastAsia" w:ascii="黑体" w:hAnsi="黑体" w:eastAsia="黑体"/>
              <w:color w:val="000000" w:themeColor="text1"/>
              <w:szCs w:val="32"/>
              <w14:textFill>
                <w14:solidFill>
                  <w14:schemeClr w14:val="tx1"/>
                </w14:solidFill>
              </w14:textFill>
            </w:rPr>
            <w:t>经济损益分析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_Toc15191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198</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ind w:left="0" w:leftChars="0" w:firstLine="480" w:firstLineChars="200"/>
            <w:rPr>
              <w:color w:val="000000" w:themeColor="text1"/>
              <w14:textFill>
                <w14:solidFill>
                  <w14:schemeClr w14:val="tx1"/>
                </w14:solidFill>
              </w14:textFill>
            </w:rPr>
          </w:pP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HYPERLINK \l _Toc30181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default" w:ascii="Times New Roman" w:hAnsi="Times New Roman" w:eastAsia="黑体" w:cstheme="minorBidi"/>
              <w:color w:val="000000" w:themeColor="text1"/>
              <w:kern w:val="2"/>
              <w:sz w:val="24"/>
              <w:szCs w:val="44"/>
              <w:lang w:val="en-US" w:eastAsia="zh-CN" w:bidi="ar-SA"/>
              <w14:textFill>
                <w14:solidFill>
                  <w14:schemeClr w14:val="tx1"/>
                </w14:solidFill>
              </w14:textFill>
            </w:rPr>
            <w:t>11</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环境管理与监测计划</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ab/>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PAGEREF _Toc30181 \h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199</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_Toc23290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11</w:t>
          </w:r>
          <w:r>
            <w:rPr>
              <w:rFonts w:ascii="Times New Roman" w:hAnsi="Times New Roman" w:eastAsia="黑体"/>
              <w:color w:val="000000" w:themeColor="text1"/>
              <w:szCs w:val="32"/>
              <w14:textFill>
                <w14:solidFill>
                  <w14:schemeClr w14:val="tx1"/>
                </w14:solidFill>
              </w14:textFill>
            </w:rPr>
            <w:t>.1</w:t>
          </w:r>
          <w:r>
            <w:rPr>
              <w:rFonts w:ascii="黑体" w:hAnsi="黑体" w:eastAsia="黑体"/>
              <w:color w:val="000000" w:themeColor="text1"/>
              <w:szCs w:val="32"/>
              <w14:textFill>
                <w14:solidFill>
                  <w14:schemeClr w14:val="tx1"/>
                </w14:solidFill>
              </w14:textFill>
            </w:rPr>
            <w:t>环境管理基本内容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199</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_Toc562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11</w:t>
          </w:r>
          <w:r>
            <w:rPr>
              <w:rFonts w:ascii="Times New Roman" w:hAnsi="Times New Roman" w:eastAsia="黑体"/>
              <w:color w:val="000000" w:themeColor="text1"/>
              <w:szCs w:val="32"/>
              <w14:textFill>
                <w14:solidFill>
                  <w14:schemeClr w14:val="tx1"/>
                </w14:solidFill>
              </w14:textFill>
            </w:rPr>
            <w:t>.2</w:t>
          </w:r>
          <w:r>
            <w:rPr>
              <w:rFonts w:ascii="黑体" w:hAnsi="黑体" w:eastAsia="黑体"/>
              <w:color w:val="000000" w:themeColor="text1"/>
              <w:szCs w:val="32"/>
              <w14:textFill>
                <w14:solidFill>
                  <w14:schemeClr w14:val="tx1"/>
                </w14:solidFill>
              </w14:textFill>
            </w:rPr>
            <w:t>环境管理计划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_Toc6372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11</w:t>
          </w:r>
          <w:r>
            <w:rPr>
              <w:rFonts w:ascii="Times New Roman" w:hAnsi="Times New Roman" w:eastAsia="黑体"/>
              <w:color w:val="000000" w:themeColor="text1"/>
              <w:szCs w:val="32"/>
              <w14:textFill>
                <w14:solidFill>
                  <w14:schemeClr w14:val="tx1"/>
                </w14:solidFill>
              </w14:textFill>
            </w:rPr>
            <w:t>.3</w:t>
          </w:r>
          <w:r>
            <w:rPr>
              <w:rFonts w:ascii="黑体" w:hAnsi="黑体" w:eastAsia="黑体"/>
              <w:color w:val="000000" w:themeColor="text1"/>
              <w:szCs w:val="32"/>
              <w14:textFill>
                <w14:solidFill>
                  <w14:schemeClr w14:val="tx1"/>
                </w14:solidFill>
              </w14:textFill>
            </w:rPr>
            <w:t>环境监测计划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201</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_Toc18982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11</w:t>
          </w:r>
          <w:r>
            <w:rPr>
              <w:rFonts w:ascii="Times New Roman" w:hAnsi="Times New Roman" w:eastAsia="黑体"/>
              <w:color w:val="000000" w:themeColor="text1"/>
              <w:szCs w:val="32"/>
              <w14:textFill>
                <w14:solidFill>
                  <w14:schemeClr w14:val="tx1"/>
                </w14:solidFill>
              </w14:textFill>
            </w:rPr>
            <w:t>.4</w:t>
          </w:r>
          <w:r>
            <w:rPr>
              <w:rFonts w:ascii="黑体" w:hAnsi="黑体" w:eastAsia="黑体"/>
              <w:color w:val="000000" w:themeColor="text1"/>
              <w:szCs w:val="32"/>
              <w14:textFill>
                <w14:solidFill>
                  <w14:schemeClr w14:val="tx1"/>
                </w14:solidFill>
              </w14:textFill>
            </w:rPr>
            <w:t>排污口规范化设置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_Toc18982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202</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_Toc6034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11</w:t>
          </w:r>
          <w:r>
            <w:rPr>
              <w:rFonts w:ascii="Times New Roman" w:hAnsi="Times New Roman" w:eastAsia="黑体"/>
              <w:color w:val="000000" w:themeColor="text1"/>
              <w:szCs w:val="32"/>
              <w14:textFill>
                <w14:solidFill>
                  <w14:schemeClr w14:val="tx1"/>
                </w14:solidFill>
              </w14:textFill>
            </w:rPr>
            <w:t>.5</w:t>
          </w:r>
          <w:r>
            <w:rPr>
              <w:rFonts w:ascii="黑体" w:hAnsi="黑体" w:eastAsia="黑体"/>
              <w:color w:val="000000" w:themeColor="text1"/>
              <w:szCs w:val="32"/>
              <w14:textFill>
                <w14:solidFill>
                  <w14:schemeClr w14:val="tx1"/>
                </w14:solidFill>
              </w14:textFill>
            </w:rPr>
            <w:t>竣工“三同时”验收一览表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_Toc6034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203</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ind w:left="0" w:leftChars="0" w:firstLine="480" w:firstLineChars="200"/>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pP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HYPERLINK \l _Toc24259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default" w:ascii="Times New Roman" w:hAnsi="Times New Roman" w:eastAsia="黑体" w:cstheme="minorBidi"/>
              <w:color w:val="000000" w:themeColor="text1"/>
              <w:kern w:val="2"/>
              <w:sz w:val="24"/>
              <w:szCs w:val="44"/>
              <w:lang w:val="en-US" w:eastAsia="zh-CN" w:bidi="ar-SA"/>
              <w14:textFill>
                <w14:solidFill>
                  <w14:schemeClr w14:val="tx1"/>
                </w14:solidFill>
              </w14:textFill>
            </w:rPr>
            <w:t>12</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评价结论与建议</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ab/>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begin"/>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instrText xml:space="preserve"> PAGEREF _Toc24259 \h </w:instrTex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separate"/>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t>205</w:t>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r>
            <w:rPr>
              <w:rFonts w:hint="eastAsia" w:ascii="Times New Roman" w:hAnsi="Times New Roman" w:eastAsia="黑体" w:cstheme="minorBidi"/>
              <w:color w:val="000000" w:themeColor="text1"/>
              <w:kern w:val="2"/>
              <w:sz w:val="24"/>
              <w:szCs w:val="44"/>
              <w:lang w:val="en-US" w:eastAsia="zh-CN" w:bidi="ar-SA"/>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_Toc17156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12</w:t>
          </w:r>
          <w:r>
            <w:rPr>
              <w:rFonts w:ascii="Times New Roman" w:hAnsi="Times New Roman" w:eastAsia="黑体"/>
              <w:color w:val="000000" w:themeColor="text1"/>
              <w:szCs w:val="32"/>
              <w14:textFill>
                <w14:solidFill>
                  <w14:schemeClr w14:val="tx1"/>
                </w14:solidFill>
              </w14:textFill>
            </w:rPr>
            <w:t>.1</w:t>
          </w:r>
          <w:r>
            <w:rPr>
              <w:rFonts w:hint="eastAsia" w:ascii="黑体" w:hAnsi="黑体" w:eastAsia="黑体"/>
              <w:color w:val="000000" w:themeColor="text1"/>
              <w:szCs w:val="32"/>
              <w14:textFill>
                <w14:solidFill>
                  <w14:schemeClr w14:val="tx1"/>
                </w14:solidFill>
              </w14:textFill>
            </w:rPr>
            <w:t>建设项目概况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205</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_Toc20536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12</w:t>
          </w:r>
          <w:r>
            <w:rPr>
              <w:rFonts w:ascii="Times New Roman" w:hAnsi="Times New Roman" w:eastAsia="黑体"/>
              <w:color w:val="000000" w:themeColor="text1"/>
              <w:szCs w:val="32"/>
              <w14:textFill>
                <w14:solidFill>
                  <w14:schemeClr w14:val="tx1"/>
                </w14:solidFill>
              </w14:textFill>
            </w:rPr>
            <w:t>.2</w:t>
          </w:r>
          <w:r>
            <w:rPr>
              <w:rFonts w:hint="eastAsia" w:ascii="黑体" w:hAnsi="黑体" w:eastAsia="黑体"/>
              <w:color w:val="000000" w:themeColor="text1"/>
              <w:szCs w:val="32"/>
              <w14:textFill>
                <w14:solidFill>
                  <w14:schemeClr w14:val="tx1"/>
                </w14:solidFill>
              </w14:textFill>
            </w:rPr>
            <w:t>政策及规划符合性分析结论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_Toc20536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205</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_Toc1127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12</w:t>
          </w:r>
          <w:r>
            <w:rPr>
              <w:rFonts w:hint="eastAsia" w:ascii="Times New Roman" w:hAnsi="Times New Roman" w:eastAsia="黑体"/>
              <w:color w:val="000000" w:themeColor="text1"/>
              <w:szCs w:val="32"/>
              <w14:textFill>
                <w14:solidFill>
                  <w14:schemeClr w14:val="tx1"/>
                </w14:solidFill>
              </w14:textFill>
            </w:rPr>
            <w:t>.3环境质量现状评价结论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205</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_Toc18168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12</w:t>
          </w:r>
          <w:r>
            <w:rPr>
              <w:rFonts w:hint="eastAsia" w:ascii="Times New Roman" w:hAnsi="Times New Roman" w:eastAsia="黑体"/>
              <w:color w:val="000000" w:themeColor="text1"/>
              <w:szCs w:val="32"/>
              <w14:textFill>
                <w14:solidFill>
                  <w14:schemeClr w14:val="tx1"/>
                </w14:solidFill>
              </w14:textFill>
            </w:rPr>
            <w:t>.4环境影响预测与评价结论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_Toc18168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206</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_Toc6411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12</w:t>
          </w:r>
          <w:r>
            <w:rPr>
              <w:rFonts w:hint="eastAsia" w:ascii="Times New Roman" w:hAnsi="Times New Roman" w:eastAsia="黑体"/>
              <w:color w:val="000000" w:themeColor="text1"/>
              <w:szCs w:val="32"/>
              <w14:textFill>
                <w14:solidFill>
                  <w14:schemeClr w14:val="tx1"/>
                </w14:solidFill>
              </w14:textFill>
            </w:rPr>
            <w:t>.5主要环境保护措施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_Toc6411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208</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_Toc2668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12</w:t>
          </w:r>
          <w:r>
            <w:rPr>
              <w:rFonts w:hint="eastAsia" w:ascii="Times New Roman" w:hAnsi="Times New Roman" w:eastAsia="黑体"/>
              <w:color w:val="000000" w:themeColor="text1"/>
              <w:szCs w:val="32"/>
              <w14:textFill>
                <w14:solidFill>
                  <w14:schemeClr w14:val="tx1"/>
                </w14:solidFill>
              </w14:textFill>
            </w:rPr>
            <w:t>.6总量控制结论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_Toc926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eastAsia="黑体"/>
              <w:color w:val="000000" w:themeColor="text1"/>
              <w:szCs w:val="32"/>
              <w:lang w:val="en-US"/>
              <w14:textFill>
                <w14:solidFill>
                  <w14:schemeClr w14:val="tx1"/>
                </w14:solidFill>
              </w14:textFill>
            </w:rPr>
            <w:t>12</w:t>
          </w:r>
          <w:r>
            <w:rPr>
              <w:rFonts w:ascii="Times New Roman" w:hAnsi="Times New Roman" w:eastAsia="黑体"/>
              <w:color w:val="000000" w:themeColor="text1"/>
              <w:szCs w:val="32"/>
              <w14:textFill>
                <w14:solidFill>
                  <w14:schemeClr w14:val="tx1"/>
                </w14:solidFill>
              </w14:textFill>
            </w:rPr>
            <w:t>.7</w:t>
          </w:r>
          <w:r>
            <w:rPr>
              <w:rFonts w:hint="eastAsia" w:ascii="黑体" w:hAnsi="黑体" w:eastAsia="黑体"/>
              <w:color w:val="000000" w:themeColor="text1"/>
              <w:szCs w:val="32"/>
              <w14:textFill>
                <w14:solidFill>
                  <w14:schemeClr w14:val="tx1"/>
                </w14:solidFill>
              </w14:textFill>
            </w:rPr>
            <w:t>评价总</w:t>
          </w:r>
          <w:r>
            <w:rPr>
              <w:rFonts w:ascii="黑体" w:hAnsi="黑体" w:eastAsia="黑体"/>
              <w:color w:val="000000" w:themeColor="text1"/>
              <w:szCs w:val="32"/>
              <w14:textFill>
                <w14:solidFill>
                  <w14:schemeClr w14:val="tx1"/>
                </w14:solidFill>
              </w14:textFill>
            </w:rPr>
            <w:t>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210</w:t>
          </w:r>
          <w:r>
            <w:rPr>
              <w:color w:val="000000" w:themeColor="text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pStyle w:val="45"/>
            <w:tabs>
              <w:tab w:val="right" w:leader="dot" w:pos="9070"/>
            </w:tabs>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HYPERLINK \l _Toc27130 </w:instrText>
          </w:r>
          <w:r>
            <w:rPr>
              <w:rFonts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lang w:val="en-US"/>
              <w14:textFill>
                <w14:solidFill>
                  <w14:schemeClr w14:val="tx1"/>
                </w14:solidFill>
              </w14:textFill>
            </w:rPr>
            <w:t>12</w:t>
          </w:r>
          <w:r>
            <w:rPr>
              <w:rFonts w:ascii="Times New Roman" w:hAnsi="Times New Roman" w:cs="Times New Roman"/>
              <w:color w:val="000000" w:themeColor="text1"/>
              <w:szCs w:val="21"/>
              <w14:textFill>
                <w14:solidFill>
                  <w14:schemeClr w14:val="tx1"/>
                </w14:solidFill>
              </w14:textFill>
            </w:rPr>
            <w:t>.8建议</w:t>
          </w:r>
          <w:r>
            <w:rPr>
              <w:rFonts w:ascii="Times New Roman" w:hAnsi="Times New Roman" w:cs="Times New Roman"/>
              <w:color w:val="000000" w:themeColor="text1"/>
              <w:szCs w:val="21"/>
              <w14:textFill>
                <w14:solidFill>
                  <w14:schemeClr w14:val="tx1"/>
                </w14:solidFill>
              </w14:textFill>
            </w:rPr>
            <w:tab/>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PAGEREF _Toc27130 \h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211</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fldChar w:fldCharType="end"/>
          </w:r>
        </w:p>
        <w:p>
          <w:pPr>
            <w:ind w:firstLine="4620" w:firstLineChars="2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fldChar w:fldCharType="end"/>
          </w:r>
        </w:p>
      </w:sdtContent>
    </w:sdt>
    <w:p>
      <w:pPr>
        <w:rPr>
          <w:rFonts w:ascii="黑体" w:eastAsia="黑体"/>
          <w:b/>
          <w:color w:val="000000" w:themeColor="text1"/>
          <w14:textFill>
            <w14:solidFill>
              <w14:schemeClr w14:val="tx1"/>
            </w14:solidFill>
          </w14:textFill>
        </w:rPr>
      </w:pPr>
      <w:bookmarkStart w:id="0" w:name="_Toc4870"/>
      <w:r>
        <w:rPr>
          <w:rFonts w:hint="eastAsia" w:ascii="黑体" w:eastAsia="黑体"/>
          <w:b/>
          <w:color w:val="000000" w:themeColor="text1"/>
          <w14:textFill>
            <w14:solidFill>
              <w14:schemeClr w14:val="tx1"/>
            </w14:solidFill>
          </w14:textFill>
        </w:rPr>
        <w:br w:type="page"/>
      </w:r>
    </w:p>
    <w:p>
      <w:pPr>
        <w:pStyle w:val="166"/>
        <w:ind w:firstLine="482"/>
        <w:jc w:val="left"/>
        <w:outlineLvl w:val="0"/>
        <w:rPr>
          <w:rFonts w:ascii="黑体" w:hAnsi="黑体" w:eastAsia="宋体" w:cs="黑体"/>
          <w:b/>
          <w:color w:val="000000" w:themeColor="text1"/>
          <w14:textFill>
            <w14:solidFill>
              <w14:schemeClr w14:val="tx1"/>
            </w14:solidFill>
          </w14:textFill>
        </w:rPr>
      </w:pPr>
      <w:bookmarkStart w:id="1" w:name="_Toc32370"/>
      <w:bookmarkStart w:id="2" w:name="_Toc1522"/>
      <w:bookmarkStart w:id="3" w:name="_Toc24068"/>
      <w:bookmarkStart w:id="4" w:name="_Toc24718"/>
      <w:bookmarkStart w:id="5" w:name="_Toc7490"/>
      <w:r>
        <w:rPr>
          <w:rFonts w:hint="eastAsia" w:ascii="宋体" w:hAnsi="宋体" w:eastAsia="宋体" w:cs="宋体"/>
          <w:b/>
          <w:color w:val="000000" w:themeColor="text1"/>
          <w14:textFill>
            <w14:solidFill>
              <w14:schemeClr w14:val="tx1"/>
            </w14:solidFill>
          </w14:textFill>
        </w:rPr>
        <w:t>附件</w:t>
      </w:r>
      <w:bookmarkEnd w:id="0"/>
      <w:bookmarkEnd w:id="1"/>
      <w:bookmarkEnd w:id="2"/>
      <w:bookmarkEnd w:id="3"/>
      <w:bookmarkEnd w:id="4"/>
      <w:r>
        <w:rPr>
          <w:rFonts w:hint="eastAsia" w:ascii="宋体" w:hAnsi="宋体" w:eastAsia="宋体" w:cs="宋体"/>
          <w:b/>
          <w:color w:val="000000" w:themeColor="text1"/>
          <w14:textFill>
            <w14:solidFill>
              <w14:schemeClr w14:val="tx1"/>
            </w14:solidFill>
          </w14:textFill>
        </w:rPr>
        <w:t>：</w:t>
      </w:r>
      <w:bookmarkEnd w:id="5"/>
    </w:p>
    <w:p>
      <w:pPr>
        <w:pStyle w:val="166"/>
        <w:spacing w:line="400" w:lineRule="exact"/>
        <w:rPr>
          <w:rFonts w:ascii="Times New Roman" w:hAnsi="Times New Roman" w:cs="Times New Roman"/>
          <w:color w:val="000000" w:themeColor="text1"/>
          <w14:textFill>
            <w14:solidFill>
              <w14:schemeClr w14:val="tx1"/>
            </w14:solidFill>
          </w14:textFill>
        </w:rPr>
      </w:pPr>
      <w:r>
        <w:rPr>
          <w:rFonts w:ascii="Times New Roman" w:cs="Times New Roman" w:hAnsiTheme="minorEastAsia"/>
          <w:color w:val="000000" w:themeColor="text1"/>
          <w14:textFill>
            <w14:solidFill>
              <w14:schemeClr w14:val="tx1"/>
            </w14:solidFill>
          </w14:textFill>
        </w:rPr>
        <w:t>附件</w:t>
      </w: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 xml:space="preserve">  </w:t>
      </w:r>
      <w:r>
        <w:rPr>
          <w:rFonts w:ascii="Times New Roman" w:cs="Times New Roman" w:hAnsiTheme="minorEastAsia"/>
          <w:color w:val="000000" w:themeColor="text1"/>
          <w14:textFill>
            <w14:solidFill>
              <w14:schemeClr w14:val="tx1"/>
            </w14:solidFill>
          </w14:textFill>
        </w:rPr>
        <w:t>委托书</w:t>
      </w:r>
    </w:p>
    <w:p>
      <w:pPr>
        <w:pStyle w:val="166"/>
        <w:spacing w:line="400" w:lineRule="exact"/>
        <w:rPr>
          <w:rFonts w:ascii="Times New Roman" w:hAnsi="Times New Roman" w:cs="Times New Roman"/>
          <w:color w:val="000000" w:themeColor="text1"/>
          <w14:textFill>
            <w14:solidFill>
              <w14:schemeClr w14:val="tx1"/>
            </w14:solidFill>
          </w14:textFill>
        </w:rPr>
      </w:pPr>
      <w:r>
        <w:rPr>
          <w:rFonts w:ascii="Times New Roman" w:cs="Times New Roman" w:hAnsiTheme="minorEastAsia"/>
          <w:color w:val="000000" w:themeColor="text1"/>
          <w:szCs w:val="36"/>
          <w14:textFill>
            <w14:solidFill>
              <w14:schemeClr w14:val="tx1"/>
            </w14:solidFill>
          </w14:textFill>
        </w:rPr>
        <w:t>附件</w:t>
      </w:r>
      <w:r>
        <w:rPr>
          <w:rFonts w:ascii="Times New Roman" w:hAnsi="Times New Roman" w:cs="Times New Roman"/>
          <w:color w:val="000000" w:themeColor="text1"/>
          <w:szCs w:val="36"/>
          <w14:textFill>
            <w14:solidFill>
              <w14:schemeClr w14:val="tx1"/>
            </w14:solidFill>
          </w14:textFill>
        </w:rPr>
        <w:t>2</w:t>
      </w:r>
      <w:r>
        <w:rPr>
          <w:rFonts w:hint="eastAsia" w:ascii="Times New Roman" w:hAnsi="Times New Roman" w:cs="Times New Roman"/>
          <w:color w:val="000000" w:themeColor="text1"/>
          <w:szCs w:val="36"/>
          <w14:textFill>
            <w14:solidFill>
              <w14:schemeClr w14:val="tx1"/>
            </w14:solidFill>
          </w14:textFill>
        </w:rPr>
        <w:t xml:space="preserve">  </w:t>
      </w:r>
      <w:r>
        <w:rPr>
          <w:rFonts w:ascii="Times New Roman" w:cs="Times New Roman" w:hAnsiTheme="minorEastAsia"/>
          <w:color w:val="000000" w:themeColor="text1"/>
          <w14:textFill>
            <w14:solidFill>
              <w14:schemeClr w14:val="tx1"/>
            </w14:solidFill>
          </w14:textFill>
        </w:rPr>
        <w:t>备案证</w:t>
      </w:r>
    </w:p>
    <w:p>
      <w:pPr>
        <w:pStyle w:val="166"/>
        <w:spacing w:line="400" w:lineRule="exact"/>
        <w:rPr>
          <w:rFonts w:ascii="Times New Roman" w:hAnsi="Times New Roman" w:cs="Times New Roman"/>
          <w:color w:val="000000" w:themeColor="text1"/>
          <w14:textFill>
            <w14:solidFill>
              <w14:schemeClr w14:val="tx1"/>
            </w14:solidFill>
          </w14:textFill>
        </w:rPr>
      </w:pPr>
      <w:r>
        <w:rPr>
          <w:rFonts w:ascii="Times New Roman" w:cs="Times New Roman" w:hAnsiTheme="minorEastAsia"/>
          <w:color w:val="000000" w:themeColor="text1"/>
          <w:szCs w:val="36"/>
          <w14:textFill>
            <w14:solidFill>
              <w14:schemeClr w14:val="tx1"/>
            </w14:solidFill>
          </w14:textFill>
        </w:rPr>
        <w:t>附件</w:t>
      </w:r>
      <w:r>
        <w:rPr>
          <w:rFonts w:ascii="Times New Roman" w:hAnsi="Times New Roman" w:cs="Times New Roman"/>
          <w:color w:val="000000" w:themeColor="text1"/>
          <w:szCs w:val="36"/>
          <w14:textFill>
            <w14:solidFill>
              <w14:schemeClr w14:val="tx1"/>
            </w14:solidFill>
          </w14:textFill>
        </w:rPr>
        <w:t>3</w:t>
      </w:r>
      <w:r>
        <w:rPr>
          <w:rFonts w:hint="eastAsia" w:ascii="Times New Roman" w:hAnsi="Times New Roman" w:cs="Times New Roman"/>
          <w:color w:val="000000" w:themeColor="text1"/>
          <w:szCs w:val="36"/>
          <w14:textFill>
            <w14:solidFill>
              <w14:schemeClr w14:val="tx1"/>
            </w14:solidFill>
          </w14:textFill>
        </w:rPr>
        <w:t xml:space="preserve">  </w:t>
      </w:r>
      <w:r>
        <w:rPr>
          <w:rFonts w:ascii="Times New Roman" w:cs="Times New Roman" w:hAnsiTheme="minorEastAsia"/>
          <w:color w:val="000000" w:themeColor="text1"/>
          <w14:textFill>
            <w14:solidFill>
              <w14:schemeClr w14:val="tx1"/>
            </w14:solidFill>
          </w14:textFill>
        </w:rPr>
        <w:t>营业执照</w:t>
      </w:r>
    </w:p>
    <w:p>
      <w:pPr>
        <w:pStyle w:val="166"/>
        <w:spacing w:line="400" w:lineRule="exact"/>
        <w:rPr>
          <w:rFonts w:ascii="Times New Roman" w:cs="Times New Roman" w:hAnsiTheme="minorEastAsia"/>
          <w:color w:val="000000" w:themeColor="text1"/>
          <w14:textFill>
            <w14:solidFill>
              <w14:schemeClr w14:val="tx1"/>
            </w14:solidFill>
          </w14:textFill>
        </w:rPr>
      </w:pPr>
      <w:r>
        <w:rPr>
          <w:rFonts w:ascii="Times New Roman" w:cs="Times New Roman" w:hAnsiTheme="minorEastAsia"/>
          <w:color w:val="000000" w:themeColor="text1"/>
          <w:szCs w:val="36"/>
          <w14:textFill>
            <w14:solidFill>
              <w14:schemeClr w14:val="tx1"/>
            </w14:solidFill>
          </w14:textFill>
        </w:rPr>
        <w:t>附件</w:t>
      </w:r>
      <w:r>
        <w:rPr>
          <w:rFonts w:ascii="Times New Roman" w:hAnsi="Times New Roman" w:cs="Times New Roman"/>
          <w:color w:val="000000" w:themeColor="text1"/>
          <w:szCs w:val="36"/>
          <w14:textFill>
            <w14:solidFill>
              <w14:schemeClr w14:val="tx1"/>
            </w14:solidFill>
          </w14:textFill>
        </w:rPr>
        <w:t>4</w:t>
      </w:r>
      <w:r>
        <w:rPr>
          <w:rFonts w:hint="eastAsia" w:ascii="Times New Roman" w:hAnsi="Times New Roman" w:cs="Times New Roman"/>
          <w:color w:val="000000" w:themeColor="text1"/>
          <w:szCs w:val="36"/>
          <w14:textFill>
            <w14:solidFill>
              <w14:schemeClr w14:val="tx1"/>
            </w14:solidFill>
          </w14:textFill>
        </w:rPr>
        <w:t xml:space="preserve">  </w:t>
      </w:r>
      <w:r>
        <w:rPr>
          <w:rFonts w:hint="eastAsia" w:ascii="Times New Roman" w:cs="Times New Roman" w:hAnsiTheme="minorEastAsia"/>
          <w:color w:val="000000" w:themeColor="text1"/>
          <w14:textFill>
            <w14:solidFill>
              <w14:schemeClr w14:val="tx1"/>
            </w14:solidFill>
          </w14:textFill>
        </w:rPr>
        <w:t>建设用地规划许可证</w:t>
      </w:r>
    </w:p>
    <w:p>
      <w:pPr>
        <w:pStyle w:val="166"/>
        <w:spacing w:line="400" w:lineRule="exact"/>
        <w:rPr>
          <w:rFonts w:ascii="Times New Roman" w:cs="Times New Roman" w:hAnsiTheme="minorEastAsia"/>
          <w:color w:val="000000" w:themeColor="text1"/>
          <w14:textFill>
            <w14:solidFill>
              <w14:schemeClr w14:val="tx1"/>
            </w14:solidFill>
          </w14:textFill>
        </w:rPr>
      </w:pPr>
      <w:r>
        <w:rPr>
          <w:rFonts w:ascii="Times New Roman" w:cs="Times New Roman" w:hAnsiTheme="minorEastAsia"/>
          <w:color w:val="000000" w:themeColor="text1"/>
          <w:szCs w:val="36"/>
          <w14:textFill>
            <w14:solidFill>
              <w14:schemeClr w14:val="tx1"/>
            </w14:solidFill>
          </w14:textFill>
        </w:rPr>
        <w:t>附件</w:t>
      </w:r>
      <w:r>
        <w:rPr>
          <w:rFonts w:ascii="Times New Roman" w:hAnsi="Times New Roman" w:cs="Times New Roman"/>
          <w:color w:val="000000" w:themeColor="text1"/>
          <w:szCs w:val="36"/>
          <w14:textFill>
            <w14:solidFill>
              <w14:schemeClr w14:val="tx1"/>
            </w14:solidFill>
          </w14:textFill>
        </w:rPr>
        <w:t>5</w:t>
      </w:r>
      <w:r>
        <w:rPr>
          <w:rFonts w:hint="eastAsia" w:ascii="Times New Roman" w:hAnsi="Times New Roman" w:cs="Times New Roman"/>
          <w:color w:val="000000" w:themeColor="text1"/>
          <w:szCs w:val="36"/>
          <w:lang w:val="en-US" w:eastAsia="zh-CN"/>
          <w14:textFill>
            <w14:solidFill>
              <w14:schemeClr w14:val="tx1"/>
            </w14:solidFill>
          </w14:textFill>
        </w:rPr>
        <w:t xml:space="preserve">  </w:t>
      </w:r>
      <w:r>
        <w:rPr>
          <w:rFonts w:hint="eastAsia" w:ascii="Times New Roman" w:cs="Times New Roman" w:hAnsiTheme="minorEastAsia"/>
          <w:color w:val="000000" w:themeColor="text1"/>
          <w14:textFill>
            <w14:solidFill>
              <w14:schemeClr w14:val="tx1"/>
            </w14:solidFill>
          </w14:textFill>
        </w:rPr>
        <w:t>市环保局关于宜昌化工园宜都园区规划环境影响报告书审查意见的函</w:t>
      </w:r>
    </w:p>
    <w:p>
      <w:pPr>
        <w:pStyle w:val="166"/>
        <w:spacing w:line="400" w:lineRule="exact"/>
        <w:rPr>
          <w:rFonts w:ascii="Times New Roman" w:cs="Times New Roman" w:hAnsiTheme="minorEastAsia"/>
          <w:color w:val="000000" w:themeColor="text1"/>
          <w14:textFill>
            <w14:solidFill>
              <w14:schemeClr w14:val="tx1"/>
            </w14:solidFill>
          </w14:textFill>
        </w:rPr>
      </w:pPr>
      <w:r>
        <w:rPr>
          <w:rFonts w:hint="eastAsia" w:ascii="Times New Roman" w:cs="Times New Roman" w:hAnsiTheme="minorEastAsia"/>
          <w:color w:val="000000" w:themeColor="text1"/>
          <w14:textFill>
            <w14:solidFill>
              <w14:schemeClr w14:val="tx1"/>
            </w14:solidFill>
          </w14:textFill>
        </w:rPr>
        <w:t>附件6  项目入园预核准材料</w:t>
      </w:r>
    </w:p>
    <w:p>
      <w:pPr>
        <w:pStyle w:val="166"/>
        <w:spacing w:line="400" w:lineRule="exact"/>
        <w:rPr>
          <w:rFonts w:ascii="Times New Roman" w:cs="Times New Roman" w:hAnsiTheme="minorEastAsia"/>
          <w:color w:val="000000" w:themeColor="text1"/>
          <w14:textFill>
            <w14:solidFill>
              <w14:schemeClr w14:val="tx1"/>
            </w14:solidFill>
          </w14:textFill>
        </w:rPr>
      </w:pPr>
      <w:r>
        <w:rPr>
          <w:rFonts w:hint="eastAsia" w:ascii="Times New Roman" w:cs="Times New Roman" w:hAnsiTheme="minorEastAsia"/>
          <w:color w:val="000000" w:themeColor="text1"/>
          <w14:textFill>
            <w14:solidFill>
              <w14:schemeClr w14:val="tx1"/>
            </w14:solidFill>
          </w14:textFill>
        </w:rPr>
        <w:t>附件7  环评内容确认函</w:t>
      </w:r>
    </w:p>
    <w:p>
      <w:pPr>
        <w:pStyle w:val="166"/>
        <w:spacing w:line="400" w:lineRule="exact"/>
        <w:rPr>
          <w:rFonts w:ascii="Times New Roman" w:cs="Times New Roman" w:hAnsiTheme="minorEastAsia"/>
          <w:color w:val="000000" w:themeColor="text1"/>
          <w14:textFill>
            <w14:solidFill>
              <w14:schemeClr w14:val="tx1"/>
            </w14:solidFill>
          </w14:textFill>
        </w:rPr>
      </w:pPr>
      <w:r>
        <w:rPr>
          <w:rFonts w:hint="eastAsia" w:ascii="Times New Roman" w:cs="Times New Roman" w:hAnsiTheme="minorEastAsia"/>
          <w:color w:val="000000" w:themeColor="text1"/>
          <w14:textFill>
            <w14:solidFill>
              <w14:schemeClr w14:val="tx1"/>
            </w14:solidFill>
          </w14:textFill>
        </w:rPr>
        <w:t>附件8  监测报告</w:t>
      </w:r>
    </w:p>
    <w:p>
      <w:pPr>
        <w:pStyle w:val="166"/>
        <w:spacing w:line="400" w:lineRule="exact"/>
        <w:rPr>
          <w:rFonts w:hint="eastAsia" w:ascii="Times New Roman" w:cs="Times New Roman" w:hAnsiTheme="minorEastAsia"/>
          <w:color w:val="000000" w:themeColor="text1"/>
          <w14:textFill>
            <w14:solidFill>
              <w14:schemeClr w14:val="tx1"/>
            </w14:solidFill>
          </w14:textFill>
        </w:rPr>
      </w:pPr>
      <w:r>
        <w:rPr>
          <w:rFonts w:hint="eastAsia" w:ascii="Times New Roman" w:cs="Times New Roman" w:hAnsiTheme="minorEastAsia"/>
          <w:color w:val="000000" w:themeColor="text1"/>
          <w14:textFill>
            <w14:solidFill>
              <w14:schemeClr w14:val="tx1"/>
            </w14:solidFill>
          </w14:textFill>
        </w:rPr>
        <w:t>附件9  项目用热情况说明</w:t>
      </w:r>
    </w:p>
    <w:p>
      <w:pPr>
        <w:pStyle w:val="166"/>
        <w:spacing w:line="400" w:lineRule="exact"/>
        <w:rPr>
          <w:rFonts w:hint="default" w:ascii="Times New Roman" w:cs="Times New Roman" w:hAnsiTheme="minorEastAsia" w:eastAsiaTheme="minorEastAsia"/>
          <w:color w:val="000000" w:themeColor="text1"/>
          <w:lang w:val="en-US" w:eastAsia="zh-CN"/>
          <w14:textFill>
            <w14:solidFill>
              <w14:schemeClr w14:val="tx1"/>
            </w14:solidFill>
          </w14:textFill>
        </w:rPr>
      </w:pPr>
      <w:r>
        <w:rPr>
          <w:rFonts w:hint="eastAsia" w:ascii="Times New Roman" w:cs="Times New Roman" w:hAnsiTheme="minorEastAsia"/>
          <w:color w:val="000000" w:themeColor="text1"/>
          <w:lang w:val="en-US" w:eastAsia="zh-CN"/>
          <w14:textFill>
            <w14:solidFill>
              <w14:schemeClr w14:val="tx1"/>
            </w14:solidFill>
          </w14:textFill>
        </w:rPr>
        <w:t>附件10 项目用地红线图</w:t>
      </w:r>
    </w:p>
    <w:p>
      <w:pPr>
        <w:pStyle w:val="166"/>
        <w:spacing w:line="400" w:lineRule="exact"/>
        <w:ind w:firstLine="482"/>
        <w:jc w:val="left"/>
        <w:outlineLvl w:val="0"/>
        <w:rPr>
          <w:rFonts w:ascii="黑体" w:eastAsia="黑体"/>
          <w:b/>
          <w:color w:val="000000" w:themeColor="text1"/>
          <w:highlight w:val="yellow"/>
          <w14:textFill>
            <w14:solidFill>
              <w14:schemeClr w14:val="tx1"/>
            </w14:solidFill>
          </w14:textFill>
        </w:rPr>
      </w:pPr>
      <w:bookmarkStart w:id="6" w:name="_Toc32183"/>
      <w:bookmarkStart w:id="7" w:name="_Toc16311"/>
      <w:bookmarkStart w:id="8" w:name="_Toc684"/>
    </w:p>
    <w:p>
      <w:pPr>
        <w:pStyle w:val="166"/>
        <w:spacing w:line="400" w:lineRule="exact"/>
        <w:ind w:firstLine="482"/>
        <w:jc w:val="left"/>
        <w:outlineLvl w:val="0"/>
        <w:rPr>
          <w:rFonts w:ascii="宋体" w:hAnsi="宋体" w:eastAsia="宋体" w:cs="宋体"/>
          <w:b/>
          <w:color w:val="000000" w:themeColor="text1"/>
          <w14:textFill>
            <w14:solidFill>
              <w14:schemeClr w14:val="tx1"/>
            </w14:solidFill>
          </w14:textFill>
        </w:rPr>
      </w:pPr>
      <w:bookmarkStart w:id="9" w:name="_Toc3651"/>
      <w:bookmarkStart w:id="10" w:name="_Toc22429"/>
      <w:bookmarkStart w:id="11" w:name="_Toc2585"/>
      <w:r>
        <w:rPr>
          <w:rFonts w:hint="eastAsia" w:ascii="宋体" w:hAnsi="宋体" w:eastAsia="宋体" w:cs="宋体"/>
          <w:b/>
          <w:color w:val="000000" w:themeColor="text1"/>
          <w14:textFill>
            <w14:solidFill>
              <w14:schemeClr w14:val="tx1"/>
            </w14:solidFill>
          </w14:textFill>
        </w:rPr>
        <w:t>附图</w:t>
      </w:r>
      <w:bookmarkEnd w:id="6"/>
      <w:bookmarkEnd w:id="7"/>
      <w:bookmarkEnd w:id="8"/>
      <w:bookmarkEnd w:id="9"/>
      <w:bookmarkEnd w:id="10"/>
      <w:r>
        <w:rPr>
          <w:rFonts w:hint="eastAsia" w:ascii="宋体" w:hAnsi="宋体" w:eastAsia="宋体" w:cs="宋体"/>
          <w:b/>
          <w:color w:val="000000" w:themeColor="text1"/>
          <w14:textFill>
            <w14:solidFill>
              <w14:schemeClr w14:val="tx1"/>
            </w14:solidFill>
          </w14:textFill>
        </w:rPr>
        <w:t>：</w:t>
      </w:r>
      <w:bookmarkEnd w:id="11"/>
    </w:p>
    <w:p>
      <w:pPr>
        <w:pStyle w:val="166"/>
        <w:spacing w:line="400" w:lineRule="exact"/>
        <w:outlineLvl w:val="0"/>
        <w:rPr>
          <w:rFonts w:ascii="Times New Roman" w:hAnsi="Times New Roman" w:cs="Times New Roman"/>
          <w:color w:val="000000" w:themeColor="text1"/>
          <w14:textFill>
            <w14:solidFill>
              <w14:schemeClr w14:val="tx1"/>
            </w14:solidFill>
          </w14:textFill>
        </w:rPr>
      </w:pPr>
      <w:bookmarkStart w:id="12" w:name="_Toc26088"/>
      <w:bookmarkStart w:id="13" w:name="_Toc6918"/>
      <w:bookmarkStart w:id="14" w:name="_Toc10928"/>
      <w:bookmarkStart w:id="15" w:name="_Toc3400"/>
      <w:bookmarkStart w:id="16" w:name="_Toc12613"/>
      <w:bookmarkStart w:id="17" w:name="_Toc23887"/>
      <w:r>
        <w:rPr>
          <w:rFonts w:ascii="Times New Roman" w:cs="Times New Roman" w:hAnsiTheme="minorEastAsia"/>
          <w:color w:val="000000" w:themeColor="text1"/>
          <w14:textFill>
            <w14:solidFill>
              <w14:schemeClr w14:val="tx1"/>
            </w14:solidFill>
          </w14:textFill>
        </w:rPr>
        <w:t>附图</w:t>
      </w:r>
      <w:r>
        <w:rPr>
          <w:rFonts w:ascii="Times New Roman" w:hAnsi="Times New Roman" w:cs="Times New Roman"/>
          <w:color w:val="000000" w:themeColor="text1"/>
          <w14:textFill>
            <w14:solidFill>
              <w14:schemeClr w14:val="tx1"/>
            </w14:solidFill>
          </w14:textFill>
        </w:rPr>
        <w:t>1</w:t>
      </w:r>
      <w:bookmarkEnd w:id="12"/>
      <w:r>
        <w:rPr>
          <w:rFonts w:hint="eastAsia" w:ascii="Times New Roman" w:hAnsi="Times New Roman" w:cs="Times New Roman"/>
          <w:color w:val="000000" w:themeColor="text1"/>
          <w14:textFill>
            <w14:solidFill>
              <w14:schemeClr w14:val="tx1"/>
            </w14:solidFill>
          </w14:textFill>
        </w:rPr>
        <w:t xml:space="preserve">  项目</w:t>
      </w:r>
      <w:r>
        <w:rPr>
          <w:rFonts w:hint="eastAsia" w:ascii="Times New Roman" w:cs="Times New Roman" w:hAnsiTheme="minorEastAsia"/>
          <w:color w:val="000000" w:themeColor="text1"/>
          <w14:textFill>
            <w14:solidFill>
              <w14:schemeClr w14:val="tx1"/>
            </w14:solidFill>
          </w14:textFill>
        </w:rPr>
        <w:t>地理位置图</w:t>
      </w:r>
      <w:bookmarkEnd w:id="13"/>
      <w:bookmarkEnd w:id="14"/>
      <w:bookmarkEnd w:id="15"/>
      <w:bookmarkEnd w:id="16"/>
      <w:bookmarkEnd w:id="17"/>
    </w:p>
    <w:p>
      <w:pPr>
        <w:pStyle w:val="166"/>
        <w:spacing w:line="400" w:lineRule="exact"/>
        <w:outlineLvl w:val="0"/>
        <w:rPr>
          <w:rFonts w:ascii="Times New Roman" w:cs="Times New Roman" w:hAnsiTheme="minorEastAsia"/>
          <w:color w:val="000000" w:themeColor="text1"/>
          <w14:textFill>
            <w14:solidFill>
              <w14:schemeClr w14:val="tx1"/>
            </w14:solidFill>
          </w14:textFill>
        </w:rPr>
      </w:pPr>
      <w:bookmarkStart w:id="18" w:name="_Toc17122"/>
      <w:bookmarkStart w:id="19" w:name="_Toc22464"/>
      <w:bookmarkStart w:id="20" w:name="_Toc14320"/>
      <w:bookmarkStart w:id="21" w:name="_Toc1885"/>
      <w:bookmarkStart w:id="22" w:name="_Toc13528"/>
      <w:bookmarkStart w:id="23" w:name="_Toc23089"/>
      <w:r>
        <w:rPr>
          <w:rFonts w:hint="eastAsia" w:ascii="Times New Roman" w:cs="Times New Roman" w:hAnsiTheme="minorEastAsia"/>
          <w:color w:val="000000" w:themeColor="text1"/>
          <w14:textFill>
            <w14:solidFill>
              <w14:schemeClr w14:val="tx1"/>
            </w14:solidFill>
          </w14:textFill>
        </w:rPr>
        <w:t>附图2  项目周边关系图</w:t>
      </w:r>
      <w:bookmarkEnd w:id="18"/>
      <w:bookmarkEnd w:id="19"/>
      <w:bookmarkEnd w:id="20"/>
    </w:p>
    <w:p>
      <w:pPr>
        <w:pStyle w:val="166"/>
        <w:spacing w:line="400" w:lineRule="exact"/>
        <w:outlineLvl w:val="0"/>
        <w:rPr>
          <w:rFonts w:ascii="Times New Roman" w:cs="Times New Roman" w:hAnsiTheme="minorEastAsia"/>
          <w:color w:val="000000" w:themeColor="text1"/>
          <w14:textFill>
            <w14:solidFill>
              <w14:schemeClr w14:val="tx1"/>
            </w14:solidFill>
          </w14:textFill>
        </w:rPr>
      </w:pPr>
      <w:bookmarkStart w:id="24" w:name="_Toc26863"/>
      <w:bookmarkStart w:id="25" w:name="_Toc7294"/>
      <w:bookmarkStart w:id="26" w:name="_Toc1779"/>
      <w:r>
        <w:rPr>
          <w:rFonts w:hint="eastAsia" w:ascii="Times New Roman" w:cs="Times New Roman" w:hAnsiTheme="minorEastAsia"/>
          <w:color w:val="000000" w:themeColor="text1"/>
          <w14:textFill>
            <w14:solidFill>
              <w14:schemeClr w14:val="tx1"/>
            </w14:solidFill>
          </w14:textFill>
        </w:rPr>
        <w:t>附图3  项目监测点位图</w:t>
      </w:r>
      <w:bookmarkEnd w:id="24"/>
      <w:bookmarkEnd w:id="25"/>
      <w:bookmarkEnd w:id="26"/>
    </w:p>
    <w:p>
      <w:pPr>
        <w:pStyle w:val="166"/>
        <w:spacing w:line="400" w:lineRule="exact"/>
        <w:outlineLvl w:val="0"/>
        <w:rPr>
          <w:rFonts w:ascii="Times New Roman" w:cs="Times New Roman" w:hAnsiTheme="minorEastAsia"/>
          <w:color w:val="000000" w:themeColor="text1"/>
          <w14:textFill>
            <w14:solidFill>
              <w14:schemeClr w14:val="tx1"/>
            </w14:solidFill>
          </w14:textFill>
        </w:rPr>
      </w:pPr>
      <w:bookmarkStart w:id="27" w:name="_Toc26052"/>
      <w:bookmarkStart w:id="28" w:name="_Toc19978"/>
      <w:bookmarkStart w:id="29" w:name="_Toc10791"/>
      <w:r>
        <w:rPr>
          <w:rFonts w:hint="eastAsia" w:ascii="Times New Roman" w:cs="Times New Roman" w:hAnsiTheme="minorEastAsia"/>
          <w:color w:val="000000" w:themeColor="text1"/>
          <w14:textFill>
            <w14:solidFill>
              <w14:schemeClr w14:val="tx1"/>
            </w14:solidFill>
          </w14:textFill>
        </w:rPr>
        <w:t>附图4  项目平面布置图</w:t>
      </w:r>
      <w:bookmarkEnd w:id="27"/>
      <w:bookmarkEnd w:id="28"/>
      <w:bookmarkEnd w:id="29"/>
    </w:p>
    <w:p>
      <w:pPr>
        <w:pStyle w:val="166"/>
        <w:spacing w:line="400" w:lineRule="exact"/>
        <w:outlineLvl w:val="0"/>
        <w:rPr>
          <w:rFonts w:ascii="Times New Roman" w:hAnsi="Times New Roman" w:cs="Times New Roman"/>
          <w:color w:val="000000" w:themeColor="text1"/>
          <w14:textFill>
            <w14:solidFill>
              <w14:schemeClr w14:val="tx1"/>
            </w14:solidFill>
          </w14:textFill>
        </w:rPr>
      </w:pPr>
      <w:bookmarkStart w:id="30" w:name="_Toc17234"/>
      <w:bookmarkStart w:id="31" w:name="_Toc21873"/>
      <w:bookmarkStart w:id="32" w:name="_Toc18694"/>
      <w:r>
        <w:rPr>
          <w:rFonts w:ascii="Times New Roman" w:cs="Times New Roman" w:hAnsiTheme="minorEastAsia"/>
          <w:color w:val="000000" w:themeColor="text1"/>
          <w14:textFill>
            <w14:solidFill>
              <w14:schemeClr w14:val="tx1"/>
            </w14:solidFill>
          </w14:textFill>
        </w:rPr>
        <w:t>附图</w:t>
      </w:r>
      <w:r>
        <w:rPr>
          <w:rFonts w:hint="eastAsia" w:ascii="Times New Roman" w:hAnsi="Times New Roman" w:cs="Times New Roman"/>
          <w:color w:val="000000" w:themeColor="text1"/>
          <w14:textFill>
            <w14:solidFill>
              <w14:schemeClr w14:val="tx1"/>
            </w14:solidFill>
          </w14:textFill>
        </w:rPr>
        <w:t>5</w:t>
      </w:r>
      <w:bookmarkEnd w:id="21"/>
      <w:r>
        <w:rPr>
          <w:rFonts w:hint="eastAsia" w:ascii="Times New Roman" w:hAnsi="Times New Roman" w:cs="Times New Roman"/>
          <w:color w:val="000000" w:themeColor="text1"/>
          <w14:textFill>
            <w14:solidFill>
              <w14:schemeClr w14:val="tx1"/>
            </w14:solidFill>
          </w14:textFill>
        </w:rPr>
        <w:t xml:space="preserve">  项目与</w:t>
      </w:r>
      <w:r>
        <w:rPr>
          <w:rFonts w:hint="eastAsia" w:ascii="Times New Roman" w:cs="Times New Roman" w:hAnsiTheme="minorEastAsia"/>
          <w:color w:val="000000" w:themeColor="text1"/>
          <w14:textFill>
            <w14:solidFill>
              <w14:schemeClr w14:val="tx1"/>
            </w14:solidFill>
          </w14:textFill>
        </w:rPr>
        <w:t>湖北省生态红线位置关系图</w:t>
      </w:r>
      <w:bookmarkEnd w:id="22"/>
      <w:bookmarkEnd w:id="23"/>
      <w:bookmarkEnd w:id="30"/>
      <w:bookmarkEnd w:id="31"/>
      <w:bookmarkEnd w:id="32"/>
    </w:p>
    <w:p>
      <w:pPr>
        <w:pStyle w:val="166"/>
        <w:widowControl w:val="0"/>
        <w:adjustRightInd w:val="0"/>
        <w:snapToGrid w:val="0"/>
        <w:spacing w:line="400" w:lineRule="exact"/>
        <w:outlineLvl w:val="0"/>
        <w:rPr>
          <w:rFonts w:ascii="Times New Roman" w:hAnsi="Times New Roman" w:cs="Times New Roman"/>
          <w:color w:val="000000" w:themeColor="text1"/>
          <w14:textFill>
            <w14:solidFill>
              <w14:schemeClr w14:val="tx1"/>
            </w14:solidFill>
          </w14:textFill>
        </w:rPr>
      </w:pPr>
      <w:bookmarkStart w:id="33" w:name="_Toc23665"/>
      <w:bookmarkStart w:id="34" w:name="_Toc2940"/>
      <w:bookmarkStart w:id="35" w:name="_Toc22791"/>
      <w:bookmarkStart w:id="36" w:name="_Toc18395"/>
      <w:bookmarkStart w:id="37" w:name="_Toc10398"/>
      <w:bookmarkStart w:id="38" w:name="_Toc26473"/>
      <w:r>
        <w:rPr>
          <w:rFonts w:ascii="Times New Roman" w:cs="Times New Roman" w:hAnsiTheme="minorEastAsia"/>
          <w:color w:val="000000" w:themeColor="text1"/>
          <w14:textFill>
            <w14:solidFill>
              <w14:schemeClr w14:val="tx1"/>
            </w14:solidFill>
          </w14:textFill>
        </w:rPr>
        <w:t>附图</w:t>
      </w:r>
      <w:r>
        <w:rPr>
          <w:rFonts w:hint="eastAsia" w:ascii="Times New Roman" w:hAnsi="Times New Roman" w:cs="Times New Roman"/>
          <w:color w:val="000000" w:themeColor="text1"/>
          <w14:textFill>
            <w14:solidFill>
              <w14:schemeClr w14:val="tx1"/>
            </w14:solidFill>
          </w14:textFill>
        </w:rPr>
        <w:t>6</w:t>
      </w:r>
      <w:bookmarkEnd w:id="33"/>
      <w:r>
        <w:rPr>
          <w:rFonts w:hint="eastAsia" w:ascii="Times New Roman" w:hAnsi="Times New Roman" w:cs="Times New Roman"/>
          <w:color w:val="000000" w:themeColor="text1"/>
          <w14:textFill>
            <w14:solidFill>
              <w14:schemeClr w14:val="tx1"/>
            </w14:solidFill>
          </w14:textFill>
        </w:rPr>
        <w:t xml:space="preserve">  </w:t>
      </w:r>
      <w:r>
        <w:rPr>
          <w:rFonts w:hint="eastAsia" w:ascii="Times New Roman" w:cs="Times New Roman" w:hAnsiTheme="minorEastAsia"/>
          <w:color w:val="000000" w:themeColor="text1"/>
          <w14:textFill>
            <w14:solidFill>
              <w14:schemeClr w14:val="tx1"/>
            </w14:solidFill>
          </w14:textFill>
        </w:rPr>
        <w:t>项目与宜都化工园区位置关系图</w:t>
      </w:r>
      <w:bookmarkEnd w:id="34"/>
      <w:bookmarkEnd w:id="35"/>
      <w:bookmarkEnd w:id="36"/>
      <w:bookmarkEnd w:id="37"/>
      <w:bookmarkEnd w:id="38"/>
    </w:p>
    <w:p>
      <w:pPr>
        <w:pStyle w:val="166"/>
        <w:widowControl w:val="0"/>
        <w:adjustRightInd w:val="0"/>
        <w:snapToGrid w:val="0"/>
        <w:spacing w:line="400" w:lineRule="exact"/>
        <w:outlineLvl w:val="0"/>
        <w:rPr>
          <w:rFonts w:ascii="Times New Roman" w:cs="Times New Roman" w:hAnsiTheme="minorEastAsia"/>
          <w:color w:val="000000" w:themeColor="text1"/>
          <w:highlight w:val="yellow"/>
          <w14:textFill>
            <w14:solidFill>
              <w14:schemeClr w14:val="tx1"/>
            </w14:solidFill>
          </w14:textFill>
        </w:rPr>
      </w:pPr>
      <w:bookmarkStart w:id="39" w:name="_Toc32534"/>
      <w:bookmarkStart w:id="40" w:name="_Toc10672"/>
      <w:bookmarkStart w:id="41" w:name="_Toc20651"/>
      <w:bookmarkStart w:id="42" w:name="_Toc1812"/>
      <w:bookmarkStart w:id="43" w:name="_Toc24218"/>
      <w:bookmarkStart w:id="44" w:name="_Toc7660"/>
      <w:r>
        <w:rPr>
          <w:rFonts w:ascii="Times New Roman" w:cs="Times New Roman" w:hAnsiTheme="minorEastAsia"/>
          <w:color w:val="000000" w:themeColor="text1"/>
          <w14:textFill>
            <w14:solidFill>
              <w14:schemeClr w14:val="tx1"/>
            </w14:solidFill>
          </w14:textFill>
        </w:rPr>
        <w:t>附图</w:t>
      </w:r>
      <w:bookmarkEnd w:id="39"/>
      <w:r>
        <w:rPr>
          <w:rFonts w:hint="eastAsia" w:ascii="Times New Roman" w:cs="Times New Roman" w:hAnsiTheme="minorEastAsia"/>
          <w:color w:val="000000" w:themeColor="text1"/>
          <w14:textFill>
            <w14:solidFill>
              <w14:schemeClr w14:val="tx1"/>
            </w14:solidFill>
          </w14:textFill>
        </w:rPr>
        <w:t>7  项目分区防渗图</w:t>
      </w:r>
      <w:bookmarkEnd w:id="40"/>
      <w:bookmarkEnd w:id="41"/>
      <w:bookmarkEnd w:id="42"/>
      <w:bookmarkEnd w:id="43"/>
      <w:bookmarkEnd w:id="44"/>
    </w:p>
    <w:p>
      <w:pPr>
        <w:pStyle w:val="166"/>
        <w:widowControl w:val="0"/>
        <w:adjustRightInd w:val="0"/>
        <w:snapToGrid w:val="0"/>
        <w:spacing w:line="400" w:lineRule="exact"/>
        <w:outlineLvl w:val="0"/>
        <w:rPr>
          <w:rFonts w:ascii="Times New Roman" w:cs="Times New Roman" w:hAnsiTheme="minorEastAsia"/>
          <w:color w:val="000000" w:themeColor="text1"/>
          <w14:textFill>
            <w14:solidFill>
              <w14:schemeClr w14:val="tx1"/>
            </w14:solidFill>
          </w14:textFill>
        </w:rPr>
      </w:pPr>
      <w:bookmarkStart w:id="45" w:name="_Toc28738"/>
      <w:bookmarkStart w:id="46" w:name="_Toc32759"/>
      <w:bookmarkStart w:id="47" w:name="_Toc24428"/>
      <w:bookmarkStart w:id="48" w:name="_Toc25957"/>
      <w:bookmarkStart w:id="49" w:name="_Toc32077"/>
      <w:r>
        <w:rPr>
          <w:rFonts w:hint="eastAsia" w:ascii="Times New Roman" w:cs="Times New Roman" w:hAnsiTheme="minorEastAsia"/>
          <w:color w:val="000000" w:themeColor="text1"/>
          <w14:textFill>
            <w14:solidFill>
              <w14:schemeClr w14:val="tx1"/>
            </w14:solidFill>
          </w14:textFill>
        </w:rPr>
        <w:t>附图8  项目大气评价范围图</w:t>
      </w:r>
      <w:bookmarkEnd w:id="45"/>
      <w:bookmarkEnd w:id="46"/>
      <w:bookmarkEnd w:id="47"/>
      <w:bookmarkEnd w:id="48"/>
      <w:bookmarkEnd w:id="49"/>
    </w:p>
    <w:p>
      <w:pPr>
        <w:pStyle w:val="166"/>
        <w:widowControl w:val="0"/>
        <w:adjustRightInd w:val="0"/>
        <w:snapToGrid w:val="0"/>
        <w:spacing w:line="400" w:lineRule="exact"/>
        <w:outlineLvl w:val="0"/>
        <w:rPr>
          <w:rFonts w:ascii="Times New Roman" w:cs="Times New Roman" w:hAnsiTheme="minorEastAsia"/>
          <w:color w:val="000000" w:themeColor="text1"/>
          <w14:textFill>
            <w14:solidFill>
              <w14:schemeClr w14:val="tx1"/>
            </w14:solidFill>
          </w14:textFill>
        </w:rPr>
      </w:pPr>
    </w:p>
    <w:p>
      <w:pPr>
        <w:spacing w:line="520" w:lineRule="exact"/>
        <w:jc w:val="center"/>
        <w:rPr>
          <w:rFonts w:ascii="黑体" w:hAnsi="Times New Roman" w:eastAsia="黑体" w:cs="黑体"/>
          <w:b/>
          <w:color w:val="000000" w:themeColor="text1"/>
          <w:sz w:val="44"/>
          <w:szCs w:val="44"/>
          <w14:textFill>
            <w14:solidFill>
              <w14:schemeClr w14:val="tx1"/>
            </w14:solidFill>
          </w14:textFill>
        </w:rPr>
        <w:sectPr>
          <w:headerReference r:id="rId3" w:type="default"/>
          <w:footerReference r:id="rId4" w:type="default"/>
          <w:pgSz w:w="11906" w:h="16838"/>
          <w:pgMar w:top="1418" w:right="1418" w:bottom="1418" w:left="1418" w:header="1077" w:footer="1077" w:gutter="0"/>
          <w:pgBorders>
            <w:top w:val="none" w:sz="0" w:space="0"/>
            <w:left w:val="none" w:sz="0" w:space="0"/>
            <w:bottom w:val="none" w:sz="0" w:space="0"/>
            <w:right w:val="none" w:sz="0" w:space="0"/>
          </w:pgBorders>
          <w:pgNumType w:fmt="upperRoman"/>
          <w:cols w:space="425" w:num="1"/>
          <w:docGrid w:type="lines" w:linePitch="312" w:charSpace="0"/>
        </w:sectPr>
      </w:pPr>
    </w:p>
    <w:p>
      <w:pPr>
        <w:jc w:val="center"/>
        <w:rPr>
          <w:rFonts w:ascii="黑体" w:hAnsi="Times New Roman" w:eastAsia="黑体" w:cs="黑体"/>
          <w:b/>
          <w:color w:val="000000" w:themeColor="text1"/>
          <w:szCs w:val="21"/>
          <w14:textFill>
            <w14:solidFill>
              <w14:schemeClr w14:val="tx1"/>
            </w14:solidFill>
          </w14:textFill>
        </w:rPr>
      </w:pPr>
    </w:p>
    <w:p>
      <w:pPr>
        <w:spacing w:line="520" w:lineRule="exact"/>
        <w:jc w:val="center"/>
        <w:outlineLvl w:val="0"/>
        <w:rPr>
          <w:rFonts w:hint="eastAsia" w:ascii="黑体" w:hAnsi="Times New Roman" w:eastAsia="黑体" w:cs="黑体"/>
          <w:b/>
          <w:color w:val="000000" w:themeColor="text1"/>
          <w:sz w:val="44"/>
          <w:szCs w:val="44"/>
          <w:lang w:val="en-US" w:eastAsia="zh-CN"/>
          <w14:textFill>
            <w14:solidFill>
              <w14:schemeClr w14:val="tx1"/>
            </w14:solidFill>
          </w14:textFill>
        </w:rPr>
      </w:pPr>
      <w:bookmarkStart w:id="50" w:name="_Toc28319"/>
      <w:r>
        <w:rPr>
          <w:rFonts w:hint="default" w:ascii="Times New Roman" w:hAnsi="Times New Roman" w:eastAsia="黑体" w:cs="Times New Roman"/>
          <w:b/>
          <w:color w:val="000000" w:themeColor="text1"/>
          <w:sz w:val="44"/>
          <w:szCs w:val="44"/>
          <w:lang w:val="en-US" w:eastAsia="zh-CN"/>
          <w14:textFill>
            <w14:solidFill>
              <w14:schemeClr w14:val="tx1"/>
            </w14:solidFill>
          </w14:textFill>
        </w:rPr>
        <w:t>1</w:t>
      </w:r>
      <w:r>
        <w:rPr>
          <w:rFonts w:hint="eastAsia" w:ascii="黑体" w:hAnsi="Times New Roman" w:eastAsia="黑体" w:cs="黑体"/>
          <w:b/>
          <w:color w:val="000000" w:themeColor="text1"/>
          <w:sz w:val="44"/>
          <w:szCs w:val="44"/>
          <w:lang w:val="en-US" w:eastAsia="zh-CN"/>
          <w14:textFill>
            <w14:solidFill>
              <w14:schemeClr w14:val="tx1"/>
            </w14:solidFill>
          </w14:textFill>
        </w:rPr>
        <w:t>概</w:t>
      </w:r>
      <w:r>
        <w:rPr>
          <w:rFonts w:hint="eastAsia" w:ascii="黑体" w:hAnsi="Times New Roman" w:eastAsia="黑体" w:cs="黑体"/>
          <w:b/>
          <w:color w:val="000000" w:themeColor="text1"/>
          <w:sz w:val="44"/>
          <w:szCs w:val="44"/>
          <w14:textFill>
            <w14:solidFill>
              <w14:schemeClr w14:val="tx1"/>
            </w14:solidFill>
          </w14:textFill>
        </w:rPr>
        <w:t xml:space="preserve"> </w:t>
      </w:r>
      <w:r>
        <w:rPr>
          <w:rFonts w:hint="eastAsia" w:ascii="黑体" w:hAnsi="Times New Roman" w:eastAsia="黑体" w:cs="黑体"/>
          <w:b/>
          <w:color w:val="000000" w:themeColor="text1"/>
          <w:sz w:val="44"/>
          <w:szCs w:val="44"/>
          <w:lang w:val="en-US" w:eastAsia="zh-CN"/>
          <w14:textFill>
            <w14:solidFill>
              <w14:schemeClr w14:val="tx1"/>
            </w14:solidFill>
          </w14:textFill>
        </w:rPr>
        <w:t>述</w:t>
      </w:r>
      <w:bookmarkEnd w:id="50"/>
    </w:p>
    <w:p>
      <w:pPr>
        <w:numPr>
          <w:ilvl w:val="0"/>
          <w:numId w:val="0"/>
        </w:numPr>
        <w:spacing w:before="120" w:beforeLines="50"/>
        <w:jc w:val="left"/>
        <w:outlineLvl w:val="0"/>
        <w:rPr>
          <w:rFonts w:ascii="黑体" w:hAnsi="黑体" w:eastAsia="黑体"/>
          <w:b/>
          <w:color w:val="000000" w:themeColor="text1"/>
          <w:sz w:val="32"/>
          <w:szCs w:val="32"/>
          <w14:textFill>
            <w14:solidFill>
              <w14:schemeClr w14:val="tx1"/>
            </w14:solidFill>
          </w14:textFill>
        </w:rPr>
      </w:pPr>
      <w:bookmarkStart w:id="51" w:name="_Toc1378"/>
      <w:bookmarkStart w:id="52" w:name="_Toc25525"/>
      <w:bookmarkStart w:id="53" w:name="_Toc8447"/>
      <w:bookmarkStart w:id="54" w:name="_Toc16773"/>
      <w:r>
        <w:rPr>
          <w:rFonts w:ascii="Times New Roman" w:hAnsi="Times New Roman" w:eastAsia="黑体"/>
          <w:b/>
          <w:color w:val="000000" w:themeColor="text1"/>
          <w:sz w:val="32"/>
          <w:szCs w:val="32"/>
          <w14:textFill>
            <w14:solidFill>
              <w14:schemeClr w14:val="tx1"/>
            </w14:solidFill>
          </w14:textFill>
        </w:rPr>
        <w:t>1.1</w:t>
      </w:r>
      <w:r>
        <w:rPr>
          <w:rFonts w:hint="eastAsia" w:ascii="黑体" w:hAnsi="黑体" w:eastAsia="黑体"/>
          <w:b/>
          <w:color w:val="000000" w:themeColor="text1"/>
          <w:sz w:val="32"/>
          <w:szCs w:val="32"/>
          <w14:textFill>
            <w14:solidFill>
              <w14:schemeClr w14:val="tx1"/>
            </w14:solidFill>
          </w14:textFill>
        </w:rPr>
        <w:t>项目背景</w:t>
      </w:r>
      <w:bookmarkEnd w:id="51"/>
      <w:bookmarkEnd w:id="52"/>
      <w:bookmarkEnd w:id="53"/>
      <w:bookmarkEnd w:id="54"/>
    </w:p>
    <w:p>
      <w:pPr>
        <w:spacing w:line="520" w:lineRule="exact"/>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中国氟化工行业“十三五”发展规划明确提出鼓励提高企业含氟尾气的利用率和利用价值；大力鼓励资源综合利用，提高资源利用率，降低处理成本，消除环境污染。并提出重点开发高纯氟化盐包括高纯氟化钠、高纯氟化钾、高纯氟化镁等。</w:t>
      </w:r>
    </w:p>
    <w:p>
      <w:pPr>
        <w:spacing w:line="520" w:lineRule="exact"/>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氟资源是我国现代工业和经济发展必不可少的重要资源，在国民经济中占有重要地位。氟化工产品具耐化学品、耐高低温、耐老化、低摩擦、绝缘等优异的性能，广泛应用于军工、航天、化工、冶金、机械、陶瓷、医药等领域，已成为化工行业中发展最快、最具高新技术和最有前景的行业之一。</w:t>
      </w:r>
    </w:p>
    <w:p>
      <w:pPr>
        <w:spacing w:line="520" w:lineRule="exact"/>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氟化工产业的主要原材料为萤石，萤石是目前我国氟资源的最主要来源，目前氟的来源几乎全部依靠萤石的开采。全世界萤石储量约为6亿吨，全球每年耗用萤石500万吨，其中260万吨来自中国。萤石近年来消耗过快，我国在萤石资源的优势地位正逐步消失，这种情况已引起国家各部门的重视。为保护好这一战略资源，国家有关部门现已采取措施限制开采与出口萤石。萤石资源逐渐匮乏与国民经济发展对氟资源的高依赖性矛盾日益突出。如何保证氟资源的来源，是我们必须寻求答案的难题。</w:t>
      </w:r>
    </w:p>
    <w:p>
      <w:pPr>
        <w:spacing w:line="520" w:lineRule="exact"/>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萤石是氟的重要来源，但并不是唯一来源。磷矿石中也伴生着大量的氟资源。世界磷矿石储量约600亿吨，磷矿石中的氟含量约2%～4%，相对应的氟总量约为12-24亿吨。而全球萤石储量约为6亿吨，按50%氟含量来计算，氟总量也只有约3亿吨。所以磷矿石中伴生的氟占世界氟蕴藏量的80%左右，远比萤石的储量大。我国目前有实际开采价值的磷矿中就有8亿～l4亿吨的氟资源，相当16亿～28亿吨萤石的含氟量。中国不但是萤石资源消耗大国，也是磷矿消耗大国。但是目前我国氟化工生产主要以萤石为原料，而储量最大的磷矿石中的氟资源并没有得到有效开发利用，这种资源利用状况是不合理的，造成了氟资源的极大浪费。</w:t>
      </w:r>
    </w:p>
    <w:p>
      <w:pPr>
        <w:spacing w:line="520" w:lineRule="exact"/>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磷矿资源主要应用于磷化工中的磷肥生产，磷矿石中伴生的大量氟资源。磷肥生产所用的原料磷灰石（Ca</w:t>
      </w:r>
      <w:r>
        <w:rPr>
          <w:rFonts w:hint="eastAsia" w:ascii="Times New Roman" w:hAnsi="Times New Roman"/>
          <w:color w:val="000000" w:themeColor="text1"/>
          <w:kern w:val="0"/>
          <w:sz w:val="24"/>
          <w:szCs w:val="24"/>
          <w:vertAlign w:val="subscript"/>
          <w14:textFill>
            <w14:solidFill>
              <w14:schemeClr w14:val="tx1"/>
            </w14:solidFill>
          </w14:textFill>
        </w:rPr>
        <w:t>5</w:t>
      </w:r>
      <w:r>
        <w:rPr>
          <w:rFonts w:hint="eastAsia" w:ascii="Times New Roman" w:hAnsi="Times New Roman"/>
          <w:color w:val="000000" w:themeColor="text1"/>
          <w:kern w:val="0"/>
          <w:sz w:val="24"/>
          <w:szCs w:val="24"/>
          <w14:textFill>
            <w14:solidFill>
              <w14:schemeClr w14:val="tx1"/>
            </w14:solidFill>
          </w14:textFill>
        </w:rPr>
        <w:t>（PO</w:t>
      </w:r>
      <w:r>
        <w:rPr>
          <w:rFonts w:hint="eastAsia" w:ascii="Times New Roman" w:hAnsi="Times New Roman"/>
          <w:color w:val="000000" w:themeColor="text1"/>
          <w:kern w:val="0"/>
          <w:sz w:val="24"/>
          <w:szCs w:val="24"/>
          <w:vertAlign w:val="subscript"/>
          <w14:textFill>
            <w14:solidFill>
              <w14:schemeClr w14:val="tx1"/>
            </w14:solidFill>
          </w14:textFill>
        </w:rPr>
        <w:t>4</w:t>
      </w:r>
      <w:r>
        <w:rPr>
          <w:rFonts w:hint="eastAsia" w:ascii="Times New Roman" w:hAnsi="Times New Roman"/>
          <w:color w:val="000000" w:themeColor="text1"/>
          <w:kern w:val="0"/>
          <w:sz w:val="24"/>
          <w:szCs w:val="24"/>
          <w14:textFill>
            <w14:solidFill>
              <w14:schemeClr w14:val="tx1"/>
            </w14:solidFill>
          </w14:textFill>
        </w:rPr>
        <w:t>）</w:t>
      </w:r>
      <w:r>
        <w:rPr>
          <w:rFonts w:hint="eastAsia" w:ascii="Times New Roman" w:hAnsi="Times New Roman"/>
          <w:color w:val="000000" w:themeColor="text1"/>
          <w:kern w:val="0"/>
          <w:sz w:val="24"/>
          <w:szCs w:val="24"/>
          <w:vertAlign w:val="subscript"/>
          <w14:textFill>
            <w14:solidFill>
              <w14:schemeClr w14:val="tx1"/>
            </w14:solidFill>
          </w14:textFill>
        </w:rPr>
        <w:t>3</w:t>
      </w:r>
      <w:r>
        <w:rPr>
          <w:rFonts w:hint="eastAsia" w:ascii="Times New Roman" w:hAnsi="Times New Roman"/>
          <w:color w:val="000000" w:themeColor="text1"/>
          <w:kern w:val="0"/>
          <w:sz w:val="24"/>
          <w:szCs w:val="24"/>
          <w14:textFill>
            <w14:solidFill>
              <w14:schemeClr w14:val="tx1"/>
            </w14:solidFill>
          </w14:textFill>
        </w:rPr>
        <w:t>F）中氟含量约占3%，浓缩磷酸时有大量含氟气体（主要是SiF</w:t>
      </w:r>
      <w:r>
        <w:rPr>
          <w:rFonts w:hint="eastAsia" w:ascii="Times New Roman" w:hAnsi="Times New Roman"/>
          <w:color w:val="000000" w:themeColor="text1"/>
          <w:kern w:val="0"/>
          <w:sz w:val="24"/>
          <w:szCs w:val="24"/>
          <w:vertAlign w:val="subscript"/>
          <w14:textFill>
            <w14:solidFill>
              <w14:schemeClr w14:val="tx1"/>
            </w14:solidFill>
          </w14:textFill>
        </w:rPr>
        <w:t>4</w:t>
      </w:r>
      <w:r>
        <w:rPr>
          <w:rFonts w:hint="eastAsia" w:ascii="Times New Roman" w:hAnsi="Times New Roman"/>
          <w:color w:val="000000" w:themeColor="text1"/>
          <w:kern w:val="0"/>
          <w:sz w:val="24"/>
          <w:szCs w:val="24"/>
          <w14:textFill>
            <w14:solidFill>
              <w14:schemeClr w14:val="tx1"/>
            </w14:solidFill>
          </w14:textFill>
        </w:rPr>
        <w:t>）逸出，四氟化硅气体（SiF</w:t>
      </w:r>
      <w:r>
        <w:rPr>
          <w:rFonts w:hint="eastAsia" w:ascii="Times New Roman" w:hAnsi="Times New Roman"/>
          <w:color w:val="000000" w:themeColor="text1"/>
          <w:kern w:val="0"/>
          <w:sz w:val="24"/>
          <w:szCs w:val="24"/>
          <w:vertAlign w:val="subscript"/>
          <w14:textFill>
            <w14:solidFill>
              <w14:schemeClr w14:val="tx1"/>
            </w14:solidFill>
          </w14:textFill>
        </w:rPr>
        <w:t>4</w:t>
      </w:r>
      <w:r>
        <w:rPr>
          <w:rFonts w:hint="eastAsia" w:ascii="Times New Roman" w:hAnsi="Times New Roman"/>
          <w:color w:val="000000" w:themeColor="text1"/>
          <w:kern w:val="0"/>
          <w:sz w:val="24"/>
          <w:szCs w:val="24"/>
          <w14:textFill>
            <w14:solidFill>
              <w14:schemeClr w14:val="tx1"/>
            </w14:solidFill>
          </w14:textFill>
        </w:rPr>
        <w:t>）与水蒸汽水解生成氟化氢（HF）排入大气，对人体及自然环境产生极大危害。部分企业将生产过程中产生的四氟化硅气体用水吸收生成氟硅酸（H</w:t>
      </w:r>
      <w:r>
        <w:rPr>
          <w:rFonts w:hint="eastAsia" w:ascii="Times New Roman" w:hAnsi="Times New Roman"/>
          <w:color w:val="000000" w:themeColor="text1"/>
          <w:kern w:val="0"/>
          <w:sz w:val="24"/>
          <w:szCs w:val="24"/>
          <w:vertAlign w:val="subscript"/>
          <w14:textFill>
            <w14:solidFill>
              <w14:schemeClr w14:val="tx1"/>
            </w14:solidFill>
          </w14:textFill>
        </w:rPr>
        <w:t>2</w:t>
      </w:r>
      <w:r>
        <w:rPr>
          <w:rFonts w:hint="eastAsia" w:ascii="Times New Roman" w:hAnsi="Times New Roman"/>
          <w:color w:val="000000" w:themeColor="text1"/>
          <w:kern w:val="0"/>
          <w:sz w:val="24"/>
          <w:szCs w:val="24"/>
          <w14:textFill>
            <w14:solidFill>
              <w14:schemeClr w14:val="tx1"/>
            </w14:solidFill>
          </w14:textFill>
        </w:rPr>
        <w:t>SiF</w:t>
      </w:r>
      <w:r>
        <w:rPr>
          <w:rFonts w:hint="eastAsia" w:ascii="Times New Roman" w:hAnsi="Times New Roman"/>
          <w:color w:val="000000" w:themeColor="text1"/>
          <w:kern w:val="0"/>
          <w:sz w:val="24"/>
          <w:szCs w:val="24"/>
          <w:vertAlign w:val="subscript"/>
          <w14:textFill>
            <w14:solidFill>
              <w14:schemeClr w14:val="tx1"/>
            </w14:solidFill>
          </w14:textFill>
        </w:rPr>
        <w:t>6</w:t>
      </w:r>
      <w:r>
        <w:rPr>
          <w:rFonts w:hint="eastAsia" w:ascii="Times New Roman" w:hAnsi="Times New Roman"/>
          <w:color w:val="000000" w:themeColor="text1"/>
          <w:kern w:val="0"/>
          <w:sz w:val="24"/>
          <w:szCs w:val="24"/>
          <w14:textFill>
            <w14:solidFill>
              <w14:schemeClr w14:val="tx1"/>
            </w14:solidFill>
          </w14:textFill>
        </w:rPr>
        <w:t>）排入水体，仅仅是把废气转移为废水，少数有实力的企业将氟硅酸开发成氟硅酸钠（Na</w:t>
      </w:r>
      <w:r>
        <w:rPr>
          <w:rFonts w:hint="eastAsia" w:ascii="Times New Roman" w:hAnsi="Times New Roman"/>
          <w:color w:val="000000" w:themeColor="text1"/>
          <w:kern w:val="0"/>
          <w:sz w:val="24"/>
          <w:szCs w:val="24"/>
          <w:vertAlign w:val="subscript"/>
          <w14:textFill>
            <w14:solidFill>
              <w14:schemeClr w14:val="tx1"/>
            </w14:solidFill>
          </w14:textFill>
        </w:rPr>
        <w:t>2</w:t>
      </w:r>
      <w:r>
        <w:rPr>
          <w:rFonts w:hint="eastAsia" w:ascii="Times New Roman" w:hAnsi="Times New Roman"/>
          <w:color w:val="000000" w:themeColor="text1"/>
          <w:kern w:val="0"/>
          <w:sz w:val="24"/>
          <w:szCs w:val="24"/>
          <w14:textFill>
            <w14:solidFill>
              <w14:schemeClr w14:val="tx1"/>
            </w14:solidFill>
          </w14:textFill>
        </w:rPr>
        <w:t>SiF</w:t>
      </w:r>
      <w:r>
        <w:rPr>
          <w:rFonts w:hint="eastAsia" w:ascii="Times New Roman" w:hAnsi="Times New Roman"/>
          <w:color w:val="000000" w:themeColor="text1"/>
          <w:kern w:val="0"/>
          <w:sz w:val="24"/>
          <w:szCs w:val="24"/>
          <w:vertAlign w:val="subscript"/>
          <w14:textFill>
            <w14:solidFill>
              <w14:schemeClr w14:val="tx1"/>
            </w14:solidFill>
          </w14:textFill>
        </w:rPr>
        <w:t>6</w:t>
      </w:r>
      <w:r>
        <w:rPr>
          <w:rFonts w:hint="eastAsia" w:ascii="Times New Roman" w:hAnsi="Times New Roman"/>
          <w:color w:val="000000" w:themeColor="text1"/>
          <w:kern w:val="0"/>
          <w:sz w:val="24"/>
          <w:szCs w:val="24"/>
          <w14:textFill>
            <w14:solidFill>
              <w14:schemeClr w14:val="tx1"/>
            </w14:solidFill>
          </w14:textFill>
        </w:rPr>
        <w:t>），然而副产低浓度硫酸又形成了二次污染。据统计，宜昌市辖区内的磷化工企业每年的含氟废水产量如下：宜化集团年产18万吨20%的水剂、中孚化工年产3万吨18%的水剂、鄂中化工年产2万吨15%的水剂、新洋丰肥业年产5万吨15%的水剂，这一副产氟资源的循环利用成了亟待解决的问题。</w:t>
      </w:r>
    </w:p>
    <w:p>
      <w:pPr>
        <w:spacing w:line="520" w:lineRule="exact"/>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磷肥生产中，氟资源被作为废水排放，不但浪费了宝贵的氟资源，同时对环境也造成了极大的危害。合理利用磷肥生产中逸出的含氟废气，具有防治污染和节约资源的双重效益。从磷矿中氟回收的可能性和氟化工面临的资源压力两方面加以分析，结合磷肥行业氟的利用现状，提出改进氟吸收工艺、调整产品结构，以此提高污染物控制水平和副产氟化物的回收利用效益，已成为社会关注的焦点。</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为进一步实现宜昌市境内磷化工企业副产氟硅酸的资源化利用，变废为宝，保护生态环境，宜都市吉洪化工有限公司拟在宜昌化工园宜都园区建设氟硅酸钠生产加工项目一期。</w:t>
      </w:r>
      <w:r>
        <w:rPr>
          <w:rFonts w:ascii="Times New Roman" w:hAnsiTheme="minorEastAsia" w:eastAsiaTheme="minorEastAsia"/>
          <w:color w:val="000000" w:themeColor="text1"/>
          <w:sz w:val="24"/>
          <w:szCs w:val="24"/>
          <w14:textFill>
            <w14:solidFill>
              <w14:schemeClr w14:val="tx1"/>
            </w14:solidFill>
          </w14:textFill>
        </w:rPr>
        <w:t>项目已通过</w:t>
      </w:r>
      <w:r>
        <w:rPr>
          <w:rFonts w:hint="eastAsia" w:ascii="Times New Roman" w:hAnsi="Times New Roman" w:eastAsiaTheme="minorEastAsia"/>
          <w:color w:val="000000" w:themeColor="text1"/>
          <w:sz w:val="24"/>
          <w:szCs w:val="24"/>
          <w14:textFill>
            <w14:solidFill>
              <w14:schemeClr w14:val="tx1"/>
            </w14:solidFill>
          </w14:textFill>
        </w:rPr>
        <w:t>宜都市</w:t>
      </w:r>
      <w:r>
        <w:rPr>
          <w:rFonts w:ascii="Times New Roman" w:hAnsi="Times New Roman"/>
          <w:color w:val="000000" w:themeColor="text1"/>
          <w:sz w:val="24"/>
          <w:szCs w:val="24"/>
          <w14:textFill>
            <w14:solidFill>
              <w14:schemeClr w14:val="tx1"/>
            </w14:solidFill>
          </w14:textFill>
        </w:rPr>
        <w:t>发展和改革局</w:t>
      </w:r>
      <w:r>
        <w:rPr>
          <w:rFonts w:ascii="Times New Roman" w:hAnsiTheme="minorEastAsia" w:eastAsiaTheme="minorEastAsia"/>
          <w:color w:val="000000" w:themeColor="text1"/>
          <w:sz w:val="24"/>
          <w:szCs w:val="24"/>
          <w14:textFill>
            <w14:solidFill>
              <w14:schemeClr w14:val="tx1"/>
            </w14:solidFill>
          </w14:textFill>
        </w:rPr>
        <w:t>备案，登记备案项目编号：</w:t>
      </w:r>
      <w:r>
        <w:rPr>
          <w:rFonts w:ascii="Times New Roman" w:hAnsi="Times New Roman"/>
          <w:color w:val="000000" w:themeColor="text1"/>
          <w:sz w:val="24"/>
          <w:szCs w:val="24"/>
          <w14:textFill>
            <w14:solidFill>
              <w14:schemeClr w14:val="tx1"/>
            </w14:solidFill>
          </w14:textFill>
        </w:rPr>
        <w:t>20</w:t>
      </w:r>
      <w:r>
        <w:rPr>
          <w:rFonts w:hint="eastAsia" w:ascii="Times New Roman" w:hAnsi="Times New Roman"/>
          <w:color w:val="000000" w:themeColor="text1"/>
          <w:sz w:val="24"/>
          <w:szCs w:val="24"/>
          <w14:textFill>
            <w14:solidFill>
              <w14:schemeClr w14:val="tx1"/>
            </w14:solidFill>
          </w14:textFill>
        </w:rPr>
        <w:t>19</w:t>
      </w:r>
      <w:r>
        <w:rPr>
          <w:rFonts w:ascii="Times New Roman" w:hAnsi="Times New Roman"/>
          <w:color w:val="000000" w:themeColor="text1"/>
          <w:sz w:val="24"/>
          <w:szCs w:val="24"/>
          <w14:textFill>
            <w14:solidFill>
              <w14:schemeClr w14:val="tx1"/>
            </w14:solidFill>
          </w14:textFill>
        </w:rPr>
        <w:t>-420</w:t>
      </w:r>
      <w:r>
        <w:rPr>
          <w:rFonts w:hint="eastAsia" w:ascii="Times New Roman" w:hAnsi="Times New Roman"/>
          <w:color w:val="000000" w:themeColor="text1"/>
          <w:sz w:val="24"/>
          <w:szCs w:val="24"/>
          <w14:textFill>
            <w14:solidFill>
              <w14:schemeClr w14:val="tx1"/>
            </w14:solidFill>
          </w14:textFill>
        </w:rPr>
        <w:t>581</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26</w:t>
      </w:r>
      <w:r>
        <w:rPr>
          <w:rFonts w:ascii="Times New Roman" w:hAnsi="Times New Roman"/>
          <w:color w:val="000000" w:themeColor="text1"/>
          <w:sz w:val="24"/>
          <w:szCs w:val="24"/>
          <w14:textFill>
            <w14:solidFill>
              <w14:schemeClr w14:val="tx1"/>
            </w14:solidFill>
          </w14:textFill>
        </w:rPr>
        <w:t>-03-0</w:t>
      </w:r>
      <w:r>
        <w:rPr>
          <w:rFonts w:hint="eastAsia" w:ascii="Times New Roman" w:hAnsi="Times New Roman"/>
          <w:color w:val="000000" w:themeColor="text1"/>
          <w:sz w:val="24"/>
          <w:szCs w:val="24"/>
          <w14:textFill>
            <w14:solidFill>
              <w14:schemeClr w14:val="tx1"/>
            </w14:solidFill>
          </w14:textFill>
        </w:rPr>
        <w:t>59329</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项目的实施有助于解决当地的劳动就业困难，推动当地经济的发展，实现了磷矿伴生资源的综合利用，拓展了一条国家战略资源—氟资源的来源渠道，保护了非可再生的萤石资源。</w:t>
      </w:r>
    </w:p>
    <w:p>
      <w:pPr>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根据《中华人民共和国环境保护法》、《中华人民共和国环境影响评价法》和国务院令第682号文《建设项目环境保护管理条例》等有关规定，该项目属于《建设项目环境影响评价分类管理名录（2021年版）》中“44</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基础化学原料</w:t>
      </w:r>
      <w:r>
        <w:rPr>
          <w:rFonts w:ascii="Times New Roman" w:hAnsiTheme="minorEastAsia" w:eastAsiaTheme="minorEastAsia"/>
          <w:color w:val="000000" w:themeColor="text1"/>
          <w:sz w:val="24"/>
          <w:szCs w:val="24"/>
          <w14:textFill>
            <w14:solidFill>
              <w14:schemeClr w14:val="tx1"/>
            </w14:solidFill>
          </w14:textFill>
        </w:rPr>
        <w:t>制造2</w:t>
      </w:r>
      <w:r>
        <w:rPr>
          <w:rFonts w:hint="eastAsia" w:ascii="Times New Roman" w:hAnsiTheme="minorEastAsia" w:eastAsiaTheme="minorEastAsia"/>
          <w:color w:val="000000" w:themeColor="text1"/>
          <w:sz w:val="24"/>
          <w:szCs w:val="24"/>
          <w14:textFill>
            <w14:solidFill>
              <w14:schemeClr w14:val="tx1"/>
            </w14:solidFill>
          </w14:textFill>
        </w:rPr>
        <w:t>6</w:t>
      </w:r>
      <w:r>
        <w:rPr>
          <w:rFonts w:ascii="Times New Roman" w:hAnsiTheme="minorEastAsia" w:eastAsiaTheme="minorEastAsia"/>
          <w:color w:val="000000" w:themeColor="text1"/>
          <w:sz w:val="24"/>
          <w:szCs w:val="24"/>
          <w14:textFill>
            <w14:solidFill>
              <w14:schemeClr w14:val="tx1"/>
            </w14:solidFill>
          </w14:textFill>
        </w:rPr>
        <w:t>1；</w:t>
      </w:r>
      <w:r>
        <w:rPr>
          <w:rFonts w:hint="eastAsia" w:ascii="Times New Roman" w:hAnsiTheme="minorEastAsia" w:eastAsiaTheme="minorEastAsia"/>
          <w:color w:val="000000" w:themeColor="text1"/>
          <w:sz w:val="24"/>
          <w:szCs w:val="24"/>
          <w14:textFill>
            <w14:solidFill>
              <w14:schemeClr w14:val="tx1"/>
            </w14:solidFill>
          </w14:textFill>
        </w:rPr>
        <w:t>农药</w:t>
      </w:r>
      <w:r>
        <w:rPr>
          <w:rFonts w:ascii="Times New Roman" w:hAnsiTheme="minorEastAsia" w:eastAsiaTheme="minorEastAsia"/>
          <w:color w:val="000000" w:themeColor="text1"/>
          <w:sz w:val="24"/>
          <w:szCs w:val="24"/>
          <w14:textFill>
            <w14:solidFill>
              <w14:schemeClr w14:val="tx1"/>
            </w14:solidFill>
          </w14:textFill>
        </w:rPr>
        <w:t>制造</w:t>
      </w:r>
      <w:r>
        <w:rPr>
          <w:rFonts w:hint="eastAsia" w:ascii="Times New Roman" w:hAnsiTheme="minorEastAsia" w:eastAsiaTheme="minorEastAsia"/>
          <w:color w:val="000000" w:themeColor="text1"/>
          <w:sz w:val="24"/>
          <w:szCs w:val="24"/>
          <w14:textFill>
            <w14:solidFill>
              <w14:schemeClr w14:val="tx1"/>
            </w14:solidFill>
          </w14:textFill>
        </w:rPr>
        <w:t>263</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涂料、油墨、原料及类似产品</w:t>
      </w:r>
      <w:r>
        <w:rPr>
          <w:rFonts w:ascii="Times New Roman" w:hAnsiTheme="minorEastAsia" w:eastAsiaTheme="minorEastAsia"/>
          <w:color w:val="000000" w:themeColor="text1"/>
          <w:sz w:val="24"/>
          <w:szCs w:val="24"/>
          <w14:textFill>
            <w14:solidFill>
              <w14:schemeClr w14:val="tx1"/>
            </w14:solidFill>
          </w14:textFill>
        </w:rPr>
        <w:t>制造</w:t>
      </w:r>
      <w:r>
        <w:rPr>
          <w:rFonts w:hint="eastAsia" w:ascii="Times New Roman" w:hAnsiTheme="minorEastAsia" w:eastAsiaTheme="minorEastAsia"/>
          <w:color w:val="000000" w:themeColor="text1"/>
          <w:sz w:val="24"/>
          <w:szCs w:val="24"/>
          <w14:textFill>
            <w14:solidFill>
              <w14:schemeClr w14:val="tx1"/>
            </w14:solidFill>
          </w14:textFill>
        </w:rPr>
        <w:t>264</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合成材料</w:t>
      </w:r>
      <w:r>
        <w:rPr>
          <w:rFonts w:ascii="Times New Roman" w:hAnsiTheme="minorEastAsia" w:eastAsiaTheme="minorEastAsia"/>
          <w:color w:val="000000" w:themeColor="text1"/>
          <w:sz w:val="24"/>
          <w:szCs w:val="24"/>
          <w14:textFill>
            <w14:solidFill>
              <w14:schemeClr w14:val="tx1"/>
            </w14:solidFill>
          </w14:textFill>
        </w:rPr>
        <w:t>制造</w:t>
      </w:r>
      <w:r>
        <w:rPr>
          <w:rFonts w:hint="eastAsia" w:ascii="Times New Roman" w:hAnsiTheme="minorEastAsia" w:eastAsiaTheme="minorEastAsia"/>
          <w:color w:val="000000" w:themeColor="text1"/>
          <w:sz w:val="24"/>
          <w:szCs w:val="24"/>
          <w14:textFill>
            <w14:solidFill>
              <w14:schemeClr w14:val="tx1"/>
            </w14:solidFill>
          </w14:textFill>
        </w:rPr>
        <w:t>265；专用化学产品制造266；炸药、火工及焰火产品制造267”类别，</w:t>
      </w:r>
      <w:r>
        <w:rPr>
          <w:rFonts w:ascii="Times New Roman" w:hAnsiTheme="minorEastAsia" w:eastAsiaTheme="minorEastAsia"/>
          <w:color w:val="000000" w:themeColor="text1"/>
          <w:sz w:val="24"/>
          <w:szCs w:val="24"/>
          <w14:textFill>
            <w14:solidFill>
              <w14:schemeClr w14:val="tx1"/>
            </w14:solidFill>
          </w14:textFill>
        </w:rPr>
        <w:t>因此需编制环境影响报告书。受</w:t>
      </w:r>
      <w:r>
        <w:rPr>
          <w:rFonts w:hint="eastAsia" w:ascii="Times New Roman" w:hAnsi="Times New Roman"/>
          <w:color w:val="000000" w:themeColor="text1"/>
          <w:kern w:val="0"/>
          <w:sz w:val="24"/>
          <w:szCs w:val="24"/>
          <w14:textFill>
            <w14:solidFill>
              <w14:schemeClr w14:val="tx1"/>
            </w14:solidFill>
          </w14:textFill>
        </w:rPr>
        <w:t>宜都市吉洪化工有限公司</w:t>
      </w:r>
      <w:r>
        <w:rPr>
          <w:rFonts w:ascii="Times New Roman" w:hAnsiTheme="minorEastAsia" w:eastAsiaTheme="minorEastAsia"/>
          <w:color w:val="000000" w:themeColor="text1"/>
          <w:sz w:val="24"/>
          <w:szCs w:val="24"/>
          <w14:textFill>
            <w14:solidFill>
              <w14:schemeClr w14:val="tx1"/>
            </w14:solidFill>
          </w14:textFill>
        </w:rPr>
        <w:t>委托，</w:t>
      </w:r>
      <w:r>
        <w:rPr>
          <w:rFonts w:hint="eastAsia" w:ascii="Times New Roman" w:hAnsiTheme="minorEastAsia" w:eastAsiaTheme="minorEastAsia"/>
          <w:color w:val="000000" w:themeColor="text1"/>
          <w:sz w:val="24"/>
          <w:szCs w:val="24"/>
          <w14:textFill>
            <w14:solidFill>
              <w14:schemeClr w14:val="tx1"/>
            </w14:solidFill>
          </w14:textFill>
        </w:rPr>
        <w:t>湖北汇森生态科技开发有限公司</w:t>
      </w:r>
      <w:r>
        <w:rPr>
          <w:rFonts w:ascii="Times New Roman" w:hAnsiTheme="minorEastAsia" w:eastAsiaTheme="minorEastAsia"/>
          <w:color w:val="000000" w:themeColor="text1"/>
          <w:sz w:val="24"/>
          <w:szCs w:val="24"/>
          <w14:textFill>
            <w14:solidFill>
              <w14:schemeClr w14:val="tx1"/>
            </w14:solidFill>
          </w14:textFill>
        </w:rPr>
        <w:t>于</w:t>
      </w:r>
      <w:r>
        <w:rPr>
          <w:rFonts w:ascii="Times New Roman" w:hAnsi="Times New Roman" w:eastAsiaTheme="minorEastAsia"/>
          <w:color w:val="000000" w:themeColor="text1"/>
          <w:sz w:val="24"/>
          <w:szCs w:val="24"/>
          <w14:textFill>
            <w14:solidFill>
              <w14:schemeClr w14:val="tx1"/>
            </w14:solidFill>
          </w14:textFill>
        </w:rPr>
        <w:t>20</w:t>
      </w:r>
      <w:r>
        <w:rPr>
          <w:rFonts w:hint="eastAsia" w:ascii="Times New Roman" w:hAnsi="Times New Roman" w:eastAsiaTheme="minorEastAsia"/>
          <w:color w:val="000000" w:themeColor="text1"/>
          <w:sz w:val="24"/>
          <w:szCs w:val="24"/>
          <w14:textFill>
            <w14:solidFill>
              <w14:schemeClr w14:val="tx1"/>
            </w14:solidFill>
          </w14:textFill>
        </w:rPr>
        <w:t>21</w:t>
      </w:r>
      <w:r>
        <w:rPr>
          <w:rFonts w:ascii="Times New Roman" w:hAnsiTheme="minorEastAsia" w:eastAsiaTheme="minorEastAsia"/>
          <w:color w:val="000000" w:themeColor="text1"/>
          <w:sz w:val="24"/>
          <w:szCs w:val="24"/>
          <w14:textFill>
            <w14:solidFill>
              <w14:schemeClr w14:val="tx1"/>
            </w14:solidFill>
          </w14:textFill>
        </w:rPr>
        <w:t>年</w:t>
      </w:r>
      <w:r>
        <w:rPr>
          <w:rFonts w:hint="eastAsia" w:ascii="Times New Roman" w:hAnsi="Times New Roman" w:eastAsiaTheme="minorEastAsia"/>
          <w:color w:val="000000" w:themeColor="text1"/>
          <w:sz w:val="24"/>
          <w:szCs w:val="24"/>
          <w:lang w:val="en-US" w:eastAsia="zh-CN"/>
          <w14:textFill>
            <w14:solidFill>
              <w14:schemeClr w14:val="tx1"/>
            </w14:solidFill>
          </w14:textFill>
        </w:rPr>
        <w:t>6</w:t>
      </w:r>
      <w:r>
        <w:rPr>
          <w:rFonts w:ascii="Times New Roman" w:hAnsiTheme="minorEastAsia" w:eastAsiaTheme="minorEastAsia"/>
          <w:color w:val="000000" w:themeColor="text1"/>
          <w:sz w:val="24"/>
          <w:szCs w:val="24"/>
          <w14:textFill>
            <w14:solidFill>
              <w14:schemeClr w14:val="tx1"/>
            </w14:solidFill>
          </w14:textFill>
        </w:rPr>
        <w:t>月承担了该项目的环境影响评价工作。</w:t>
      </w:r>
      <w:r>
        <w:rPr>
          <w:rFonts w:hint="eastAsia" w:ascii="Times New Roman" w:hAnsiTheme="minorEastAsia" w:eastAsiaTheme="minorEastAsia"/>
          <w:color w:val="000000" w:themeColor="text1"/>
          <w:sz w:val="24"/>
          <w:szCs w:val="24"/>
          <w14:textFill>
            <w14:solidFill>
              <w14:schemeClr w14:val="tx1"/>
            </w14:solidFill>
          </w14:textFill>
        </w:rPr>
        <w:t>本</w:t>
      </w:r>
      <w:r>
        <w:rPr>
          <w:rFonts w:ascii="Times New Roman" w:hAnsiTheme="minorEastAsia" w:eastAsiaTheme="minorEastAsia"/>
          <w:color w:val="000000" w:themeColor="text1"/>
          <w:sz w:val="24"/>
          <w:szCs w:val="24"/>
          <w14:textFill>
            <w14:solidFill>
              <w14:schemeClr w14:val="tx1"/>
            </w14:solidFill>
          </w14:textFill>
        </w:rPr>
        <w:t>公司接受委托后，立即组织技术人员进行现场踏勘，同时根据项目的工程特征和建设区域的环境情况，对工程环境影响因素进行识别和筛选，在此基础上，编制了本项目的环境影响报告书，交由建设单位呈报宜昌市</w:t>
      </w:r>
      <w:r>
        <w:rPr>
          <w:rFonts w:hint="eastAsia" w:ascii="Times New Roman" w:hAnsiTheme="minorEastAsia" w:eastAsiaTheme="minorEastAsia"/>
          <w:color w:val="000000" w:themeColor="text1"/>
          <w:sz w:val="24"/>
          <w:szCs w:val="24"/>
          <w14:textFill>
            <w14:solidFill>
              <w14:schemeClr w14:val="tx1"/>
            </w14:solidFill>
          </w14:textFill>
        </w:rPr>
        <w:t>生态</w:t>
      </w:r>
      <w:r>
        <w:rPr>
          <w:rFonts w:ascii="Times New Roman" w:hAnsiTheme="minorEastAsia" w:eastAsiaTheme="minorEastAsia"/>
          <w:color w:val="000000" w:themeColor="text1"/>
          <w:sz w:val="24"/>
          <w:szCs w:val="24"/>
          <w14:textFill>
            <w14:solidFill>
              <w14:schemeClr w14:val="tx1"/>
            </w14:solidFill>
          </w14:textFill>
        </w:rPr>
        <w:t>环境局</w:t>
      </w:r>
      <w:r>
        <w:rPr>
          <w:rFonts w:hint="eastAsia" w:ascii="Times New Roman" w:hAnsiTheme="minorEastAsia" w:eastAsiaTheme="minorEastAsia"/>
          <w:color w:val="000000" w:themeColor="text1"/>
          <w:sz w:val="24"/>
          <w:szCs w:val="24"/>
          <w14:textFill>
            <w14:solidFill>
              <w14:schemeClr w14:val="tx1"/>
            </w14:solidFill>
          </w14:textFill>
        </w:rPr>
        <w:t>审查</w:t>
      </w:r>
      <w:r>
        <w:rPr>
          <w:rFonts w:ascii="Times New Roman" w:hAnsiTheme="minorEastAsia" w:eastAsiaTheme="minorEastAsia"/>
          <w:color w:val="000000" w:themeColor="text1"/>
          <w:sz w:val="24"/>
          <w:szCs w:val="24"/>
          <w14:textFill>
            <w14:solidFill>
              <w14:schemeClr w14:val="tx1"/>
            </w14:solidFill>
          </w14:textFill>
        </w:rPr>
        <w:t>。本报告书评价内容包含全部建设内容。</w:t>
      </w:r>
    </w:p>
    <w:p>
      <w:pPr>
        <w:numPr>
          <w:ilvl w:val="0"/>
          <w:numId w:val="0"/>
        </w:numPr>
        <w:spacing w:before="120" w:beforeLines="50"/>
        <w:jc w:val="left"/>
        <w:outlineLvl w:val="0"/>
        <w:rPr>
          <w:rFonts w:ascii="黑体" w:hAnsi="黑体" w:eastAsia="黑体"/>
          <w:b/>
          <w:color w:val="000000" w:themeColor="text1"/>
          <w:sz w:val="32"/>
          <w:szCs w:val="32"/>
          <w14:textFill>
            <w14:solidFill>
              <w14:schemeClr w14:val="tx1"/>
            </w14:solidFill>
          </w14:textFill>
        </w:rPr>
      </w:pPr>
      <w:bookmarkStart w:id="55" w:name="_Toc771"/>
      <w:bookmarkStart w:id="56" w:name="_Toc27682"/>
      <w:bookmarkStart w:id="57" w:name="_Toc211"/>
      <w:bookmarkStart w:id="58" w:name="_Toc8040"/>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1.2</w:t>
      </w:r>
      <w:r>
        <w:rPr>
          <w:rFonts w:hint="eastAsia" w:ascii="黑体" w:hAnsi="黑体" w:eastAsia="黑体"/>
          <w:b/>
          <w:color w:val="000000" w:themeColor="text1"/>
          <w:sz w:val="32"/>
          <w:szCs w:val="32"/>
          <w:lang w:val="en-US" w:eastAsia="zh-CN"/>
          <w14:textFill>
            <w14:solidFill>
              <w14:schemeClr w14:val="tx1"/>
            </w14:solidFill>
          </w14:textFill>
        </w:rPr>
        <w:t>环境影响评价</w:t>
      </w:r>
      <w:r>
        <w:rPr>
          <w:rFonts w:hint="eastAsia" w:ascii="黑体" w:hAnsi="黑体" w:eastAsia="黑体"/>
          <w:b/>
          <w:color w:val="000000" w:themeColor="text1"/>
          <w:sz w:val="32"/>
          <w:szCs w:val="32"/>
          <w14:textFill>
            <w14:solidFill>
              <w14:schemeClr w14:val="tx1"/>
            </w14:solidFill>
          </w14:textFill>
        </w:rPr>
        <w:t>工作过程</w:t>
      </w:r>
      <w:bookmarkEnd w:id="55"/>
      <w:bookmarkEnd w:id="56"/>
      <w:bookmarkEnd w:id="57"/>
      <w:bookmarkEnd w:id="58"/>
    </w:p>
    <w:p>
      <w:pPr>
        <w:spacing w:line="520" w:lineRule="exact"/>
        <w:ind w:firstLine="480" w:firstLineChars="200"/>
        <w:rPr>
          <w:rFonts w:hint="eastAsia" w:ascii="Times New Roman" w:hAnsi="Times New Roman"/>
          <w:color w:val="000000" w:themeColor="text1"/>
          <w:kern w:val="0"/>
          <w:sz w:val="24"/>
          <w:szCs w:val="24"/>
          <w14:textFill>
            <w14:solidFill>
              <w14:schemeClr w14:val="tx1"/>
            </w14:solidFill>
          </w14:textFill>
        </w:rPr>
      </w:pPr>
      <w:bookmarkStart w:id="59" w:name="_Toc7638"/>
      <w:bookmarkStart w:id="60" w:name="_Toc11588"/>
      <w:bookmarkStart w:id="61" w:name="_Toc8626"/>
      <w:bookmarkStart w:id="62" w:name="_Toc18728"/>
      <w:bookmarkStart w:id="63" w:name="_Toc9142"/>
      <w:r>
        <w:rPr>
          <w:rFonts w:hint="eastAsia" w:ascii="Times New Roman" w:hAnsi="Times New Roman"/>
          <w:color w:val="000000" w:themeColor="text1"/>
          <w:kern w:val="0"/>
          <w:sz w:val="24"/>
          <w:szCs w:val="24"/>
          <w14:textFill>
            <w14:solidFill>
              <w14:schemeClr w14:val="tx1"/>
            </w14:solidFill>
          </w14:textFill>
        </w:rPr>
        <w:t>（一）</w:t>
      </w:r>
      <w:r>
        <w:rPr>
          <w:rFonts w:hint="eastAsia" w:ascii="Times New Roman" w:hAnsi="Times New Roman"/>
          <w:color w:val="000000" w:themeColor="text1"/>
          <w:kern w:val="0"/>
          <w:sz w:val="24"/>
          <w:szCs w:val="24"/>
          <w:lang w:val="en-US" w:eastAsia="zh-CN"/>
          <w14:textFill>
            <w14:solidFill>
              <w14:schemeClr w14:val="tx1"/>
            </w14:solidFill>
          </w14:textFill>
        </w:rPr>
        <w:t>报告</w:t>
      </w:r>
      <w:r>
        <w:rPr>
          <w:rFonts w:hint="eastAsia" w:ascii="Times New Roman" w:hAnsi="Times New Roman"/>
          <w:color w:val="000000" w:themeColor="text1"/>
          <w:kern w:val="0"/>
          <w:sz w:val="24"/>
          <w:szCs w:val="24"/>
          <w14:textFill>
            <w14:solidFill>
              <w14:schemeClr w14:val="tx1"/>
            </w14:solidFill>
          </w14:textFill>
        </w:rPr>
        <w:t>编制工作程序</w:t>
      </w:r>
      <w:bookmarkEnd w:id="59"/>
      <w:bookmarkEnd w:id="60"/>
      <w:bookmarkEnd w:id="61"/>
      <w:bookmarkEnd w:id="62"/>
      <w:bookmarkEnd w:id="63"/>
    </w:p>
    <w:p>
      <w:pPr>
        <w:spacing w:line="520" w:lineRule="exact"/>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lang w:val="en-US" w:eastAsia="zh-CN"/>
          <w14:textFill>
            <w14:solidFill>
              <w14:schemeClr w14:val="tx1"/>
            </w14:solidFill>
          </w14:textFill>
        </w:rPr>
        <w:t>环境影响评价</w:t>
      </w:r>
      <w:r>
        <w:rPr>
          <w:rFonts w:hint="eastAsia" w:ascii="Times New Roman" w:hAnsi="Times New Roman"/>
          <w:color w:val="000000" w:themeColor="text1"/>
          <w:kern w:val="0"/>
          <w:sz w:val="24"/>
          <w:szCs w:val="24"/>
          <w14:textFill>
            <w14:solidFill>
              <w14:schemeClr w14:val="tx1"/>
            </w14:solidFill>
          </w14:textFill>
        </w:rPr>
        <w:t>工作共分三个阶段，包括</w:t>
      </w:r>
      <w:r>
        <w:rPr>
          <w:rFonts w:hint="eastAsia" w:ascii="Times New Roman" w:hAnsi="Times New Roman"/>
          <w:color w:val="000000" w:themeColor="text1"/>
          <w:kern w:val="0"/>
          <w:sz w:val="24"/>
          <w:szCs w:val="24"/>
          <w:lang w:val="en-US" w:eastAsia="zh-CN"/>
          <w14:textFill>
            <w14:solidFill>
              <w14:schemeClr w14:val="tx1"/>
            </w14:solidFill>
          </w14:textFill>
        </w:rPr>
        <w:t>调查分析和工作方案制定</w:t>
      </w:r>
      <w:r>
        <w:rPr>
          <w:rFonts w:hint="eastAsia" w:ascii="Times New Roman" w:hAnsi="Times New Roman"/>
          <w:color w:val="000000" w:themeColor="text1"/>
          <w:kern w:val="0"/>
          <w:sz w:val="24"/>
          <w:szCs w:val="24"/>
          <w14:textFill>
            <w14:solidFill>
              <w14:schemeClr w14:val="tx1"/>
            </w14:solidFill>
          </w14:textFill>
        </w:rPr>
        <w:t>阶段，分析论证和预测评价阶段，</w:t>
      </w:r>
      <w:r>
        <w:rPr>
          <w:rFonts w:hint="eastAsia" w:ascii="Times New Roman" w:hAnsi="Times New Roman"/>
          <w:color w:val="000000" w:themeColor="text1"/>
          <w:kern w:val="0"/>
          <w:sz w:val="24"/>
          <w:szCs w:val="24"/>
          <w:lang w:val="en-US" w:eastAsia="zh-CN"/>
          <w14:textFill>
            <w14:solidFill>
              <w14:schemeClr w14:val="tx1"/>
            </w14:solidFill>
          </w14:textFill>
        </w:rPr>
        <w:t>环境影响报告书（表）</w:t>
      </w:r>
      <w:r>
        <w:rPr>
          <w:rFonts w:hint="eastAsia" w:ascii="Times New Roman" w:hAnsi="Times New Roman"/>
          <w:color w:val="000000" w:themeColor="text1"/>
          <w:kern w:val="0"/>
          <w:sz w:val="24"/>
          <w:szCs w:val="24"/>
          <w14:textFill>
            <w14:solidFill>
              <w14:schemeClr w14:val="tx1"/>
            </w14:solidFill>
          </w14:textFill>
        </w:rPr>
        <w:t>编制阶段。工作程序见图1.</w:t>
      </w:r>
      <w:r>
        <w:rPr>
          <w:rFonts w:hint="eastAsia" w:ascii="Times New Roman" w:hAnsi="Times New Roman"/>
          <w:color w:val="000000" w:themeColor="text1"/>
          <w:kern w:val="0"/>
          <w:sz w:val="24"/>
          <w:szCs w:val="24"/>
          <w:lang w:val="en-US" w:eastAsia="zh-CN"/>
          <w14:textFill>
            <w14:solidFill>
              <w14:schemeClr w14:val="tx1"/>
            </w14:solidFill>
          </w14:textFill>
        </w:rPr>
        <w:t>2</w:t>
      </w:r>
      <w:r>
        <w:rPr>
          <w:rFonts w:hint="eastAsia" w:ascii="Times New Roman" w:hAnsi="Times New Roman"/>
          <w:color w:val="000000" w:themeColor="text1"/>
          <w:kern w:val="0"/>
          <w:sz w:val="24"/>
          <w:szCs w:val="24"/>
          <w14:textFill>
            <w14:solidFill>
              <w14:schemeClr w14:val="tx1"/>
            </w14:solidFill>
          </w14:textFill>
        </w:rPr>
        <w:t>-1：</w:t>
      </w:r>
    </w:p>
    <w:p>
      <w:pPr>
        <w:spacing w:line="520" w:lineRule="exact"/>
        <w:ind w:firstLine="480" w:firstLineChars="200"/>
        <w:rPr>
          <w:rFonts w:hint="eastAsia" w:ascii="Times New Roman" w:hAnsi="Times New Roman"/>
          <w:color w:val="000000" w:themeColor="text1"/>
          <w:kern w:val="0"/>
          <w:sz w:val="24"/>
          <w:szCs w:val="24"/>
          <w14:textFill>
            <w14:solidFill>
              <w14:schemeClr w14:val="tx1"/>
            </w14:solidFill>
          </w14:textFill>
        </w:rPr>
      </w:pPr>
      <w:bookmarkStart w:id="64" w:name="_Toc29288"/>
      <w:bookmarkStart w:id="65" w:name="_Toc3052"/>
      <w:bookmarkStart w:id="66" w:name="_Toc24356"/>
      <w:bookmarkStart w:id="67" w:name="_Toc25946"/>
      <w:bookmarkStart w:id="68" w:name="_Toc9654"/>
      <w:r>
        <w:rPr>
          <w:rFonts w:hint="eastAsia" w:ascii="Times New Roman" w:hAnsi="Times New Roman"/>
          <w:color w:val="000000" w:themeColor="text1"/>
          <w:kern w:val="0"/>
          <w:sz w:val="24"/>
          <w:szCs w:val="24"/>
          <w14:textFill>
            <w14:solidFill>
              <w14:schemeClr w14:val="tx1"/>
            </w14:solidFill>
          </w14:textFill>
        </w:rPr>
        <w:t>（二）报告编制工作概况及完成的工作量</w:t>
      </w:r>
      <w:bookmarkEnd w:id="64"/>
      <w:bookmarkEnd w:id="65"/>
      <w:bookmarkEnd w:id="66"/>
      <w:bookmarkEnd w:id="67"/>
      <w:bookmarkEnd w:id="68"/>
    </w:p>
    <w:p>
      <w:pPr>
        <w:spacing w:line="520" w:lineRule="exact"/>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2021年5月宜都市吉洪化工有限公司委托我公司开展该项目环境影响评价工作，接受委托后，我公司组织有关技术人员对工程场址及其周围环境进行了详尽的实地勘查和相关资料的收集、核实与分析工作，制定了工作方案。通过对工程认真分析、研究，并按照国家及行业环境影响评价技术导则的有关规定对</w:t>
      </w:r>
      <w:r>
        <w:rPr>
          <w:rFonts w:hint="eastAsia" w:ascii="Times New Roman" w:hAnsi="Times New Roman"/>
          <w:color w:val="000000" w:themeColor="text1"/>
          <w:kern w:val="0"/>
          <w:sz w:val="24"/>
          <w:szCs w:val="24"/>
          <w:lang w:val="en-US" w:eastAsia="zh-CN"/>
          <w14:textFill>
            <w14:solidFill>
              <w14:schemeClr w14:val="tx1"/>
            </w14:solidFill>
          </w14:textFill>
        </w:rPr>
        <w:t>环境影响</w:t>
      </w:r>
      <w:r>
        <w:rPr>
          <w:rFonts w:hint="eastAsia" w:ascii="Times New Roman" w:hAnsi="Times New Roman"/>
          <w:color w:val="000000" w:themeColor="text1"/>
          <w:kern w:val="0"/>
          <w:sz w:val="24"/>
          <w:szCs w:val="24"/>
          <w14:textFill>
            <w14:solidFill>
              <w14:schemeClr w14:val="tx1"/>
            </w14:solidFill>
          </w14:textFill>
        </w:rPr>
        <w:t>报告书进行编写。</w:t>
      </w:r>
    </w:p>
    <w:p>
      <w:pPr>
        <w:spacing w:line="5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w:t>
      </w:r>
      <w:r>
        <w:rPr>
          <w:rFonts w:ascii="Times New Roman"/>
          <w:color w:val="000000" w:themeColor="text1"/>
          <w:sz w:val="24"/>
          <w14:textFill>
            <w14:solidFill>
              <w14:schemeClr w14:val="tx1"/>
            </w14:solidFill>
          </w14:textFill>
        </w:rPr>
        <w:t>、收集相关资料：主要收集的资料有现有项目的环境影响评价报告、已有项目的验收监测资料、拟建项目的相关内容及投资情况等。</w:t>
      </w:r>
    </w:p>
    <w:p>
      <w:pPr>
        <w:spacing w:line="54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w:t>
      </w:r>
      <w:r>
        <w:rPr>
          <w:rFonts w:ascii="Times New Roman"/>
          <w:color w:val="000000" w:themeColor="text1"/>
          <w:sz w:val="24"/>
          <w14:textFill>
            <w14:solidFill>
              <w14:schemeClr w14:val="tx1"/>
            </w14:solidFill>
          </w14:textFill>
        </w:rPr>
        <w:t>、环境现状调查：我公司在接收企业委托后对项目区开展了多次调查，从自然环境、社会环境以及生态环境等方面入手进行调查。</w:t>
      </w:r>
      <w:r>
        <w:rPr>
          <w:rFonts w:hint="eastAsia" w:ascii="Times New Roman"/>
          <w:color w:val="000000" w:themeColor="text1"/>
          <w:sz w:val="24"/>
          <w14:textFill>
            <w14:solidFill>
              <w14:schemeClr w14:val="tx1"/>
            </w14:solidFill>
          </w14:textFill>
        </w:rPr>
        <w:t>建设单位</w:t>
      </w:r>
      <w:r>
        <w:rPr>
          <w:rFonts w:ascii="Times New Roman"/>
          <w:color w:val="000000" w:themeColor="text1"/>
          <w:sz w:val="24"/>
          <w14:textFill>
            <w14:solidFill>
              <w14:schemeClr w14:val="tx1"/>
            </w14:solidFill>
          </w14:textFill>
        </w:rPr>
        <w:t>委托</w:t>
      </w:r>
      <w:r>
        <w:rPr>
          <w:rFonts w:hint="eastAsia" w:ascii="Times New Roman"/>
          <w:color w:val="000000" w:themeColor="text1"/>
          <w:sz w:val="24"/>
          <w14:textFill>
            <w14:solidFill>
              <w14:schemeClr w14:val="tx1"/>
            </w14:solidFill>
          </w14:textFill>
        </w:rPr>
        <w:t>第三方监测机构</w:t>
      </w:r>
      <w:r>
        <w:rPr>
          <w:rFonts w:ascii="Times New Roman"/>
          <w:color w:val="000000" w:themeColor="text1"/>
          <w:sz w:val="24"/>
          <w14:textFill>
            <w14:solidFill>
              <w14:schemeClr w14:val="tx1"/>
            </w14:solidFill>
          </w14:textFill>
        </w:rPr>
        <w:t>对项目区的环境质量进行了实测。</w:t>
      </w:r>
    </w:p>
    <w:p>
      <w:pPr>
        <w:spacing w:line="540" w:lineRule="exact"/>
        <w:ind w:firstLine="480" w:firstLineChars="200"/>
        <w:rPr>
          <w:rFonts w:hint="eastAsia"/>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3</w:t>
      </w:r>
      <w:r>
        <w:rPr>
          <w:rFonts w:ascii="Times New Roman"/>
          <w:color w:val="000000" w:themeColor="text1"/>
          <w:sz w:val="24"/>
          <w14:textFill>
            <w14:solidFill>
              <w14:schemeClr w14:val="tx1"/>
            </w14:solidFill>
          </w14:textFill>
        </w:rPr>
        <w:t>、综合</w:t>
      </w:r>
      <w:r>
        <w:rPr>
          <w:rFonts w:hint="eastAsia"/>
          <w:color w:val="000000" w:themeColor="text1"/>
          <w:sz w:val="24"/>
          <w14:textFill>
            <w14:solidFill>
              <w14:schemeClr w14:val="tx1"/>
            </w14:solidFill>
          </w14:textFill>
        </w:rPr>
        <w:t>研究：根据项目组成、生产工艺、产污节点，初步完成了项目工程分析及污染防治措施分析内容；在环境现状监测的基础上进行了相关环境影响评价。并对项目建设的环保措施进行可行性分析。</w:t>
      </w:r>
    </w:p>
    <w:p>
      <w:pPr>
        <w:pStyle w:val="2"/>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99200" behindDoc="0" locked="0" layoutInCell="1" allowOverlap="1">
            <wp:simplePos x="0" y="0"/>
            <wp:positionH relativeFrom="page">
              <wp:posOffset>1124585</wp:posOffset>
            </wp:positionH>
            <wp:positionV relativeFrom="paragraph">
              <wp:posOffset>-162560</wp:posOffset>
            </wp:positionV>
            <wp:extent cx="5280025" cy="5060315"/>
            <wp:effectExtent l="0" t="0" r="15875" b="6985"/>
            <wp:wrapNone/>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a:picLocks noChangeAspect="1"/>
                    </pic:cNvPicPr>
                  </pic:nvPicPr>
                  <pic:blipFill>
                    <a:blip r:embed="rId9" cstate="print"/>
                    <a:stretch>
                      <a:fillRect/>
                    </a:stretch>
                  </pic:blipFill>
                  <pic:spPr>
                    <a:xfrm>
                      <a:off x="0" y="0"/>
                      <a:ext cx="5280025" cy="5060315"/>
                    </a:xfrm>
                    <a:prstGeom prst="rect">
                      <a:avLst/>
                    </a:prstGeom>
                  </pic:spPr>
                </pic:pic>
              </a:graphicData>
            </a:graphic>
          </wp:anchor>
        </w:drawing>
      </w: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hint="eastAsia"/>
          <w:color w:val="000000" w:themeColor="text1"/>
          <w:sz w:val="24"/>
          <w14:textFill>
            <w14:solidFill>
              <w14:schemeClr w14:val="tx1"/>
            </w14:solidFill>
          </w14:textFill>
        </w:rPr>
      </w:pPr>
    </w:p>
    <w:p>
      <w:pPr>
        <w:tabs>
          <w:tab w:val="left" w:pos="911"/>
        </w:tabs>
        <w:spacing w:before="149"/>
        <w:ind w:left="0" w:right="40" w:firstLine="0"/>
        <w:jc w:val="center"/>
        <w:rPr>
          <w:rFonts w:hint="default" w:ascii="Times New Roman" w:hAnsi="Times New Roman" w:eastAsia="黑体" w:cs="Times New Roman"/>
          <w:b/>
          <w:color w:val="000000" w:themeColor="text1"/>
          <w:sz w:val="32"/>
          <w:szCs w:val="32"/>
          <w:lang w:val="en-US" w:eastAsia="zh-CN"/>
          <w14:textFill>
            <w14:solidFill>
              <w14:schemeClr w14:val="tx1"/>
            </w14:solidFill>
          </w14:textFill>
        </w:rPr>
      </w:pPr>
      <w:bookmarkStart w:id="69" w:name="_Toc1091"/>
      <w:bookmarkStart w:id="70" w:name="_Toc28101"/>
      <w:bookmarkStart w:id="71" w:name="_Toc13622"/>
      <w:r>
        <w:rPr>
          <w:rFonts w:hint="default" w:ascii="Times New Roman" w:hAnsi="Times New Roman" w:cs="Times New Roman"/>
          <w:b/>
          <w:color w:val="000000" w:themeColor="text1"/>
          <w:sz w:val="24"/>
          <w:szCs w:val="24"/>
          <w14:textFill>
            <w14:solidFill>
              <w14:schemeClr w14:val="tx1"/>
            </w14:solidFill>
          </w14:textFill>
        </w:rPr>
        <w:t>图</w:t>
      </w:r>
      <w:r>
        <w:rPr>
          <w:rFonts w:hint="default" w:ascii="Times New Roman" w:hAnsi="Times New Roman" w:cs="Times New Roman"/>
          <w:b/>
          <w:color w:val="000000" w:themeColor="text1"/>
          <w:spacing w:val="-53"/>
          <w:sz w:val="24"/>
          <w:szCs w:val="24"/>
          <w14:textFill>
            <w14:solidFill>
              <w14:schemeClr w14:val="tx1"/>
            </w14:solidFill>
          </w14:textFill>
        </w:rPr>
        <w:t xml:space="preserve"> </w:t>
      </w:r>
      <w:r>
        <w:rPr>
          <w:rFonts w:hint="default" w:ascii="Times New Roman" w:hAnsi="Times New Roman" w:eastAsia="Times New Roman" w:cs="Times New Roman"/>
          <w:b/>
          <w:color w:val="000000" w:themeColor="text1"/>
          <w:sz w:val="24"/>
          <w:szCs w:val="24"/>
          <w14:textFill>
            <w14:solidFill>
              <w14:schemeClr w14:val="tx1"/>
            </w14:solidFill>
          </w14:textFill>
        </w:rPr>
        <w:t>1.2-1</w:t>
      </w:r>
      <w:r>
        <w:rPr>
          <w:rFonts w:hint="default" w:ascii="Times New Roman" w:hAnsi="Times New Roman" w:eastAsia="Times New Roman" w:cs="Times New Roman"/>
          <w:b/>
          <w:color w:val="000000" w:themeColor="text1"/>
          <w:sz w:val="24"/>
          <w:szCs w:val="24"/>
          <w14:textFill>
            <w14:solidFill>
              <w14:schemeClr w14:val="tx1"/>
            </w14:solidFill>
          </w14:textFill>
        </w:rPr>
        <w:tab/>
      </w:r>
      <w:r>
        <w:rPr>
          <w:rFonts w:hint="default" w:ascii="Times New Roman" w:hAnsi="Times New Roman" w:cs="Times New Roman"/>
          <w:b/>
          <w:color w:val="000000" w:themeColor="text1"/>
          <w:sz w:val="24"/>
          <w:szCs w:val="24"/>
          <w14:textFill>
            <w14:solidFill>
              <w14:schemeClr w14:val="tx1"/>
            </w14:solidFill>
          </w14:textFill>
        </w:rPr>
        <w:t>环境影响评价工作程序图</w:t>
      </w:r>
    </w:p>
    <w:p>
      <w:pPr>
        <w:numPr>
          <w:ilvl w:val="0"/>
          <w:numId w:val="0"/>
        </w:numPr>
        <w:spacing w:before="120" w:beforeLines="50"/>
        <w:jc w:val="left"/>
        <w:outlineLvl w:val="0"/>
        <w:rPr>
          <w:rFonts w:ascii="黑体" w:hAnsi="黑体" w:eastAsia="黑体"/>
          <w:b/>
          <w:color w:val="000000" w:themeColor="text1"/>
          <w:sz w:val="32"/>
          <w:szCs w:val="32"/>
          <w14:textFill>
            <w14:solidFill>
              <w14:schemeClr w14:val="tx1"/>
            </w14:solidFill>
          </w14:textFill>
        </w:rPr>
      </w:pPr>
      <w:bookmarkStart w:id="72" w:name="_Toc23641"/>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1.3</w:t>
      </w:r>
      <w:r>
        <w:rPr>
          <w:rFonts w:hint="eastAsia" w:ascii="黑体" w:hAnsi="黑体" w:eastAsia="黑体"/>
          <w:b/>
          <w:color w:val="000000" w:themeColor="text1"/>
          <w:sz w:val="32"/>
          <w:szCs w:val="32"/>
          <w14:textFill>
            <w14:solidFill>
              <w14:schemeClr w14:val="tx1"/>
            </w14:solidFill>
          </w14:textFill>
        </w:rPr>
        <w:t>项目主要评价内容及评价重点</w:t>
      </w:r>
      <w:bookmarkEnd w:id="69"/>
      <w:bookmarkEnd w:id="70"/>
      <w:bookmarkEnd w:id="71"/>
      <w:bookmarkEnd w:id="72"/>
    </w:p>
    <w:p>
      <w:pPr>
        <w:spacing w:line="520" w:lineRule="exact"/>
        <w:ind w:firstLine="480" w:firstLineChars="200"/>
        <w:jc w:val="left"/>
        <w:rPr>
          <w:rFonts w:ascii="宋体" w:hAnsi="Times New Roman" w:cs="宋体"/>
          <w:color w:val="000000" w:themeColor="text1"/>
          <w:sz w:val="24"/>
          <w:szCs w:val="24"/>
          <w14:textFill>
            <w14:solidFill>
              <w14:schemeClr w14:val="tx1"/>
            </w14:solidFill>
          </w14:textFill>
        </w:rPr>
      </w:pPr>
      <w:r>
        <w:rPr>
          <w:rFonts w:hint="eastAsia" w:ascii="宋体" w:hAnsi="Times New Roman" w:cs="宋体"/>
          <w:color w:val="000000" w:themeColor="text1"/>
          <w:sz w:val="24"/>
          <w:szCs w:val="24"/>
          <w14:textFill>
            <w14:solidFill>
              <w14:schemeClr w14:val="tx1"/>
            </w14:solidFill>
          </w14:textFill>
        </w:rPr>
        <w:t>本项目主要评价内容包括：项目概况、工程分析、环境质量现状评价、环境风险评价、污染防治措施可行性分析、总量控制、项目产业政策符合性分析、环境经济损益分析、环境管理与环境监测、评价结论和建议等。根据本项目的排污特征和可能对各环境要素的影响程度，结合项目所在区域环境特征和行业特点，确定本评价重点为：</w:t>
      </w:r>
    </w:p>
    <w:p>
      <w:pPr>
        <w:spacing w:line="520" w:lineRule="exact"/>
        <w:ind w:firstLine="480" w:firstLineChars="200"/>
        <w:jc w:val="left"/>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（1）工程分析作为评价重点之一，核实各污染源主要污染物产生排放情况</w:t>
      </w:r>
      <w:r>
        <w:rPr>
          <w:rFonts w:hint="eastAsia" w:ascii="Times New Roman"/>
          <w:color w:val="000000" w:themeColor="text1"/>
          <w:sz w:val="24"/>
          <w:szCs w:val="24"/>
          <w14:textFill>
            <w14:solidFill>
              <w14:schemeClr w14:val="tx1"/>
            </w14:solidFill>
          </w14:textFill>
        </w:rPr>
        <w:t>；</w:t>
      </w:r>
    </w:p>
    <w:p>
      <w:pPr>
        <w:spacing w:line="520" w:lineRule="exact"/>
        <w:ind w:firstLine="480" w:firstLineChars="200"/>
        <w:jc w:val="left"/>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（2）环境风险评价作为评价重点之一，在环境风险评价中重点为</w:t>
      </w:r>
      <w:r>
        <w:rPr>
          <w:rFonts w:hint="eastAsia" w:ascii="Times New Roman"/>
          <w:color w:val="000000" w:themeColor="text1"/>
          <w:sz w:val="24"/>
          <w:szCs w:val="24"/>
          <w14:textFill>
            <w14:solidFill>
              <w14:schemeClr w14:val="tx1"/>
            </w14:solidFill>
          </w14:textFill>
        </w:rPr>
        <w:t>氟硅酸等物质泄露、火灾等</w:t>
      </w:r>
      <w:r>
        <w:rPr>
          <w:rFonts w:ascii="Times New Roman"/>
          <w:color w:val="000000" w:themeColor="text1"/>
          <w:sz w:val="24"/>
          <w:szCs w:val="24"/>
          <w14:textFill>
            <w14:solidFill>
              <w14:schemeClr w14:val="tx1"/>
            </w14:solidFill>
          </w14:textFill>
        </w:rPr>
        <w:t>安全性的环境风险影响分析，并制定相应的防范措施和应急预案；</w:t>
      </w:r>
    </w:p>
    <w:p>
      <w:pPr>
        <w:spacing w:line="520" w:lineRule="exact"/>
        <w:ind w:firstLine="480" w:firstLineChars="200"/>
        <w:jc w:val="left"/>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（3）环境保护措施可行性分析作为评价重点之一，重点论述生产</w:t>
      </w:r>
      <w:r>
        <w:rPr>
          <w:rFonts w:hint="eastAsia" w:ascii="Times New Roman"/>
          <w:color w:val="000000" w:themeColor="text1"/>
          <w:sz w:val="24"/>
          <w:szCs w:val="24"/>
          <w14:textFill>
            <w14:solidFill>
              <w14:schemeClr w14:val="tx1"/>
            </w14:solidFill>
          </w14:textFill>
        </w:rPr>
        <w:t>废气、</w:t>
      </w:r>
      <w:r>
        <w:rPr>
          <w:rFonts w:ascii="Times New Roman"/>
          <w:color w:val="000000" w:themeColor="text1"/>
          <w:sz w:val="24"/>
          <w:szCs w:val="24"/>
          <w14:textFill>
            <w14:solidFill>
              <w14:schemeClr w14:val="tx1"/>
            </w14:solidFill>
          </w14:textFill>
        </w:rPr>
        <w:t>废水、</w:t>
      </w:r>
      <w:r>
        <w:rPr>
          <w:rFonts w:hint="eastAsia" w:ascii="Times New Roman"/>
          <w:color w:val="000000" w:themeColor="text1"/>
          <w:sz w:val="24"/>
          <w:szCs w:val="24"/>
          <w14:textFill>
            <w14:solidFill>
              <w14:schemeClr w14:val="tx1"/>
            </w14:solidFill>
          </w14:textFill>
        </w:rPr>
        <w:t>固废</w:t>
      </w:r>
      <w:r>
        <w:rPr>
          <w:rFonts w:ascii="Times New Roman"/>
          <w:color w:val="000000" w:themeColor="text1"/>
          <w:sz w:val="24"/>
          <w:szCs w:val="24"/>
          <w14:textFill>
            <w14:solidFill>
              <w14:schemeClr w14:val="tx1"/>
            </w14:solidFill>
          </w14:textFill>
        </w:rPr>
        <w:t>处置措施的可行性。</w:t>
      </w:r>
    </w:p>
    <w:p>
      <w:pPr>
        <w:numPr>
          <w:ilvl w:val="0"/>
          <w:numId w:val="0"/>
        </w:numPr>
        <w:spacing w:before="120" w:beforeLines="50"/>
        <w:jc w:val="left"/>
        <w:outlineLvl w:val="0"/>
        <w:rPr>
          <w:rFonts w:hint="default" w:ascii="黑体" w:hAnsi="黑体" w:eastAsia="黑体"/>
          <w:b/>
          <w:color w:val="000000" w:themeColor="text1"/>
          <w:sz w:val="32"/>
          <w:szCs w:val="32"/>
          <w:lang w:val="en-US" w:eastAsia="zh-CN"/>
          <w14:textFill>
            <w14:solidFill>
              <w14:schemeClr w14:val="tx1"/>
            </w14:solidFill>
          </w14:textFill>
        </w:rPr>
      </w:pPr>
      <w:bookmarkStart w:id="73" w:name="_Toc20934"/>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1.</w:t>
      </w:r>
      <w:r>
        <w:rPr>
          <w:rFonts w:hint="eastAsia" w:ascii="Times New Roman" w:hAnsi="Times New Roman" w:eastAsia="黑体" w:cs="Times New Roman"/>
          <w:b/>
          <w:color w:val="000000" w:themeColor="text1"/>
          <w:sz w:val="32"/>
          <w:szCs w:val="32"/>
          <w:lang w:val="en-US" w:eastAsia="zh-CN"/>
          <w14:textFill>
            <w14:solidFill>
              <w14:schemeClr w14:val="tx1"/>
            </w14:solidFill>
          </w14:textFill>
        </w:rPr>
        <w:t>4</w:t>
      </w:r>
      <w:r>
        <w:rPr>
          <w:rFonts w:hint="eastAsia" w:ascii="黑体" w:hAnsi="黑体" w:eastAsia="黑体"/>
          <w:b/>
          <w:color w:val="000000" w:themeColor="text1"/>
          <w:sz w:val="32"/>
          <w:szCs w:val="32"/>
          <w:lang w:val="en-US" w:eastAsia="zh-CN"/>
          <w14:textFill>
            <w14:solidFill>
              <w14:schemeClr w14:val="tx1"/>
            </w14:solidFill>
          </w14:textFill>
        </w:rPr>
        <w:t>分析判定相关情况</w:t>
      </w:r>
      <w:bookmarkEnd w:id="73"/>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1.4.1</w:t>
      </w:r>
      <w:r>
        <w:rPr>
          <w:rFonts w:hint="eastAsia" w:ascii="黑体" w:hAnsi="黑体" w:eastAsia="黑体" w:cs="黑体"/>
          <w:b/>
          <w:bCs/>
          <w:color w:val="000000" w:themeColor="text1"/>
          <w:sz w:val="28"/>
          <w:szCs w:val="28"/>
          <w:lang w:val="en-US" w:eastAsia="zh-CN"/>
          <w14:textFill>
            <w14:solidFill>
              <w14:schemeClr w14:val="tx1"/>
            </w14:solidFill>
          </w14:textFill>
        </w:rPr>
        <w:t>产业政策相符性分析</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kern w:val="0"/>
          <w:sz w:val="24"/>
          <w14:textFill>
            <w14:solidFill>
              <w14:schemeClr w14:val="tx1"/>
            </w14:solidFill>
          </w14:textFill>
        </w:rPr>
        <w:t>经</w:t>
      </w:r>
      <w:r>
        <w:rPr>
          <w:rFonts w:ascii="Times New Roman" w:hAnsiTheme="minorEastAsia" w:eastAsiaTheme="minorEastAsia"/>
          <w:color w:val="000000" w:themeColor="text1"/>
          <w:sz w:val="24"/>
          <w14:textFill>
            <w14:solidFill>
              <w14:schemeClr w14:val="tx1"/>
            </w14:solidFill>
          </w14:textFill>
        </w:rPr>
        <w:t>检索《产业结构调整指导目录</w:t>
      </w:r>
      <w:r>
        <w:rPr>
          <w:rFonts w:ascii="Times New Roman" w:hAnsi="Times New Roman" w:eastAsiaTheme="minorEastAsia"/>
          <w:color w:val="000000" w:themeColor="text1"/>
          <w:sz w:val="24"/>
          <w14:textFill>
            <w14:solidFill>
              <w14:schemeClr w14:val="tx1"/>
            </w14:solidFill>
          </w14:textFill>
        </w:rPr>
        <w:t>(20</w:t>
      </w:r>
      <w:r>
        <w:rPr>
          <w:rFonts w:hint="eastAsia" w:ascii="Times New Roman" w:hAnsi="Times New Roman" w:eastAsiaTheme="minorEastAsia"/>
          <w:color w:val="000000" w:themeColor="text1"/>
          <w:sz w:val="24"/>
          <w14:textFill>
            <w14:solidFill>
              <w14:schemeClr w14:val="tx1"/>
            </w14:solidFill>
          </w14:textFill>
        </w:rPr>
        <w:t>19</w:t>
      </w:r>
      <w:r>
        <w:rPr>
          <w:rFonts w:ascii="Times New Roman" w:hAnsiTheme="minorEastAsia" w:eastAsiaTheme="minorEastAsia"/>
          <w:color w:val="000000" w:themeColor="text1"/>
          <w:sz w:val="24"/>
          <w14:textFill>
            <w14:solidFill>
              <w14:schemeClr w14:val="tx1"/>
            </w14:solidFill>
          </w14:textFill>
        </w:rPr>
        <w:t>年本</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》中内容，</w:t>
      </w:r>
      <w:r>
        <w:rPr>
          <w:rFonts w:hint="eastAsia" w:ascii="Times New Roman" w:hAnsiTheme="minorEastAsia" w:eastAsiaTheme="minorEastAsia"/>
          <w:color w:val="000000" w:themeColor="text1"/>
          <w:sz w:val="24"/>
          <w14:textFill>
            <w14:solidFill>
              <w14:schemeClr w14:val="tx1"/>
            </w14:solidFill>
          </w14:textFill>
        </w:rPr>
        <w:t>本项目属于“鼓励类”中“十一、石化化工、14.含氟精细化学品和高品质含氟无机盐”。建设单位已取得宜都市发展和改革局核发的《湖北省固定资产投资项目备案证》，登记备案项目编号：2019-420581-26-03-059329，项目备案文件详见附件。综上，项目建设符合国家和地方产业政策的要求。</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2</w:t>
      </w:r>
      <w:r>
        <w:rPr>
          <w:rFonts w:hint="eastAsia" w:ascii="黑体" w:hAnsi="黑体" w:eastAsia="黑体" w:cs="黑体"/>
          <w:b/>
          <w:bCs/>
          <w:color w:val="000000" w:themeColor="text1"/>
          <w:sz w:val="28"/>
          <w:szCs w:val="28"/>
          <w:lang w:val="en-US" w:eastAsia="zh-CN"/>
          <w14:textFill>
            <w14:solidFill>
              <w14:schemeClr w14:val="tx1"/>
            </w14:solidFill>
          </w14:textFill>
        </w:rPr>
        <w:t>用地规划相符性分析</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项目位</w:t>
      </w:r>
      <w:r>
        <w:rPr>
          <w:rFonts w:ascii="Times New Roman" w:hAnsiTheme="minorEastAsia" w:eastAsiaTheme="minorEastAsia"/>
          <w:bCs/>
          <w:color w:val="000000" w:themeColor="text1"/>
          <w:sz w:val="24"/>
          <w14:textFill>
            <w14:solidFill>
              <w14:schemeClr w14:val="tx1"/>
            </w14:solidFill>
          </w14:textFill>
        </w:rPr>
        <w:t>于</w:t>
      </w:r>
      <w:r>
        <w:rPr>
          <w:rFonts w:hint="eastAsia" w:ascii="Times New Roman" w:hAnsiTheme="minorEastAsia" w:eastAsiaTheme="minorEastAsia"/>
          <w:bCs/>
          <w:color w:val="000000" w:themeColor="text1"/>
          <w:sz w:val="24"/>
          <w14:textFill>
            <w14:solidFill>
              <w14:schemeClr w14:val="tx1"/>
            </w14:solidFill>
          </w14:textFill>
        </w:rPr>
        <w:t>宜昌化工园宜都园区</w:t>
      </w:r>
      <w:r>
        <w:rPr>
          <w:rFonts w:ascii="Times New Roman" w:hAnsiTheme="minorEastAsia" w:eastAsiaTheme="minorEastAsia"/>
          <w:bCs/>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2019年6月</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本项目已取得宜都市自然资源和规划局颁发的建设用地规划许可证（地字420581202100128号）。</w:t>
      </w:r>
      <w:r>
        <w:rPr>
          <w:rFonts w:ascii="Times New Roman" w:hAnsiTheme="minorEastAsia" w:eastAsiaTheme="minorEastAsia"/>
          <w:color w:val="000000" w:themeColor="text1"/>
          <w:sz w:val="24"/>
          <w14:textFill>
            <w14:solidFill>
              <w14:schemeClr w14:val="tx1"/>
            </w14:solidFill>
          </w14:textFill>
        </w:rPr>
        <w:t>对照《限制用地项目目录</w:t>
      </w:r>
      <w:r>
        <w:rPr>
          <w:rFonts w:ascii="Times New Roman" w:hAnsi="Times New Roman" w:eastAsiaTheme="minorEastAsia"/>
          <w:color w:val="000000" w:themeColor="text1"/>
          <w:sz w:val="24"/>
          <w14:textFill>
            <w14:solidFill>
              <w14:schemeClr w14:val="tx1"/>
            </w14:solidFill>
          </w14:textFill>
        </w:rPr>
        <w:t>(2012</w:t>
      </w:r>
      <w:r>
        <w:rPr>
          <w:rFonts w:ascii="Times New Roman" w:hAnsiTheme="minorEastAsia" w:eastAsiaTheme="minorEastAsia"/>
          <w:color w:val="000000" w:themeColor="text1"/>
          <w:sz w:val="24"/>
          <w14:textFill>
            <w14:solidFill>
              <w14:schemeClr w14:val="tx1"/>
            </w14:solidFill>
          </w14:textFill>
        </w:rPr>
        <w:t>年本</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》和《禁止用地项目目录</w:t>
      </w:r>
      <w:r>
        <w:rPr>
          <w:rFonts w:ascii="Times New Roman" w:hAnsi="Times New Roman" w:eastAsiaTheme="minorEastAsia"/>
          <w:color w:val="000000" w:themeColor="text1"/>
          <w:sz w:val="24"/>
          <w14:textFill>
            <w14:solidFill>
              <w14:schemeClr w14:val="tx1"/>
            </w14:solidFill>
          </w14:textFill>
        </w:rPr>
        <w:t>(2012</w:t>
      </w:r>
      <w:r>
        <w:rPr>
          <w:rFonts w:ascii="Times New Roman" w:hAnsiTheme="minorEastAsia" w:eastAsiaTheme="minorEastAsia"/>
          <w:color w:val="000000" w:themeColor="text1"/>
          <w:sz w:val="24"/>
          <w14:textFill>
            <w14:solidFill>
              <w14:schemeClr w14:val="tx1"/>
            </w14:solidFill>
          </w14:textFill>
        </w:rPr>
        <w:t>年本</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》，本项目不属于限制用地和禁止用地，符合《限制用地项目目录</w:t>
      </w:r>
      <w:r>
        <w:rPr>
          <w:rFonts w:ascii="Times New Roman" w:hAnsi="Times New Roman" w:eastAsiaTheme="minorEastAsia"/>
          <w:color w:val="000000" w:themeColor="text1"/>
          <w:sz w:val="24"/>
          <w14:textFill>
            <w14:solidFill>
              <w14:schemeClr w14:val="tx1"/>
            </w14:solidFill>
          </w14:textFill>
        </w:rPr>
        <w:t>(2012</w:t>
      </w:r>
      <w:r>
        <w:rPr>
          <w:rFonts w:ascii="Times New Roman" w:hAnsiTheme="minorEastAsia" w:eastAsiaTheme="minorEastAsia"/>
          <w:color w:val="000000" w:themeColor="text1"/>
          <w:sz w:val="24"/>
          <w14:textFill>
            <w14:solidFill>
              <w14:schemeClr w14:val="tx1"/>
            </w14:solidFill>
          </w14:textFill>
        </w:rPr>
        <w:t>年本</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》和《禁止用地项目目录</w:t>
      </w:r>
      <w:r>
        <w:rPr>
          <w:rFonts w:ascii="Times New Roman" w:hAnsi="Times New Roman" w:eastAsiaTheme="minorEastAsia"/>
          <w:color w:val="000000" w:themeColor="text1"/>
          <w:sz w:val="24"/>
          <w14:textFill>
            <w14:solidFill>
              <w14:schemeClr w14:val="tx1"/>
            </w14:solidFill>
          </w14:textFill>
        </w:rPr>
        <w:t>(2012</w:t>
      </w:r>
      <w:r>
        <w:rPr>
          <w:rFonts w:ascii="Times New Roman" w:hAnsiTheme="minorEastAsia" w:eastAsiaTheme="minorEastAsia"/>
          <w:color w:val="000000" w:themeColor="text1"/>
          <w:sz w:val="24"/>
          <w14:textFill>
            <w14:solidFill>
              <w14:schemeClr w14:val="tx1"/>
            </w14:solidFill>
          </w14:textFill>
        </w:rPr>
        <w:t>年本</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》中要求。</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default"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3</w:t>
      </w:r>
      <w:r>
        <w:rPr>
          <w:rFonts w:hint="eastAsia" w:ascii="黑体" w:hAnsi="黑体" w:eastAsia="黑体" w:cs="黑体"/>
          <w:b/>
          <w:bCs/>
          <w:color w:val="000000" w:themeColor="text1"/>
          <w:sz w:val="28"/>
          <w:szCs w:val="28"/>
          <w:lang w:val="en-US" w:eastAsia="zh-CN"/>
          <w14:textFill>
            <w14:solidFill>
              <w14:schemeClr w14:val="tx1"/>
            </w14:solidFill>
          </w14:textFill>
        </w:rPr>
        <w:t>与长江大保护相关文件符合性分析</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为加强长江黄金水道环境污染防控治理，2016年2月23日国家发展改革委环境保护部印发了《国家发展改革委环境保护部印发关于加强长江黄金水道环境污染防控治理的指导意见的通知》（发改环资〔2016〕370号），根据该文件要求“严禁在干流及主要支流岸线1公里范围内新建布局重化工园区，严控在中上游沿岸地区新建石油化工和煤化工项目；2016年底前，全面取缔十小企业；从严审批产生有毒有害污染物的新建和改扩建项目；强化环评管理，新建、改建、扩建重点行业项目实行主要水污染物排放减量置换，严控新增污染物排放”。2016年5月10日，湖北省省委主要领导同志召开调研座谈会，专题研究湖北长江经济带生态保护和绿色发展有关问题。为贯彻落实会议精神，省委、省政府决定在全省迅速开展湖北长江经济带沿江重化工及造纸行业企业专项集中整治行动。2016年5月27日中共湖北省委办公厅印发了《省委办公厅省政府办公厅关于迅速开展湖北长江经济带沿江重化工及造纸行业企业专项集中整治行动的通知》（鄂办文〔2016〕34号），根据该文件要求“不得在沿江1公里范围内布局重化工及造纸行业项目，正在审批的，一律停止审批；己批复未开工的，一律停止建设。超过1公里不足15公里的项目，正在审批的，暂停审批；省级及省以下相关部门已批复未开工的，暂停开工，由项目原批复单位进一步论证环保、安全、消防等相关事项后，再决定是否审批或开工”。</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针对鄂办文〔2016〕34号执行情况和存在的突出问题，为进一步做好湖北长江经济带沿江重化工及造纸行业企业专项整治后续有关工作，巩固现有的整治成果，持续深入推进湖北长江经济带生态保护和绿色发展，2017年1月4日湖北省推动长江经济带发展领导小组办公室印发了《省推动长江经济带发展领导小组办公室关于做好湖北长江经济带沿江重化工及造纸行业企业专项集中整治后续有关工作的通知》（湖北省推动长江经济带发展领导小组办公室文件2017年第10号）要求“沿江1公里禁止新建重化工园区，不再审批新建项目。已批复未开工的项目停工建设，在建项目经原批复单位再论证合格后，按审批权限报本级人民政府批准后继续建设。改扩建项目，对其中采用先进生产工艺或改进现有工艺流程、减少污染物排放量和排放强度、符合污染物总量控制要求且区域环境质量满足目标要求的，按程序批复后实施”。2018年6月，《省人民政府关于印发沿江化工企业关改搬转等湖北长江大保护十大标志性战役相关工作方案的通知》（鄂政发〔2018〕24号）》中要求“大力开展沿江化工企业污染专项整治。凡不符合规划区划或安全环保条件、存在环境污染风险的现有化工企业，一律实施关停或迁入合规园区、改造升级；严格产业政策，沿江1公里内禁止新建化工项目和重化工园区，沿江15公里范围内一律禁止在园区外新建化工项目”。</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本项目属于C2613无机盐制造，建设地点位于宜昌化工园宜都园区，与长江最近直线距离约2.2km，符合国家、省市长江大保护相关要求。</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4</w:t>
      </w:r>
      <w:r>
        <w:rPr>
          <w:rFonts w:hint="eastAsia" w:ascii="黑体" w:hAnsi="黑体" w:eastAsia="黑体" w:cs="黑体"/>
          <w:b/>
          <w:bCs/>
          <w:color w:val="000000" w:themeColor="text1"/>
          <w:sz w:val="28"/>
          <w:szCs w:val="28"/>
          <w:lang w:val="en-US" w:eastAsia="zh-CN"/>
          <w14:textFill>
            <w14:solidFill>
              <w14:schemeClr w14:val="tx1"/>
            </w14:solidFill>
          </w14:textFill>
        </w:rPr>
        <w:t>与《长江经济带发展负面清单指南（试行）》符合性分析</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2019年1月12日，推动长江经济带发展领导小组办公室印发了《关于发布长江经济带发展负面清单指南（试行）的通知》（推动长江经济带发展领导小组办公室文件第89号）（以下简称“89号文”）。长江经济带发展负面清单指南（试行）提出的部分要求如下：“禁止在长江干支流1公里范围内新建、扩建化工园区和化工项目。禁止在合规园区外新建、扩建钢铁、石化、化工、焦化、建材、有色等高污染项目。禁止新建、扩建不符合国家石化、现代煤化工等产业布局规划的项目。禁止新建、扩建法律法规和相关政策明令禁止的落后产能项目。禁止新建、扩建不符合国家产能置换要求的严重过剩产能行业的项目。”</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项目建设地点位于</w:t>
      </w:r>
      <w:r>
        <w:rPr>
          <w:rFonts w:hint="eastAsia" w:hAnsiTheme="minorEastAsia" w:eastAsiaTheme="minorEastAsia"/>
          <w:color w:val="000000" w:themeColor="text1"/>
          <w:sz w:val="24"/>
          <w:szCs w:val="24"/>
          <w14:textFill>
            <w14:solidFill>
              <w14:schemeClr w14:val="tx1"/>
            </w14:solidFill>
          </w14:textFill>
        </w:rPr>
        <w:t>宜昌化工园宜都园区内</w:t>
      </w:r>
      <w:r>
        <w:rPr>
          <w:rFonts w:hint="eastAsia" w:ascii="Times New Roman" w:hAnsi="Times New Roman" w:eastAsiaTheme="minorEastAsia"/>
          <w:color w:val="000000" w:themeColor="text1"/>
          <w:sz w:val="24"/>
          <w14:textFill>
            <w14:solidFill>
              <w14:schemeClr w14:val="tx1"/>
            </w14:solidFill>
          </w14:textFill>
        </w:rPr>
        <w:t>，与长江直线距离约2.2</w:t>
      </w:r>
      <w:r>
        <w:rPr>
          <w:rFonts w:ascii="Times New Roman" w:hAnsi="Times New Roman" w:eastAsiaTheme="minorEastAsia"/>
          <w:color w:val="000000" w:themeColor="text1"/>
          <w:sz w:val="24"/>
          <w14:textFill>
            <w14:solidFill>
              <w14:schemeClr w14:val="tx1"/>
            </w14:solidFill>
          </w14:textFill>
        </w:rPr>
        <w:t>km</w:t>
      </w:r>
      <w:r>
        <w:rPr>
          <w:rFonts w:hint="eastAsia" w:ascii="Times New Roman" w:hAnsi="Times New Roman" w:eastAsiaTheme="minorEastAsia"/>
          <w:color w:val="000000" w:themeColor="text1"/>
          <w:sz w:val="24"/>
          <w14:textFill>
            <w14:solidFill>
              <w14:schemeClr w14:val="tx1"/>
            </w14:solidFill>
          </w14:textFill>
        </w:rPr>
        <w:t>。本项目属于C2613无机盐制造，符合国家和</w:t>
      </w:r>
      <w:r>
        <w:rPr>
          <w:rFonts w:hint="eastAsia" w:hAnsiTheme="minorEastAsia" w:eastAsiaTheme="minorEastAsia"/>
          <w:color w:val="000000" w:themeColor="text1"/>
          <w:sz w:val="24"/>
          <w:szCs w:val="24"/>
          <w14:textFill>
            <w14:solidFill>
              <w14:schemeClr w14:val="tx1"/>
            </w14:solidFill>
          </w14:textFill>
        </w:rPr>
        <w:t>园区</w:t>
      </w:r>
      <w:r>
        <w:rPr>
          <w:rFonts w:hint="eastAsia" w:ascii="Times New Roman" w:hAnsi="Times New Roman" w:eastAsiaTheme="minorEastAsia"/>
          <w:color w:val="000000" w:themeColor="text1"/>
          <w:sz w:val="24"/>
          <w14:textFill>
            <w14:solidFill>
              <w14:schemeClr w14:val="tx1"/>
            </w14:solidFill>
          </w14:textFill>
        </w:rPr>
        <w:t>产业政策，不属于国家产能严重过剩行业，不属于长江经济带发展负面清单所列内容。</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default" w:ascii="Times New Roman" w:hAnsi="Times New Roman" w:eastAsia="黑体"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5</w:t>
      </w:r>
      <w:r>
        <w:rPr>
          <w:rFonts w:hint="default" w:ascii="Times New Roman" w:hAnsi="Times New Roman" w:eastAsia="黑体" w:cs="Times New Roman"/>
          <w:b/>
          <w:bCs/>
          <w:color w:val="000000" w:themeColor="text1"/>
          <w:sz w:val="28"/>
          <w:szCs w:val="28"/>
          <w:lang w:val="en-US" w:eastAsia="zh-CN"/>
          <w14:textFill>
            <w14:solidFill>
              <w14:schemeClr w14:val="tx1"/>
            </w14:solidFill>
          </w14:textFill>
        </w:rPr>
        <w:t>与《宜都市城乡总体规划（2011-2030）》符合性分析</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根据《宜都市城乡总体规划（2011-2030）》：宜都市枝城镇为综合型城镇，规划主要职能为“化工新材料、高端电子材料、生物制药、大型成套磷肥基地、建材基地、物流”。枝城组团发展指引为“为沿江城镇带南部组团，重点发展高新技术园区，优化园区服务配套，引导工业的合理发展；规划细分为楼子河产业片区、枝城城区、洋溪产业片区三大片区”。枝城产业园区功能定位为“能源资源合作基地，建材化工集聚区；南部物流中心”；建设指引为“整合用地布局，引导三类工业发展，努力改善空气和水环境。打造南部物流中心，加强公铁水转运的良好衔接”。</w:t>
      </w:r>
    </w:p>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项目位于湖北省宜昌市宜都市枝城镇枝城产业园（宜昌化工园宜都园区内），属于无机盐制造（精细化工行业），项目建设与《宜都市城乡总体规划（2011-2030）》要求相符。</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default" w:ascii="Times New Roman" w:hAnsi="Times New Roman" w:eastAsia="黑体"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6</w:t>
      </w:r>
      <w:r>
        <w:rPr>
          <w:rFonts w:hint="default" w:ascii="Times New Roman" w:hAnsi="Times New Roman" w:eastAsia="黑体" w:cs="Times New Roman"/>
          <w:b/>
          <w:bCs/>
          <w:color w:val="000000" w:themeColor="text1"/>
          <w:sz w:val="28"/>
          <w:szCs w:val="28"/>
          <w:lang w:val="en-US" w:eastAsia="zh-CN"/>
          <w14:textFill>
            <w14:solidFill>
              <w14:schemeClr w14:val="tx1"/>
            </w14:solidFill>
          </w14:textFill>
        </w:rPr>
        <w:t>与《宜昌化工园宜都园区总体规划（2017-2030）》符合性分析</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（1）建设内容规划相符性</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根据《宜昌化工园宜都园区总体规划（2017-2030）》，宜昌化工园宜都园区建设范围为西侧紧邻焦柳铁路，北侧紧邻枝城镇区，东临长江，南侧与松滋临港化工园相邻， 规划总用地33.98平方公里。园区功能分区规划由二个部分构成。</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①精细化工产业区</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工业区的精细化工、医药化工产业布置在宜洋一级路南侧，该园区主要地形地貌为丘陵，紧邻岳宜高速出入口，区位优势明显，能布置大规模体量的化工项目，同时结合磷石膏原料适当布置建材产业。精细化工产业区用地范围约 25.91 平方公里。</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②配套服务产业区</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位于宜洋一级路北侧，依托现有的园区焦柳铁路和对外高速、公路，航运港口作业区，规划在邻近长江航运作业区域建设物流中心，主要为精细化工、医药化工产业的物流服务。</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以北煤南运（晋煤南运）大通道建设为契机，形成以枝城火车站为依托，以能源仓储转运为特色的沿江现代能源产业。</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该区南部地势平坦，用地条件良好，规划形成一个相对独立的区域。主要布置在原洋溪集镇生活区域内，结合断山口水库建设休闲公园布置研发中心、园区管理中心、专业市场、紧急救援中心等，同时规范居住用地规模，作为化工园区职工配套居住区域； 北部在鄂中、宜化等化工企业搬迁后，结合现有工业设施，建设工业遗址公园。配套服务产业区用地范围约 8.07 平方公里。</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（2）产业结构规划符合性</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宜昌化工园宜都园区产业结构总体规划为：以磷化工为基础，以精细化工、医药化工为目标导向，补链配套新型建材工业、能源产业以及物流运输，共同组成多种物质和能量链接利用的生态工业网络，最终形成以基础磷化工、精细化工、医药化工为主体， 化工建材、能源以及配套物流园为重要辅助的生态型产业集群。</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拟建项目位于湖北省宜昌市宜都市枝城镇（宜昌化工园宜都园区内），属于无机盐制造（精细化工行业），项目建设与宜昌化工园宜都园区产业结构相符。项目在宜昌化工园宜都园区规划结构示意图位置详见附图4。</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（3）土地利用规划符合性</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宜昌化工园宜都园区总体规划（2017-2030）》中明确：严格按照国家城市建设用地的标准，有效控制各类用地规模的原则下，通过合理的布局结构和功能配置，集约利用园区城市建设用地，既满足近期化工企业的实施需求，又不影响远期整体布局。</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拟建项目位于湖北省宜昌市宜都市枝城镇（宜昌化工园宜都园区内），项目建设与宜昌化工园宜都园区土地利用规划相符。</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7</w:t>
      </w:r>
      <w:r>
        <w:rPr>
          <w:rFonts w:hint="eastAsia" w:ascii="黑体" w:hAnsi="黑体" w:eastAsia="黑体" w:cs="黑体"/>
          <w:b/>
          <w:bCs/>
          <w:color w:val="000000" w:themeColor="text1"/>
          <w:sz w:val="28"/>
          <w:szCs w:val="28"/>
          <w:lang w:val="en-US" w:eastAsia="zh-CN"/>
          <w14:textFill>
            <w14:solidFill>
              <w14:schemeClr w14:val="tx1"/>
            </w14:solidFill>
          </w14:textFill>
        </w:rPr>
        <w:t>与《宜昌化工园宜都园区总体规划环境影响报告书》符合性分析</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2018年6月，湖北正江环保科技有限公司完成了《宜昌化工园宜都园区总体规划环境影响报告书（报批本）》的规划环境影响评价工作。宜昌市环境保护局《市环保局关于宜昌化工园宜都园区规划环境影响报告书审查意见的函》（宜市环审〔2018〕38号） 对报告书提出了审查意见。</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宜昌化工园宜都园区产业结构总体规划为：以磷化工为基础，以精细化工、医药化工为目标导向，补链配套新型建材工业、能源产业以及物流运输，共同组成多种物质和能量链接利用的生态工业网络，最终形成以基础磷化工、精细化工、医药化工为主体， 化工建材、能源以及配套物流园为重要辅助的生态型产业集群。</w:t>
      </w: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拟建项目位于湖北省宜昌市宜都市枝城镇（宜昌化工园宜都园区内），属于无机盐制造（精细化工行业），项目属于宜都园区准入负面清单中“鼓励类.32.含氟精细化学品和高品质含氟无机盐生产项目”，项目建设与《宜昌化工园宜都园区总体规划环境影响报告书》要求相符。</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Times New Roman" w:hAnsi="Times New Roman"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8</w:t>
      </w:r>
      <w:r>
        <w:rPr>
          <w:rFonts w:hint="eastAsia" w:ascii="黑体" w:hAnsi="黑体" w:eastAsia="黑体" w:cs="黑体"/>
          <w:b/>
          <w:bCs/>
          <w:color w:val="000000" w:themeColor="text1"/>
          <w:sz w:val="28"/>
          <w:szCs w:val="28"/>
          <w:lang w:val="en-US" w:eastAsia="zh-CN"/>
          <w14:textFill>
            <w14:solidFill>
              <w14:schemeClr w14:val="tx1"/>
            </w14:solidFill>
          </w14:textFill>
        </w:rPr>
        <w:t>与《湖北省生态保护红线》符合性分析</w:t>
      </w:r>
    </w:p>
    <w:p>
      <w:pPr>
        <w:pStyle w:val="23"/>
        <w:adjustRightInd w:val="0"/>
        <w:snapToGrid w:val="0"/>
        <w:spacing w:after="0" w:line="520" w:lineRule="exact"/>
        <w:ind w:firstLine="480" w:firstLineChars="200"/>
        <w:jc w:val="left"/>
        <w:rPr>
          <w:rFonts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对照湖北省生态红线图，本项目不在《省人民政府关于发布湖北省生态保护红线的通知》（鄂政发〔2018〕30号）中公布的湖北省生态保护红线控制线范围内，项目所在区域在湖北省生态红线图位置见附图5。</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9</w:t>
      </w:r>
      <w:r>
        <w:rPr>
          <w:rFonts w:hint="eastAsia" w:ascii="黑体" w:hAnsi="黑体" w:eastAsia="黑体" w:cs="黑体"/>
          <w:b/>
          <w:bCs/>
          <w:color w:val="000000" w:themeColor="text1"/>
          <w:sz w:val="28"/>
          <w:szCs w:val="28"/>
          <w:lang w:val="en-US" w:eastAsia="zh-CN"/>
          <w14:textFill>
            <w14:solidFill>
              <w14:schemeClr w14:val="tx1"/>
            </w14:solidFill>
          </w14:textFill>
        </w:rPr>
        <w:t>“三线一单”符合性分析</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（1）生态保护红线</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2018年07月25日，湖北省人民政府以鄂政发〔2018〕30号文下发了《省人民政府关于发布湖北省生态保护红线的通知》。对项目与湖北省生态保护红线分布图的位置关系分析，项目不在湖北省生态保护红线范围内。</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lang w:val="en-US" w:eastAsia="zh-CN"/>
          <w14:textFill>
            <w14:solidFill>
              <w14:schemeClr w14:val="tx1"/>
            </w14:solidFill>
          </w14:textFill>
        </w:rPr>
      </w:pPr>
      <w:r>
        <w:rPr>
          <w:rFonts w:hint="eastAsia" w:cs="Times New Roman" w:hAnsiTheme="minorEastAsia" w:eastAsiaTheme="minorEastAsia"/>
          <w:color w:val="000000" w:themeColor="text1"/>
          <w:sz w:val="24"/>
          <w:szCs w:val="24"/>
          <w:lang w:val="en-US" w:eastAsia="zh-CN"/>
          <w14:textFill>
            <w14:solidFill>
              <w14:schemeClr w14:val="tx1"/>
            </w14:solidFill>
          </w14:textFill>
        </w:rPr>
        <w:t>（2）环境质量底线</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lang w:val="en-US" w:eastAsia="zh-CN"/>
          <w14:textFill>
            <w14:solidFill>
              <w14:schemeClr w14:val="tx1"/>
            </w14:solidFill>
          </w14:textFill>
        </w:rPr>
      </w:pPr>
      <w:r>
        <w:rPr>
          <w:rFonts w:hint="eastAsia" w:cs="Times New Roman" w:hAnsiTheme="minorEastAsia" w:eastAsiaTheme="minorEastAsia"/>
          <w:color w:val="000000" w:themeColor="text1"/>
          <w:sz w:val="24"/>
          <w:szCs w:val="24"/>
          <w:lang w:val="en-US" w:eastAsia="zh-CN"/>
          <w14:textFill>
            <w14:solidFill>
              <w14:schemeClr w14:val="tx1"/>
            </w14:solidFill>
          </w14:textFill>
        </w:rPr>
        <w:t>项目区域环境质量目标及其现状达标情况见表1.4-1。</w:t>
      </w:r>
    </w:p>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-1  项目区域环境质量目标及其现状达标情况一览表</w:t>
      </w:r>
    </w:p>
    <w:tbl>
      <w:tblPr>
        <w:tblStyle w:val="88"/>
        <w:tblW w:w="88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8"/>
        <w:gridCol w:w="4007"/>
        <w:gridCol w:w="2831"/>
        <w:gridCol w:w="11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898" w:type="dxa"/>
            <w:tcBorders>
              <w:tl2br w:val="nil"/>
              <w:tr2bl w:val="nil"/>
            </w:tcBorders>
            <w:vAlign w:val="center"/>
          </w:tcPr>
          <w:p>
            <w:pPr>
              <w:adjustRightInd w:val="0"/>
              <w:snapToGrid w:val="0"/>
              <w:ind w:left="-105" w:leftChars="-50" w:right="-107" w:rightChars="-51"/>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环境要素</w:t>
            </w:r>
          </w:p>
        </w:tc>
        <w:tc>
          <w:tcPr>
            <w:tcW w:w="4007" w:type="dxa"/>
            <w:tcBorders>
              <w:tl2br w:val="nil"/>
              <w:tr2bl w:val="nil"/>
            </w:tcBorders>
            <w:vAlign w:val="center"/>
          </w:tcPr>
          <w:p>
            <w:pPr>
              <w:adjustRightInd w:val="0"/>
              <w:snapToGrid w:val="0"/>
              <w:ind w:left="-84" w:leftChars="-40" w:right="-42" w:rightChars="-2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环境质量目标</w:t>
            </w:r>
          </w:p>
        </w:tc>
        <w:tc>
          <w:tcPr>
            <w:tcW w:w="2831"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环境质量现状</w:t>
            </w:r>
          </w:p>
        </w:tc>
        <w:tc>
          <w:tcPr>
            <w:tcW w:w="1103"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环境质量达标情况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98" w:type="dxa"/>
            <w:vMerge w:val="restart"/>
            <w:tcBorders>
              <w:tl2br w:val="nil"/>
              <w:tr2bl w:val="nil"/>
            </w:tcBorders>
            <w:vAlign w:val="center"/>
          </w:tcPr>
          <w:p>
            <w:pPr>
              <w:adjustRightInd w:val="0"/>
              <w:snapToGrid w:val="0"/>
              <w:ind w:left="-105" w:leftChars="-50" w:right="-107" w:rightChars="-51"/>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大气</w:t>
            </w:r>
          </w:p>
        </w:tc>
        <w:tc>
          <w:tcPr>
            <w:tcW w:w="4007"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《环境空气质量标准》（GB3095-2012）二级</w:t>
            </w:r>
          </w:p>
        </w:tc>
        <w:tc>
          <w:tcPr>
            <w:tcW w:w="2831"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PM</w:t>
            </w:r>
            <w:r>
              <w:rPr>
                <w:rFonts w:hint="eastAsia" w:ascii="Times New Roman" w:hAnsi="Times New Roman"/>
                <w:bCs/>
                <w:color w:val="000000" w:themeColor="text1"/>
                <w:vertAlign w:val="subscript"/>
                <w14:textFill>
                  <w14:solidFill>
                    <w14:schemeClr w14:val="tx1"/>
                  </w14:solidFill>
                </w14:textFill>
              </w:rPr>
              <w:t>2.5</w:t>
            </w:r>
            <w:r>
              <w:rPr>
                <w:rFonts w:hint="eastAsia" w:ascii="Times New Roman" w:hAnsi="Times New Roman"/>
                <w:bCs/>
                <w:color w:val="000000" w:themeColor="text1"/>
                <w14:textFill>
                  <w14:solidFill>
                    <w14:schemeClr w14:val="tx1"/>
                  </w14:solidFill>
                </w14:textFill>
              </w:rPr>
              <w:t>超标</w:t>
            </w:r>
          </w:p>
        </w:tc>
        <w:tc>
          <w:tcPr>
            <w:tcW w:w="1103" w:type="dxa"/>
            <w:tcBorders>
              <w:tl2br w:val="nil"/>
              <w:tr2bl w:val="nil"/>
            </w:tcBorders>
            <w:vAlign w:val="center"/>
          </w:tcPr>
          <w:p>
            <w:pPr>
              <w:widowControl/>
              <w:adjustRightInd w:val="0"/>
              <w:snapToGrid w:val="0"/>
              <w:jc w:val="center"/>
              <w:textAlignment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不</w:t>
            </w:r>
            <w:r>
              <w:rPr>
                <w:rFonts w:ascii="Times New Roman" w:hAnsi="Times New Roman"/>
                <w:bCs/>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98" w:type="dxa"/>
            <w:vMerge w:val="continue"/>
            <w:tcBorders>
              <w:tl2br w:val="nil"/>
              <w:tr2bl w:val="nil"/>
            </w:tcBorders>
            <w:vAlign w:val="center"/>
          </w:tcPr>
          <w:p>
            <w:pPr>
              <w:adjustRightInd w:val="0"/>
              <w:snapToGrid w:val="0"/>
              <w:ind w:left="-105" w:leftChars="-50" w:right="-107" w:rightChars="-51"/>
              <w:jc w:val="center"/>
              <w:rPr>
                <w:rFonts w:ascii="Times New Roman" w:hAnsi="Times New Roman"/>
                <w:bCs/>
                <w:color w:val="000000" w:themeColor="text1"/>
                <w14:textFill>
                  <w14:solidFill>
                    <w14:schemeClr w14:val="tx1"/>
                  </w14:solidFill>
                </w14:textFill>
              </w:rPr>
            </w:pPr>
          </w:p>
        </w:tc>
        <w:tc>
          <w:tcPr>
            <w:tcW w:w="4007"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hint="eastAsia" w:ascii="Times New Roman" w:hAnsiTheme="minorEastAsia" w:eastAsiaTheme="minorEastAsia"/>
                <w:bCs/>
                <w:color w:val="000000" w:themeColor="text1"/>
                <w:szCs w:val="24"/>
                <w14:textFill>
                  <w14:solidFill>
                    <w14:schemeClr w14:val="tx1"/>
                  </w14:solidFill>
                </w14:textFill>
              </w:rPr>
              <w:t>《环境空气质量标准》（GB3095-2012）附录A参考浓度限值二级</w:t>
            </w:r>
          </w:p>
        </w:tc>
        <w:tc>
          <w:tcPr>
            <w:tcW w:w="2831"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氟化物达标</w:t>
            </w:r>
          </w:p>
        </w:tc>
        <w:tc>
          <w:tcPr>
            <w:tcW w:w="1103" w:type="dxa"/>
            <w:tcBorders>
              <w:tl2br w:val="nil"/>
              <w:tr2bl w:val="nil"/>
            </w:tcBorders>
            <w:vAlign w:val="center"/>
          </w:tcPr>
          <w:p>
            <w:pPr>
              <w:widowControl/>
              <w:adjustRightInd w:val="0"/>
              <w:snapToGrid w:val="0"/>
              <w:jc w:val="center"/>
              <w:textAlignment w:val="center"/>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98" w:type="dxa"/>
            <w:vMerge w:val="continue"/>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4007"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"https://wenwen.sogou.com/s/?w=%E5%A4%A7%E6%B0%94%E6%B1%A1%E6%9F%93%E7%89%A9%E7%BB%BC%E5%90%88%E6%8E%92%E6%94%BE%E6%A0%87%E5%87%86%E8%AF%A6%E8%A7%A3&amp;ch=ww.xqy.chain" \t "_blank" </w:instrText>
            </w:r>
            <w:r>
              <w:rPr>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环境影响评价技术导则</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t>》（HJ2.2-2018）附录D</w:t>
            </w:r>
          </w:p>
        </w:tc>
        <w:tc>
          <w:tcPr>
            <w:tcW w:w="2831"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氯化氢</w:t>
            </w:r>
            <w:r>
              <w:rPr>
                <w:rFonts w:ascii="Times New Roman" w:hAnsi="Times New Roman"/>
                <w:color w:val="000000" w:themeColor="text1"/>
                <w14:textFill>
                  <w14:solidFill>
                    <w14:schemeClr w14:val="tx1"/>
                  </w14:solidFill>
                </w14:textFill>
              </w:rPr>
              <w:t>达标</w:t>
            </w:r>
          </w:p>
        </w:tc>
        <w:tc>
          <w:tcPr>
            <w:tcW w:w="1103"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98"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地表水</w:t>
            </w:r>
          </w:p>
        </w:tc>
        <w:tc>
          <w:tcPr>
            <w:tcW w:w="4007"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《地表水环境质量标准》（GB3838-2002）中III类水质标准</w:t>
            </w:r>
          </w:p>
        </w:tc>
        <w:tc>
          <w:tcPr>
            <w:tcW w:w="2831"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《地表水环境质量标准》（GB3838-2002）中III类水质标准</w:t>
            </w:r>
          </w:p>
        </w:tc>
        <w:tc>
          <w:tcPr>
            <w:tcW w:w="1103" w:type="dxa"/>
            <w:tcBorders>
              <w:tl2br w:val="nil"/>
              <w:tr2bl w:val="nil"/>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98" w:type="dxa"/>
            <w:tcBorders>
              <w:tl2br w:val="nil"/>
              <w:tr2bl w:val="nil"/>
            </w:tcBorders>
            <w:vAlign w:val="center"/>
          </w:tcPr>
          <w:p>
            <w:pPr>
              <w:adjustRightInd w:val="0"/>
              <w:snapToGrid w:val="0"/>
              <w:ind w:left="-105" w:leftChars="-50" w:right="-107" w:rightChars="-51"/>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声环境</w:t>
            </w:r>
          </w:p>
        </w:tc>
        <w:tc>
          <w:tcPr>
            <w:tcW w:w="4007"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《声环境质量标准》（GB3096-2008）3类</w:t>
            </w:r>
          </w:p>
        </w:tc>
        <w:tc>
          <w:tcPr>
            <w:tcW w:w="2831"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《声环境质量标准》（GB3096-2008）3类</w:t>
            </w:r>
          </w:p>
        </w:tc>
        <w:tc>
          <w:tcPr>
            <w:tcW w:w="1103" w:type="dxa"/>
            <w:tcBorders>
              <w:tl2br w:val="nil"/>
              <w:tr2bl w:val="nil"/>
            </w:tcBorders>
            <w:vAlign w:val="center"/>
          </w:tcPr>
          <w:p>
            <w:pPr>
              <w:widowControl/>
              <w:adjustRightInd w:val="0"/>
              <w:snapToGrid w:val="0"/>
              <w:jc w:val="center"/>
              <w:textAlignment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98" w:type="dxa"/>
            <w:tcBorders>
              <w:tl2br w:val="nil"/>
              <w:tr2bl w:val="nil"/>
            </w:tcBorders>
            <w:vAlign w:val="center"/>
          </w:tcPr>
          <w:p>
            <w:pPr>
              <w:adjustRightInd w:val="0"/>
              <w:snapToGrid w:val="0"/>
              <w:ind w:left="-105" w:leftChars="-50" w:right="-107" w:rightChars="-51"/>
              <w:jc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地下水</w:t>
            </w:r>
          </w:p>
        </w:tc>
        <w:tc>
          <w:tcPr>
            <w:tcW w:w="4007"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《地下水质量标准》(GB/T14848-2017)中Ⅲ类</w:t>
            </w:r>
            <w:r>
              <w:rPr>
                <w:rFonts w:hint="eastAsia" w:ascii="Times New Roman" w:hAnsi="Times New Roman"/>
                <w:bCs/>
                <w:color w:val="000000" w:themeColor="text1"/>
                <w14:textFill>
                  <w14:solidFill>
                    <w14:schemeClr w14:val="tx1"/>
                  </w14:solidFill>
                </w14:textFill>
              </w:rPr>
              <w:t>标准</w:t>
            </w:r>
          </w:p>
        </w:tc>
        <w:tc>
          <w:tcPr>
            <w:tcW w:w="2831"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耗氧量超标</w:t>
            </w:r>
          </w:p>
        </w:tc>
        <w:tc>
          <w:tcPr>
            <w:tcW w:w="1103" w:type="dxa"/>
            <w:tcBorders>
              <w:tl2br w:val="nil"/>
              <w:tr2bl w:val="nil"/>
            </w:tcBorders>
            <w:vAlign w:val="center"/>
          </w:tcPr>
          <w:p>
            <w:pPr>
              <w:widowControl/>
              <w:adjustRightInd w:val="0"/>
              <w:snapToGrid w:val="0"/>
              <w:jc w:val="center"/>
              <w:textAlignment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98" w:type="dxa"/>
            <w:tcBorders>
              <w:tl2br w:val="nil"/>
              <w:tr2bl w:val="nil"/>
            </w:tcBorders>
            <w:vAlign w:val="center"/>
          </w:tcPr>
          <w:p>
            <w:pPr>
              <w:adjustRightInd w:val="0"/>
              <w:snapToGrid w:val="0"/>
              <w:ind w:left="-105" w:leftChars="-50" w:right="-107" w:rightChars="-51"/>
              <w:jc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土壤</w:t>
            </w:r>
          </w:p>
        </w:tc>
        <w:tc>
          <w:tcPr>
            <w:tcW w:w="4007"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《土壤环境质量建设用地土壤污染风险管控标准（试行）》（GB36600-2018）表1风险筛选值（第二类用地）</w:t>
            </w:r>
          </w:p>
        </w:tc>
        <w:tc>
          <w:tcPr>
            <w:tcW w:w="2831" w:type="dxa"/>
            <w:tcBorders>
              <w:tl2br w:val="nil"/>
              <w:tr2bl w:val="nil"/>
            </w:tcBorders>
            <w:vAlign w:val="center"/>
          </w:tcPr>
          <w:p>
            <w:pPr>
              <w:adjustRightInd w:val="0"/>
              <w:snapToGrid w:val="0"/>
              <w:jc w:val="center"/>
              <w:rPr>
                <w:rFonts w:ascii="Times New Roman" w:hAnsi="Times New Roman"/>
                <w:bCs/>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《土壤环境质量建设用地土壤污染风险管控标准（试行）》（GB36600-2018）表1风险筛选值（第二类用地）</w:t>
            </w:r>
          </w:p>
        </w:tc>
        <w:tc>
          <w:tcPr>
            <w:tcW w:w="1103" w:type="dxa"/>
            <w:tcBorders>
              <w:tl2br w:val="nil"/>
              <w:tr2bl w:val="nil"/>
            </w:tcBorders>
            <w:vAlign w:val="center"/>
          </w:tcPr>
          <w:p>
            <w:pPr>
              <w:widowControl/>
              <w:adjustRightInd w:val="0"/>
              <w:snapToGrid w:val="0"/>
              <w:jc w:val="center"/>
              <w:textAlignment w:val="center"/>
              <w:rPr>
                <w:rFonts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达标</w:t>
            </w:r>
          </w:p>
        </w:tc>
      </w:tr>
    </w:tbl>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本项目在正常工况、各项环保措施正常运行时，对各环境要素的影响较小，符合环境质量底线相关要求。</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（3）资源利用上线</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本项目对水资源、能源的消耗量不大；项目建成后通过设备选择、污染治理等多方面采取合理可行的防治措施，以“节能、降耗、减污”为目标，有效地控制污染及资源利用水平。项目的水资源、能源的利用不会突破区域的资源利用上线。</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（4）环境准入负面清单</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14:textFill>
            <w14:solidFill>
              <w14:schemeClr w14:val="tx1"/>
            </w14:solidFill>
          </w14:textFill>
        </w:rPr>
        <w:t>①宜昌化工园宜都园区准入负面清单</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rPr>
          <w:rFonts w:hint="eastAsia" w:ascii="Times New Roman" w:hAnsi="Times New Roman" w:eastAsiaTheme="minorEastAsia"/>
          <w:color w:val="000000" w:themeColor="text1"/>
          <w:sz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-2  宜昌化工园宜都园区准入负面清单</w:t>
      </w:r>
    </w:p>
    <w:tbl>
      <w:tblPr>
        <w:tblStyle w:val="87"/>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6529"/>
        <w:gridCol w:w="1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6" w:type="dxa"/>
            <w:gridSpan w:val="3"/>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鼓励类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序号</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目录</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中低品味磷矿采选与利用项目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磷矿伴生资源综合利用项目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30万吨/年及以上离子膜烧碱装置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等量或减量置换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优质钾肥及各种专用肥、缓控施肥的生产项目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氮肥企业节能减排和原料结构调整项目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磷石膏综合利用项目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10万吨/年及以上湿法磷酸净化及下游加工生产装置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“三废”综合利用及治理工程</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尾矿、废渣、废酸等资源综合利用项目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矿山生态环境恢复工程</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锂离子电车正极材料生产项目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中间相炭微球和钛酸锂等负极材料生产项目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单层与三层复合锂离子电池隔膜生产项目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氟代碳酸乙烯酯（FEC）等电解质与添加剂生产项目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先进的各类太阳能光伏电池及高纯晶体硅材料项目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高性能石墨及石墨烯材料项目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电子级化学品项目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电子陶瓷材料项目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新型环保化学项目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3万吨/年及以上丁基橡胶、乙丙橡胶、异戊橡胶、溶聚丁苯橡胶、稀土系顺丁橡胶、丙烯酸酯橡胶及低多芳含量填充油丁苯橡胶等生产装置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热塑性弹性体材料生产项目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高性能纤维项目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23</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水性木器、工业、船舶涂料，高固体分无溶剂、辐射固化、功能性外墙外保温涂料等环境友好、资源节约型涂料生产项目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生物高分子材料、填料、试剂、芯片、干扰素、传感器、纤维素酶、碱性蛋白酶、诊断用酶等酶制剂、纤维素生化产品生产项目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25</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页岩气的开发与加工项目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特种用途粘合材料项目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新型有机硅单体及下游产品项目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全氟烯醚等特种含氟单体生产项目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高品质氟树脂生产项目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高性能氟橡胶生产项目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31</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低GWP ODS替代品生产</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含氟精细化学品和高品质含氟无机盐生产项目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四氯化碳、四氯化硅、一甲基氟硅烷、三甲基氯硅烷等副产物综合利用项目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34</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特种表面活性剂项目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3万吨/年及以上全热能回收热法磷酸生产装置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等量或减量计算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高兴技术领域需求的高纯、超细、改性等精细加工的高岭土、石墨、硅藻土等非金属矿深加工材料项目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37</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纳米晶须材料项目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38</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黑磷研发及产业化项目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39</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氢能及储运技术开发利用项目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6" w:type="dxa"/>
            <w:gridSpan w:val="3"/>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限制类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60万吨/年以下硫磺制酸</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搬迁改造装置除外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湿法磷酸、磷铵项目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搬迁改造装置除外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30万吨/年以下离子膜法氯碱项目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搬迁改造装置除外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合成氨、尿素项目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搬迁改造装置除外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50万吨/年以下磷矿开采项目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黄磷项目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搬迁改造装置除外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新建六偏磷酸钠项目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新建三氯化磷项目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新建五硫化二磷项目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新建三聚磷酸钠项目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新建饲料磷酸氢钙项目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新建电解二氧化锰项目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新建普通级碳酸钙项目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白炭黑（气相法除外）</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生产过程中高COD废水、高氨氮废水、高含盐废水产生量大的化学原料药生产项目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6万吨/年及以上非光气法聚碳酸酯项目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液晶聚合物（LCP)等工程塑料生产项目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吸水性树脂生产项目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导电性树脂生产项目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可降解聚合物生产项目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新型聚酰胺生产项目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3万吨/年及以上丁基橡胶、乙丙橡胶、异戊橡胶、溶聚丁苯橡胶、稀土系顺丁橡胶、丙烯酸酯橡胶及低多芳含量填充油丁苯橡胶等生产装置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23</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热塑性弹性体材料生产项目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特种表面活性剂项目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25</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3万吨/年及以上全热能回收热法磷酸生产装置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黑磷研发及产业化项目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煤制烯烃、芳烃、乙二醇、已内酰胺等煤化工项目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w:t>
            </w:r>
          </w:p>
        </w:tc>
        <w:tc>
          <w:tcPr>
            <w:tcW w:w="6529"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石油化工项目</w:t>
            </w:r>
          </w:p>
        </w:tc>
        <w:tc>
          <w:tcPr>
            <w:tcW w:w="1643"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6" w:type="dxa"/>
            <w:gridSpan w:val="3"/>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禁止类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炼焦项目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氢氰酸项目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砷酸项目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偏砷酸项目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焦砷酸项目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硫铁矿制硫酸项目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氨碱法纯碱项目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二硫化碳项目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氢氧化镁（卤水-烧碱法工艺除外）项目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氢氧化钡（硫化钡氧化法（锰钡结合工艺）除外）项目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氧化锌（氨浸法直接法工艺除外；天然气间接法工艺除外）项目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镉盐项目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铅盐项目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钡盐项目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锶盐项目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高锰酸钾（气动流化塔氧化法工艺除外）项目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人造冰晶石（六氟氯酸钠）（利用磷肥副产氟硅酸钠或电解铝电解质块生产高分子比冰晶石工艺除外）项目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氰化物项目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汞化合物项目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保险粉(连二亚硫酸钠）（新甲酸钠法工艺除外）项目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砷化锌项目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三氧化二砷项目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五氧化二砷项目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三氧化砷项目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三氟化砷项目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三溴化砷项目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三碘化砷项目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二硫化碳项目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硫化钠（硫化碱）项目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光气项目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环氧氯丙烷（1-氯-2,3-环氧丙烷）（甘油法除外）项目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苯乙酮（苯定向氯化-吸附分离工艺除外）项目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没有副产四氯化碳配套处理设施的甲烷氯化物项目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氯化苯（干法脱氯化氢法工艺除外）项目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对二氯苯（干法脱氯化氢法工艺除外）项目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间二氯苯（苯定向氯化-吸附分离法工艺除外）项目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1,2,3-三氯苯（干法脱氯化氢工艺除外）项目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1,2,4-三氯苯（干法脱氯化氢法工艺除外）项目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DSD酸（加氢还原工艺除外）项目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H酸（加氢还原工艺除外）项目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CLT酸（加氢还原工艺除外）项目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间苯二酚（间苯二胺水解法工艺除外）项目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对苯二酚（苯酚羟基化法工艺除外）项目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苯硫酚（氯苯法工艺除外）项目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醋酸仲丁酯（烯烃合成工艺除外）项目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氯乙酸（醋酐联系法工艺除外）项目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丙酸（微生物发酵法工艺除外）项目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丙酮氰醇法丙烯酸项目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甲基丙烯酸甲酯（异丁烯法工艺除外）项目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甲基苯烯酸丁酯（连续化酯交换工艺除外）项目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苯甲酸（融熔结晶法工艺除外）项目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对羟基苯乙酸（苯酚乙醛酸工艺除外）项目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顺酐（马来酸酐）（丁正烷氧化法工艺除外）项目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脂肪叔胺（脂肪醇法工艺除外）项目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聚氨基甲酸乙酯（无汞催化剂生产工艺除外）项目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甘氨酸（天然气羟基乙腈工艺除外）项目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噻吩（萃取精馏发工艺除外）项目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三氯吡啶酚钠（吡啶双定向氯化合成法工艺除外）项目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环氧丙烷（甲基环氧乙烷、PO）（直接氧化法工艺除外）项目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新建高毒、高残留以及对环境影响大的农药原药项目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新建颜料、颜料中间体、有机颜料、印染助剂生产装置（采用国家鼓励类生产工艺的搬迁入园项目除外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VOC含量超过75%的涂料、重金属含量超标准的涂料级辅助材料、含异氰脲酸三缩水甘油酯（TGIC）的粉末涂料项目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硫酸法钛白粉项目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立德粉项目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铅铬黄项目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颜料项目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染料项目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氟树脂、橡胶（PFOA替代助剂除外）项目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初级形状的环氧树脂（溴重量≥18%）（一步法脱盐法工艺除外；二步法添加工艺除外）项目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初级形状的环氧树脂（溴重量＜18%）（一步法脱盐法工艺除外；二步法添加工艺除外）项目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聚碳酸酯（非光气法和连续式、无静态光气留存的光气法工艺除外）项目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电石法聚聚乙烯项目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ADC发泡剂项目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领苯类增塑剂项目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橡胶助剂（环境友好工艺除外）项目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印染助剂（环境友好工艺除外）项目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年产能1万吨以下的液体洗涤剂生产项目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壬基酚聚氧乙烯醚项目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正构比例低于92%的直链烷基苯项目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煤制甲烷气、油品项目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6" w:type="dxa"/>
            <w:gridSpan w:val="3"/>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淘汰类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单线10万吨/年以下湿法磷酸装置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单线0.5万吨/年以下普通级硫酸钡、氢氧化钡、氯化钡、硝酸钡生产装置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单线1万吨/点以下三聚磷酸钠装置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0.6万吨/年以下六偏磷酸钠装置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1万吨/年以下三氯化磷装置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3万吨/年以下饲料磷酸氢钙装置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2万吨/年以下氢氧化钾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1.5万吨/年以下普通级白炭黑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5万吨/年以下普通级碳酸钙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单线0.5万吨/年以下碳酸锂、氢氧化锂生产装置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2万吨/年以下普通级碳酸锶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2万吨/年以下普通级碳酸钙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单线2万吨/年以下无水氯化铝或中低分子比冰晶石生产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四氯化碳溶剂法制取氯化橡胶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氯氟烃（CFCs）、含氰氯氟烃（HCFCs)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用于清洗的1,1,1-三氯乙烷（甲基氯仿）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主产四氯化碳（CTC）、以四氯化碳为加工助剂所有产品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以PFOA为加工助剂的含氟聚合物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高毒、高残留以及对环境影响大的农药原药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主要大气无延误超过国家或本市规定的污染物排放标准企业（整改后）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主要是大气污染物超过核定排放总量指标的企业（整改后）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环境风险评价不合格的企业（整改后）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23</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安全风险评价不合格的企业（整改后）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w:t>
            </w:r>
          </w:p>
        </w:tc>
        <w:tc>
          <w:tcPr>
            <w:tcW w:w="8172" w:type="dxa"/>
            <w:gridSpan w:val="2"/>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15万吨/年以下磷矿开采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6" w:type="dxa"/>
            <w:gridSpan w:val="3"/>
            <w:tcBorders>
              <w:tl2br w:val="nil"/>
              <w:tr2bl w:val="nil"/>
            </w:tcBorders>
            <w:vAlign w:val="center"/>
          </w:tcPr>
          <w:p>
            <w:pPr>
              <w:autoSpaceDE w:val="0"/>
              <w:autoSpaceDN w:val="0"/>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注：未列入该目录的为允许类项目</w:t>
            </w:r>
          </w:p>
        </w:tc>
      </w:tr>
    </w:tbl>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14:textFill>
            <w14:solidFill>
              <w14:schemeClr w14:val="tx1"/>
            </w14:solidFill>
          </w14:textFill>
        </w:rPr>
      </w:pPr>
      <w:r>
        <w:rPr>
          <w:rFonts w:hint="eastAsia" w:cs="Times New Roman" w:hAnsiTheme="minorEastAsia" w:eastAsiaTheme="minorEastAsia"/>
          <w:color w:val="000000" w:themeColor="text1"/>
          <w:sz w:val="24"/>
          <w:szCs w:val="24"/>
          <w:lang w:val="en-US" w:eastAsia="zh-CN"/>
          <w14:textFill>
            <w14:solidFill>
              <w14:schemeClr w14:val="tx1"/>
            </w14:solidFill>
          </w14:textFill>
        </w:rPr>
        <w:t>本项目为氟硅酸钠生产加工项目；属于负面清单中“鼓励类.32.含氟精细化学品和高品质含氟无机盐生产项目”，项目建设符合园区负面清单管理要求。</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lang w:val="en-US" w:eastAsia="zh-CN"/>
          <w14:textFill>
            <w14:solidFill>
              <w14:schemeClr w14:val="tx1"/>
            </w14:solidFill>
          </w14:textFill>
        </w:rPr>
      </w:pPr>
      <w:r>
        <w:rPr>
          <w:rFonts w:hint="eastAsia" w:cs="Times New Roman" w:hAnsiTheme="minorEastAsia" w:eastAsiaTheme="minorEastAsia"/>
          <w:color w:val="000000" w:themeColor="text1"/>
          <w:sz w:val="24"/>
          <w:szCs w:val="24"/>
          <w:lang w:val="en-US" w:eastAsia="zh-CN"/>
          <w14:textFill>
            <w14:solidFill>
              <w14:schemeClr w14:val="tx1"/>
            </w14:solidFill>
          </w14:textFill>
        </w:rPr>
        <w:t>②与宜昌市“三线一单”生态环境分区管控实施方案符合性分析</w:t>
      </w:r>
    </w:p>
    <w:p>
      <w:pPr>
        <w:pStyle w:val="23"/>
        <w:adjustRightInd w:val="0"/>
        <w:snapToGrid w:val="0"/>
        <w:spacing w:after="0" w:line="520" w:lineRule="exact"/>
        <w:ind w:firstLine="480" w:firstLineChars="200"/>
        <w:jc w:val="left"/>
        <w:rPr>
          <w:rFonts w:hint="eastAsia" w:cs="Times New Roman" w:hAnsiTheme="minorEastAsia" w:eastAsiaTheme="minorEastAsia"/>
          <w:color w:val="000000" w:themeColor="text1"/>
          <w:sz w:val="24"/>
          <w:szCs w:val="24"/>
          <w:lang w:val="en-US" w:eastAsia="zh-CN"/>
          <w14:textFill>
            <w14:solidFill>
              <w14:schemeClr w14:val="tx1"/>
            </w14:solidFill>
          </w14:textFill>
        </w:rPr>
      </w:pPr>
      <w:r>
        <w:rPr>
          <w:rFonts w:hint="eastAsia" w:cs="Times New Roman" w:hAnsiTheme="minorEastAsia" w:eastAsiaTheme="minorEastAsia"/>
          <w:color w:val="000000" w:themeColor="text1"/>
          <w:sz w:val="24"/>
          <w:szCs w:val="24"/>
          <w:lang w:val="en-US" w:eastAsia="zh-CN"/>
          <w14:textFill>
            <w14:solidFill>
              <w14:schemeClr w14:val="tx1"/>
            </w14:solidFill>
          </w14:textFill>
        </w:rPr>
        <w:t>本项目位于湖北省宜昌市宜都市枝城镇（宜昌化工园宜都园区内），属于宜昌市人民政府文件《市人民政府关于印发宜昌市“三线一单”生态环境分区管控实施方案的通知》（宜府发〔2021〕5 号）的“（一）宜都市生态环境准入清单”中的“ZH42058120004” 湖北省宜昌市宜都市重点管控单元4，涉及的乡镇或区域为枝城镇。本项目与宜昌市“三线一单”生态环境分区管控实施方案符合性分析见表1.4-3。</w:t>
      </w:r>
    </w:p>
    <w:p>
      <w:pPr>
        <w:shd w:val="clear" w:color="auto" w:fill="FFFFFF"/>
        <w:overflowPunct w:val="0"/>
        <w:autoSpaceDE w:val="0"/>
        <w:autoSpaceDN w:val="0"/>
        <w:adjustRightInd w:val="0"/>
        <w:snapToGrid w:val="0"/>
        <w:spacing w:line="520" w:lineRule="exact"/>
        <w:ind w:firstLine="361" w:firstLineChars="150"/>
        <w:jc w:val="left"/>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表1.</w:t>
      </w: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color w:val="000000" w:themeColor="text1"/>
          <w:sz w:val="24"/>
          <w:szCs w:val="24"/>
          <w14:textFill>
            <w14:solidFill>
              <w14:schemeClr w14:val="tx1"/>
            </w14:solidFill>
          </w14:textFill>
        </w:rPr>
        <w:t>-</w:t>
      </w: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color w:val="000000" w:themeColor="text1"/>
          <w:sz w:val="24"/>
          <w:szCs w:val="24"/>
          <w14:textFill>
            <w14:solidFill>
              <w14:schemeClr w14:val="tx1"/>
            </w14:solidFill>
          </w14:textFill>
        </w:rPr>
        <w:t xml:space="preserve"> 本项目与宜昌市“三线一单”生态环境分区管控实施方案符合性分析</w:t>
      </w:r>
    </w:p>
    <w:tbl>
      <w:tblPr>
        <w:tblStyle w:val="87"/>
        <w:tblW w:w="8918" w:type="dxa"/>
        <w:tblInd w:w="122" w:type="dxa"/>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Layout w:type="fixed"/>
        <w:tblCellMar>
          <w:top w:w="0" w:type="dxa"/>
          <w:left w:w="0" w:type="dxa"/>
          <w:bottom w:w="0" w:type="dxa"/>
          <w:right w:w="0" w:type="dxa"/>
        </w:tblCellMar>
      </w:tblPr>
      <w:tblGrid>
        <w:gridCol w:w="933"/>
        <w:gridCol w:w="5734"/>
        <w:gridCol w:w="2251"/>
      </w:tblGrid>
      <w:tr>
        <w:tblPrEx>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PrEx>
        <w:trPr>
          <w:trHeight w:val="600" w:hRule="atLeast"/>
        </w:trPr>
        <w:tc>
          <w:tcPr>
            <w:tcW w:w="933" w:type="dxa"/>
            <w:tcBorders>
              <w:top w:val="single" w:color="000000" w:sz="12" w:space="0"/>
              <w:left w:val="single" w:color="000000" w:sz="12" w:space="0"/>
              <w:bottom w:val="single" w:color="000000" w:sz="4" w:space="0"/>
            </w:tcBorders>
          </w:tcPr>
          <w:p>
            <w:pPr>
              <w:pStyle w:val="383"/>
              <w:spacing w:before="4" w:line="251" w:lineRule="exact"/>
              <w:ind w:left="28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管控</w:t>
            </w:r>
          </w:p>
          <w:p>
            <w:pPr>
              <w:pStyle w:val="383"/>
              <w:spacing w:before="4" w:line="251" w:lineRule="exact"/>
              <w:ind w:left="289"/>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c>
          <w:tcPr>
            <w:tcW w:w="5734" w:type="dxa"/>
            <w:tcBorders>
              <w:top w:val="single" w:color="000000" w:sz="12" w:space="0"/>
              <w:bottom w:val="single" w:color="000000" w:sz="4" w:space="0"/>
            </w:tcBorders>
          </w:tcPr>
          <w:p>
            <w:pPr>
              <w:pStyle w:val="383"/>
              <w:spacing w:before="136"/>
              <w:ind w:left="1944"/>
              <w:jc w:val="left"/>
              <w:rPr>
                <w:color w:val="000000" w:themeColor="text1"/>
                <w14:textFill>
                  <w14:solidFill>
                    <w14:schemeClr w14:val="tx1"/>
                  </w14:solidFill>
                </w14:textFill>
              </w:rPr>
            </w:pPr>
            <w:r>
              <w:rPr>
                <w:color w:val="000000" w:themeColor="text1"/>
                <w14:textFill>
                  <w14:solidFill>
                    <w14:schemeClr w14:val="tx1"/>
                  </w14:solidFill>
                </w14:textFill>
              </w:rPr>
              <w:t>重点管控单元管控要求</w:t>
            </w:r>
          </w:p>
        </w:tc>
        <w:tc>
          <w:tcPr>
            <w:tcW w:w="2251" w:type="dxa"/>
            <w:tcBorders>
              <w:top w:val="single" w:color="000000" w:sz="12" w:space="0"/>
              <w:bottom w:val="single" w:color="000000" w:sz="4" w:space="0"/>
              <w:right w:val="single" w:color="000000" w:sz="12" w:space="0"/>
            </w:tcBorders>
          </w:tcPr>
          <w:p>
            <w:pPr>
              <w:pStyle w:val="383"/>
              <w:spacing w:before="136"/>
              <w:ind w:left="656"/>
              <w:jc w:val="left"/>
              <w:rPr>
                <w:color w:val="000000" w:themeColor="text1"/>
                <w14:textFill>
                  <w14:solidFill>
                    <w14:schemeClr w14:val="tx1"/>
                  </w14:solidFill>
                </w14:textFill>
              </w:rPr>
            </w:pPr>
            <w:r>
              <w:rPr>
                <w:color w:val="000000" w:themeColor="text1"/>
                <w14:textFill>
                  <w14:solidFill>
                    <w14:schemeClr w14:val="tx1"/>
                  </w14:solidFill>
                </w14:textFill>
              </w:rPr>
              <w:t>符合性分析</w:t>
            </w:r>
          </w:p>
        </w:tc>
      </w:tr>
      <w:tr>
        <w:tblPrEx>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5192" w:hRule="atLeast"/>
        </w:trPr>
        <w:tc>
          <w:tcPr>
            <w:tcW w:w="933" w:type="dxa"/>
            <w:vMerge w:val="restart"/>
            <w:tcBorders>
              <w:top w:val="single" w:color="000000" w:sz="4" w:space="0"/>
              <w:left w:val="single" w:color="000000" w:sz="12" w:space="0"/>
              <w:bottom w:val="single" w:color="000000" w:sz="4" w:space="0"/>
            </w:tcBorders>
          </w:tcPr>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spacing w:before="148" w:line="244" w:lineRule="auto"/>
              <w:ind w:left="186" w:right="150"/>
              <w:jc w:val="left"/>
              <w:rPr>
                <w:color w:val="000000" w:themeColor="text1"/>
                <w14:textFill>
                  <w14:solidFill>
                    <w14:schemeClr w14:val="tx1"/>
                  </w14:solidFill>
                </w14:textFill>
              </w:rPr>
            </w:pPr>
            <w:r>
              <w:rPr>
                <w:color w:val="000000" w:themeColor="text1"/>
                <w14:textFill>
                  <w14:solidFill>
                    <w14:schemeClr w14:val="tx1"/>
                  </w14:solidFill>
                </w14:textFill>
              </w:rPr>
              <w:t>空间布局约束</w:t>
            </w:r>
          </w:p>
        </w:tc>
        <w:tc>
          <w:tcPr>
            <w:tcW w:w="5734" w:type="dxa"/>
            <w:tcBorders>
              <w:top w:val="single" w:color="000000" w:sz="4" w:space="0"/>
              <w:bottom w:val="single" w:color="000000" w:sz="4" w:space="0"/>
            </w:tcBorders>
          </w:tcPr>
          <w:p>
            <w:pPr>
              <w:pStyle w:val="383"/>
              <w:tabs>
                <w:tab w:val="left" w:pos="643"/>
              </w:tabs>
              <w:spacing w:before="2" w:line="242" w:lineRule="auto"/>
              <w:ind w:right="86"/>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（1）单元内岸线执行全省总体准入要求中关于岸线空间布局 约束的准入要求，优先保护岸线严格水域岸线用途。</w:t>
            </w:r>
          </w:p>
          <w:p>
            <w:pPr>
              <w:pStyle w:val="383"/>
              <w:spacing w:line="268" w:lineRule="exact"/>
              <w:ind w:left="117"/>
              <w:jc w:val="left"/>
              <w:rPr>
                <w:color w:val="000000" w:themeColor="text1"/>
                <w14:textFill>
                  <w14:solidFill>
                    <w14:schemeClr w14:val="tx1"/>
                  </w14:solidFill>
                </w14:textFill>
              </w:rPr>
            </w:pPr>
            <w:r>
              <w:rPr>
                <w:b/>
                <w:color w:val="000000" w:themeColor="text1"/>
                <w14:textFill>
                  <w14:solidFill>
                    <w14:schemeClr w14:val="tx1"/>
                  </w14:solidFill>
                </w14:textFill>
              </w:rPr>
              <w:t>关于岸线布局约束的准入要求</w:t>
            </w:r>
            <w:r>
              <w:rPr>
                <w:color w:val="000000" w:themeColor="text1"/>
                <w14:textFill>
                  <w14:solidFill>
                    <w14:schemeClr w14:val="tx1"/>
                  </w14:solidFill>
                </w14:textFill>
              </w:rPr>
              <w:t>：</w:t>
            </w:r>
          </w:p>
          <w:p>
            <w:pPr>
              <w:pStyle w:val="383"/>
              <w:tabs>
                <w:tab w:val="left" w:pos="643"/>
              </w:tabs>
              <w:spacing w:before="2" w:line="242" w:lineRule="auto"/>
              <w:ind w:right="86" w:firstLine="420" w:firstLineChars="200"/>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①</w:t>
            </w:r>
            <w:r>
              <w:rPr>
                <w:rFonts w:hint="eastAsia" w:ascii="Times New Roman" w:hAnsi="Times New Roman" w:cs="Times New Roman" w:eastAsiaTheme="minorEastAsia"/>
                <w:color w:val="000000" w:themeColor="text1"/>
                <w:szCs w:val="21"/>
                <w14:textFill>
                  <w14:solidFill>
                    <w14:schemeClr w14:val="tx1"/>
                  </w14:solidFill>
                </w14:textFill>
              </w:rPr>
              <w:t>禁止在《长江岸线保护和开发利用总体规划》划定的岸线 保护区内投资建设除保障防洪安全、河势稳定、供水安全以及 保护生态环境、已建重要枢纽工程以外的项目。禁止在《长江 岸线保护和开发利用总体规划》划定的岸线保留区内投资建设 除保障防洪安全、河势稳定、供水安全、航道稳定及保护生态 环境以外的项目；</w:t>
            </w:r>
          </w:p>
          <w:p>
            <w:pPr>
              <w:pStyle w:val="383"/>
              <w:tabs>
                <w:tab w:val="left" w:pos="643"/>
              </w:tabs>
              <w:spacing w:before="2" w:line="242" w:lineRule="auto"/>
              <w:ind w:right="86" w:firstLine="420" w:firstLineChars="200"/>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②禁止建设不符合全国和省级港口布局规划以及港口总体规划的码头项目，禁止建设不符合《长江干线过江通道布局规划》的过长江通道项目。禁止新建无油气回收设施的原油、汽油、石脑油等装船作业码头；</w:t>
            </w:r>
          </w:p>
          <w:p>
            <w:pPr>
              <w:pStyle w:val="383"/>
              <w:tabs>
                <w:tab w:val="left" w:pos="643"/>
              </w:tabs>
              <w:spacing w:before="2" w:line="242" w:lineRule="auto"/>
              <w:ind w:right="86" w:firstLine="420" w:firstLineChars="200"/>
              <w:rPr>
                <w:color w:val="000000" w:themeColor="text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③不得在分洪区（指国家和省批准的分蓄洪区、滞洪区、行洪区）兴建生产、储存危险物品的项目以及新建、扩建、改建 不符合国家和省制定的防洪标准及建筑设计标准房屋及其他建 筑物。分洪口门区域和洪水主流区内，不准修建或设置有碍行洪的建（构）筑物、树障、渠堤等，已有的应清除。</w:t>
            </w:r>
          </w:p>
        </w:tc>
        <w:tc>
          <w:tcPr>
            <w:tcW w:w="2251" w:type="dxa"/>
            <w:tcBorders>
              <w:top w:val="single" w:color="000000" w:sz="4" w:space="0"/>
              <w:bottom w:val="single" w:color="000000" w:sz="4" w:space="0"/>
              <w:right w:val="single" w:color="000000" w:sz="12" w:space="0"/>
            </w:tcBorders>
          </w:tcPr>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jc w:val="left"/>
              <w:rPr>
                <w:b/>
                <w:color w:val="000000" w:themeColor="text1"/>
                <w:sz w:val="20"/>
                <w14:textFill>
                  <w14:solidFill>
                    <w14:schemeClr w14:val="tx1"/>
                  </w14:solidFill>
                </w14:textFill>
              </w:rPr>
            </w:pPr>
          </w:p>
          <w:p>
            <w:pPr>
              <w:pStyle w:val="383"/>
              <w:spacing w:before="11"/>
              <w:jc w:val="left"/>
              <w:rPr>
                <w:b/>
                <w:color w:val="000000" w:themeColor="text1"/>
                <w:sz w:val="16"/>
                <w14:textFill>
                  <w14:solidFill>
                    <w14:schemeClr w14:val="tx1"/>
                  </w14:solidFill>
                </w14:textFill>
              </w:rPr>
            </w:pPr>
          </w:p>
          <w:p>
            <w:pPr>
              <w:pStyle w:val="383"/>
              <w:spacing w:line="242" w:lineRule="auto"/>
              <w:ind w:left="116" w:right="93"/>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项目不在《长江岸线保护和开发利用总体规划》划定的岸线保护区和保留区内；</w:t>
            </w:r>
          </w:p>
          <w:p>
            <w:pPr>
              <w:pStyle w:val="383"/>
              <w:spacing w:before="2" w:line="242" w:lineRule="auto"/>
              <w:ind w:left="116" w:right="-15"/>
              <w:jc w:val="left"/>
              <w:rPr>
                <w:color w:val="000000" w:themeColor="text1"/>
                <w14:textFill>
                  <w14:solidFill>
                    <w14:schemeClr w14:val="tx1"/>
                  </w14:solidFill>
                </w14:textFill>
              </w:rPr>
            </w:pPr>
            <w:r>
              <w:rPr>
                <w:rFonts w:hint="eastAsia"/>
                <w:color w:val="000000" w:themeColor="text1"/>
                <w:spacing w:val="1"/>
                <w14:textFill>
                  <w14:solidFill>
                    <w14:schemeClr w14:val="tx1"/>
                  </w14:solidFill>
                </w14:textFill>
              </w:rPr>
              <w:t>②</w:t>
            </w:r>
            <w:r>
              <w:rPr>
                <w:color w:val="000000" w:themeColor="text1"/>
                <w:spacing w:val="1"/>
                <w14:textFill>
                  <w14:solidFill>
                    <w14:schemeClr w14:val="tx1"/>
                  </w14:solidFill>
                </w14:textFill>
              </w:rPr>
              <w:t>项目属于</w:t>
            </w:r>
            <w:r>
              <w:rPr>
                <w:rFonts w:hint="eastAsia"/>
                <w:color w:val="000000" w:themeColor="text1"/>
                <w:spacing w:val="1"/>
                <w14:textFill>
                  <w14:solidFill>
                    <w14:schemeClr w14:val="tx1"/>
                  </w14:solidFill>
                </w14:textFill>
              </w:rPr>
              <w:t>无机盐</w:t>
            </w:r>
            <w:r>
              <w:rPr>
                <w:color w:val="000000" w:themeColor="text1"/>
                <w:spacing w:val="-19"/>
                <w14:textFill>
                  <w14:solidFill>
                    <w14:schemeClr w14:val="tx1"/>
                  </w14:solidFill>
                </w14:textFill>
              </w:rPr>
              <w:t>制造</w:t>
            </w:r>
            <w:r>
              <w:rPr>
                <w:color w:val="000000" w:themeColor="text1"/>
                <w14:textFill>
                  <w14:solidFill>
                    <w14:schemeClr w14:val="tx1"/>
                  </w14:solidFill>
                </w14:textFill>
              </w:rPr>
              <w:t>（精细化工行业</w:t>
            </w:r>
            <w:r>
              <w:rPr>
                <w:color w:val="000000" w:themeColor="text1"/>
                <w:spacing w:val="-25"/>
                <w14:textFill>
                  <w14:solidFill>
                    <w14:schemeClr w14:val="tx1"/>
                  </w14:solidFill>
                </w14:textFill>
              </w:rPr>
              <w:t>）；</w:t>
            </w:r>
          </w:p>
          <w:p>
            <w:pPr>
              <w:pStyle w:val="383"/>
              <w:spacing w:before="2"/>
              <w:ind w:left="116"/>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项目不在分洪区</w:t>
            </w:r>
            <w:r>
              <w:rPr>
                <w:rFonts w:hint="eastAsia"/>
                <w:color w:val="000000" w:themeColor="text1"/>
                <w14:textFill>
                  <w14:solidFill>
                    <w14:schemeClr w14:val="tx1"/>
                  </w14:solidFill>
                </w14:textFill>
              </w:rPr>
              <w:t>。</w:t>
            </w:r>
          </w:p>
        </w:tc>
      </w:tr>
      <w:tr>
        <w:tblPrEx>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829" w:hRule="atLeast"/>
        </w:trPr>
        <w:tc>
          <w:tcPr>
            <w:tcW w:w="933" w:type="dxa"/>
            <w:vMerge w:val="continue"/>
            <w:tcBorders>
              <w:top w:val="single" w:color="000000" w:sz="4" w:space="0"/>
              <w:left w:val="single" w:color="000000" w:sz="12" w:space="0"/>
              <w:bottom w:val="single" w:color="000000" w:sz="4" w:space="0"/>
            </w:tcBorders>
          </w:tcPr>
          <w:p>
            <w:pPr>
              <w:rPr>
                <w:color w:val="000000" w:themeColor="text1"/>
                <w:sz w:val="2"/>
                <w:szCs w:val="2"/>
                <w14:textFill>
                  <w14:solidFill>
                    <w14:schemeClr w14:val="tx1"/>
                  </w14:solidFill>
                </w14:textFill>
              </w:rPr>
            </w:pPr>
          </w:p>
        </w:tc>
        <w:tc>
          <w:tcPr>
            <w:tcW w:w="5734" w:type="dxa"/>
            <w:tcBorders>
              <w:top w:val="single" w:color="000000" w:sz="4" w:space="0"/>
              <w:bottom w:val="single" w:color="000000" w:sz="4" w:space="0"/>
            </w:tcBorders>
          </w:tcPr>
          <w:p>
            <w:pPr>
              <w:pStyle w:val="383"/>
              <w:numPr>
                <w:ilvl w:val="0"/>
                <w:numId w:val="0"/>
              </w:numPr>
              <w:spacing w:line="259" w:lineRule="exact"/>
              <w:jc w:val="left"/>
              <w:rPr>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color w:val="000000" w:themeColor="text1"/>
                <w14:textFill>
                  <w14:solidFill>
                    <w14:schemeClr w14:val="tx1"/>
                  </w14:solidFill>
                </w14:textFill>
              </w:rPr>
              <w:t>执行全省、宜昌市总体准入要求中关于沿江</w:t>
            </w:r>
            <w:r>
              <w:rPr>
                <w:rFonts w:ascii="Times New Roman" w:eastAsia="Times New Roman"/>
                <w:color w:val="000000" w:themeColor="text1"/>
                <w14:textFill>
                  <w14:solidFill>
                    <w14:schemeClr w14:val="tx1"/>
                  </w14:solidFill>
                </w14:textFill>
              </w:rPr>
              <w:t>15</w:t>
            </w:r>
            <w:r>
              <w:rPr>
                <w:color w:val="000000" w:themeColor="text1"/>
                <w14:textFill>
                  <w14:solidFill>
                    <w14:schemeClr w14:val="tx1"/>
                  </w14:solidFill>
                </w14:textFill>
              </w:rPr>
              <w:t>公里范围内布局约束的准入要求。</w:t>
            </w:r>
          </w:p>
          <w:p>
            <w:pPr>
              <w:pStyle w:val="383"/>
              <w:spacing w:line="250" w:lineRule="exact"/>
              <w:ind w:left="117"/>
              <w:rPr>
                <w:color w:val="000000" w:themeColor="text1"/>
                <w14:textFill>
                  <w14:solidFill>
                    <w14:schemeClr w14:val="tx1"/>
                  </w14:solidFill>
                </w14:textFill>
              </w:rPr>
            </w:pPr>
            <w:r>
              <w:rPr>
                <w:b/>
                <w:color w:val="000000" w:themeColor="text1"/>
                <w14:textFill>
                  <w14:solidFill>
                    <w14:schemeClr w14:val="tx1"/>
                  </w14:solidFill>
                </w14:textFill>
              </w:rPr>
              <w:t xml:space="preserve">关于沿江 </w:t>
            </w:r>
            <w:r>
              <w:rPr>
                <w:rFonts w:ascii="Times New Roman" w:eastAsia="Times New Roman"/>
                <w:b/>
                <w:color w:val="000000" w:themeColor="text1"/>
                <w14:textFill>
                  <w14:solidFill>
                    <w14:schemeClr w14:val="tx1"/>
                  </w14:solidFill>
                </w14:textFill>
              </w:rPr>
              <w:t xml:space="preserve">15 </w:t>
            </w:r>
            <w:r>
              <w:rPr>
                <w:b/>
                <w:color w:val="000000" w:themeColor="text1"/>
                <w14:textFill>
                  <w14:solidFill>
                    <w14:schemeClr w14:val="tx1"/>
                  </w14:solidFill>
                </w14:textFill>
              </w:rPr>
              <w:t>公里布局约束准入要求</w:t>
            </w:r>
            <w:r>
              <w:rPr>
                <w:color w:val="000000" w:themeColor="text1"/>
                <w14:textFill>
                  <w14:solidFill>
                    <w14:schemeClr w14:val="tx1"/>
                  </w14:solidFill>
                </w14:textFill>
              </w:rPr>
              <w:t>：</w:t>
            </w:r>
          </w:p>
          <w:p>
            <w:pPr>
              <w:pStyle w:val="383"/>
              <w:tabs>
                <w:tab w:val="left" w:pos="643"/>
              </w:tabs>
              <w:spacing w:before="2" w:line="242" w:lineRule="auto"/>
              <w:ind w:right="86" w:firstLine="420" w:firstLineChars="200"/>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①禁止在长江干支流岸线一公里范围内新建、扩建化工园区 和化工项目。禁止在长江干流岸线三公里范围内和重要支流岸 线一公里范围内新建、改建、扩建尾矿库；但是以提升安全、 生态环境保护水平为目的的改建除外；</w:t>
            </w:r>
          </w:p>
          <w:p>
            <w:pPr>
              <w:pStyle w:val="383"/>
              <w:tabs>
                <w:tab w:val="left" w:pos="643"/>
              </w:tabs>
              <w:spacing w:before="2" w:line="242" w:lineRule="auto"/>
              <w:ind w:right="86" w:firstLine="420" w:firstLineChars="200"/>
              <w:rPr>
                <w:color w:val="000000" w:themeColor="text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②不符合规划区划或安全环保条件、存在环境污染风险的现 有化工企业，一律实施关停或迁入合规园区、改造升级。2025年12月31日前，完成沿江1-15公里范围内的化工企业关改搬转。</w:t>
            </w:r>
          </w:p>
        </w:tc>
        <w:tc>
          <w:tcPr>
            <w:tcW w:w="2251" w:type="dxa"/>
            <w:tcBorders>
              <w:top w:val="single" w:color="000000" w:sz="4" w:space="0"/>
              <w:bottom w:val="single" w:color="000000" w:sz="4" w:space="0"/>
              <w:right w:val="single" w:color="000000" w:sz="12" w:space="0"/>
            </w:tcBorders>
          </w:tcPr>
          <w:p>
            <w:pPr>
              <w:pStyle w:val="383"/>
              <w:tabs>
                <w:tab w:val="left" w:pos="643"/>
              </w:tabs>
              <w:spacing w:before="2" w:line="242" w:lineRule="auto"/>
              <w:ind w:right="86" w:firstLine="210" w:firstLineChars="100"/>
              <w:rPr>
                <w:rFonts w:ascii="Times New Roman" w:hAnsi="Times New Roman" w:cs="Times New Roman" w:eastAsiaTheme="minorEastAsia"/>
                <w:color w:val="000000" w:themeColor="text1"/>
                <w:szCs w:val="21"/>
                <w14:textFill>
                  <w14:solidFill>
                    <w14:schemeClr w14:val="tx1"/>
                  </w14:solidFill>
                </w14:textFill>
              </w:rPr>
            </w:pPr>
          </w:p>
          <w:p>
            <w:pPr>
              <w:pStyle w:val="383"/>
              <w:tabs>
                <w:tab w:val="left" w:pos="643"/>
              </w:tabs>
              <w:spacing w:before="2" w:line="242" w:lineRule="auto"/>
              <w:ind w:right="86" w:firstLine="210" w:firstLineChars="100"/>
              <w:rPr>
                <w:rFonts w:ascii="Times New Roman" w:hAnsi="Times New Roman" w:cs="Times New Roman" w:eastAsiaTheme="minorEastAsia"/>
                <w:color w:val="000000" w:themeColor="text1"/>
                <w:szCs w:val="21"/>
                <w14:textFill>
                  <w14:solidFill>
                    <w14:schemeClr w14:val="tx1"/>
                  </w14:solidFill>
                </w14:textFill>
              </w:rPr>
            </w:pPr>
          </w:p>
          <w:p>
            <w:pPr>
              <w:pStyle w:val="383"/>
              <w:tabs>
                <w:tab w:val="left" w:pos="643"/>
              </w:tabs>
              <w:spacing w:before="2" w:line="242" w:lineRule="auto"/>
              <w:ind w:right="86" w:firstLine="210" w:firstLineChars="100"/>
              <w:rPr>
                <w:color w:val="000000" w:themeColor="text1"/>
                <w:spacing w:val="-25"/>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①项目距离长江边界向陆域纵深有2.2 公里，</w:t>
            </w:r>
            <w:r>
              <w:rPr>
                <w:color w:val="000000" w:themeColor="text1"/>
                <w:spacing w:val="1"/>
                <w14:textFill>
                  <w14:solidFill>
                    <w14:schemeClr w14:val="tx1"/>
                  </w14:solidFill>
                </w14:textFill>
              </w:rPr>
              <w:t>项目属于</w:t>
            </w:r>
            <w:r>
              <w:rPr>
                <w:rFonts w:hint="eastAsia"/>
                <w:color w:val="000000" w:themeColor="text1"/>
                <w:spacing w:val="1"/>
                <w14:textFill>
                  <w14:solidFill>
                    <w14:schemeClr w14:val="tx1"/>
                  </w14:solidFill>
                </w14:textFill>
              </w:rPr>
              <w:t>无机盐</w:t>
            </w:r>
            <w:r>
              <w:rPr>
                <w:color w:val="000000" w:themeColor="text1"/>
                <w:spacing w:val="-19"/>
                <w14:textFill>
                  <w14:solidFill>
                    <w14:schemeClr w14:val="tx1"/>
                  </w14:solidFill>
                </w14:textFill>
              </w:rPr>
              <w:t>制造</w:t>
            </w:r>
            <w:r>
              <w:rPr>
                <w:color w:val="000000" w:themeColor="text1"/>
                <w14:textFill>
                  <w14:solidFill>
                    <w14:schemeClr w14:val="tx1"/>
                  </w14:solidFill>
                </w14:textFill>
              </w:rPr>
              <w:t>（精细化工行业</w:t>
            </w:r>
            <w:r>
              <w:rPr>
                <w:color w:val="000000" w:themeColor="text1"/>
                <w:spacing w:val="-25"/>
                <w14:textFill>
                  <w14:solidFill>
                    <w14:schemeClr w14:val="tx1"/>
                  </w14:solidFill>
                </w14:textFill>
              </w:rPr>
              <w:t>）</w:t>
            </w:r>
            <w:r>
              <w:rPr>
                <w:rFonts w:hint="eastAsia"/>
                <w:color w:val="000000" w:themeColor="text1"/>
                <w:spacing w:val="-25"/>
                <w14:textFill>
                  <w14:solidFill>
                    <w14:schemeClr w14:val="tx1"/>
                  </w14:solidFill>
                </w14:textFill>
              </w:rPr>
              <w:t>；</w:t>
            </w:r>
          </w:p>
          <w:p>
            <w:pPr>
              <w:pStyle w:val="383"/>
              <w:tabs>
                <w:tab w:val="left" w:pos="643"/>
              </w:tabs>
              <w:spacing w:before="2" w:line="242" w:lineRule="auto"/>
              <w:ind w:right="86" w:firstLine="210" w:firstLineChars="100"/>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②项目位于宜昌化工园宜都园区，位于合规园区内。</w:t>
            </w:r>
          </w:p>
          <w:p>
            <w:pPr>
              <w:pStyle w:val="383"/>
              <w:tabs>
                <w:tab w:val="left" w:pos="643"/>
              </w:tabs>
              <w:spacing w:before="2" w:line="242" w:lineRule="auto"/>
              <w:ind w:right="86" w:firstLine="320" w:firstLineChars="200"/>
              <w:rPr>
                <w:color w:val="000000" w:themeColor="text1"/>
                <w:spacing w:val="-25"/>
                <w14:textFill>
                  <w14:solidFill>
                    <w14:schemeClr w14:val="tx1"/>
                  </w14:solidFill>
                </w14:textFill>
              </w:rPr>
            </w:pPr>
          </w:p>
        </w:tc>
      </w:tr>
      <w:tr>
        <w:tblPrEx>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829" w:hRule="atLeast"/>
        </w:trPr>
        <w:tc>
          <w:tcPr>
            <w:tcW w:w="933" w:type="dxa"/>
            <w:vMerge w:val="continue"/>
            <w:tcBorders>
              <w:top w:val="single" w:color="000000" w:sz="4" w:space="0"/>
              <w:left w:val="single" w:color="000000" w:sz="12" w:space="0"/>
              <w:bottom w:val="single" w:color="000000" w:sz="4" w:space="0"/>
            </w:tcBorders>
          </w:tcPr>
          <w:p>
            <w:pPr>
              <w:rPr>
                <w:color w:val="000000" w:themeColor="text1"/>
                <w:sz w:val="2"/>
                <w:szCs w:val="2"/>
                <w14:textFill>
                  <w14:solidFill>
                    <w14:schemeClr w14:val="tx1"/>
                  </w14:solidFill>
                </w14:textFill>
              </w:rPr>
            </w:pPr>
          </w:p>
        </w:tc>
        <w:tc>
          <w:tcPr>
            <w:tcW w:w="5734" w:type="dxa"/>
            <w:tcBorders>
              <w:top w:val="single" w:color="000000" w:sz="4" w:space="0"/>
              <w:bottom w:val="single" w:color="000000" w:sz="4" w:space="0"/>
            </w:tcBorders>
          </w:tcPr>
          <w:p>
            <w:pPr>
              <w:pStyle w:val="383"/>
              <w:tabs>
                <w:tab w:val="left" w:pos="643"/>
              </w:tabs>
              <w:spacing w:before="2" w:line="242" w:lineRule="auto"/>
              <w:ind w:right="86"/>
              <w:rPr>
                <w:rFonts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14:textFill>
                  <w14:solidFill>
                    <w14:schemeClr w14:val="tx1"/>
                  </w14:solidFill>
                </w14:textFill>
              </w:rPr>
              <w:t>（3）宜都工业园区新建、改扩建项目应符合园区规划及规划环评中的准入要求。严格控制尿素、磷铵、电石、烧碱、聚氯乙烯等过剩行业新增产能，对符合政策要求的先进工艺改造提升项目应实行等量或减量置换；严格限制染料化工、农药中间体及农药建设项目。北部综合工业园现有陶瓷企业应严格控制生 产规模，重点发展以磷石膏、煤矿及化工废料为主要材料的新型建材和卫生陶瓷两大方向，限制其他建材产品的规模扩张，现有陶瓷企业改扩建应满足增产减污的要求。</w:t>
            </w:r>
          </w:p>
        </w:tc>
        <w:tc>
          <w:tcPr>
            <w:tcW w:w="2251" w:type="dxa"/>
            <w:tcBorders>
              <w:top w:val="single" w:color="000000" w:sz="4" w:space="0"/>
              <w:bottom w:val="single" w:color="000000" w:sz="4" w:space="0"/>
              <w:right w:val="single" w:color="000000" w:sz="12" w:space="0"/>
            </w:tcBorders>
          </w:tcPr>
          <w:p>
            <w:pPr>
              <w:pStyle w:val="383"/>
              <w:tabs>
                <w:tab w:val="left" w:pos="643"/>
              </w:tabs>
              <w:spacing w:before="2" w:line="242" w:lineRule="auto"/>
              <w:ind w:right="86" w:firstLine="420" w:firstLineChars="200"/>
              <w:rPr>
                <w:color w:val="000000" w:themeColor="text1"/>
                <w14:textFill>
                  <w14:solidFill>
                    <w14:schemeClr w14:val="tx1"/>
                  </w14:solidFill>
                </w14:textFill>
              </w:rPr>
            </w:pPr>
          </w:p>
          <w:p>
            <w:pPr>
              <w:pStyle w:val="383"/>
              <w:tabs>
                <w:tab w:val="left" w:pos="643"/>
              </w:tabs>
              <w:spacing w:before="2" w:line="242" w:lineRule="auto"/>
              <w:ind w:right="86"/>
              <w:rPr>
                <w:color w:val="000000" w:themeColor="text1"/>
                <w:spacing w:val="-25"/>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符合</w:t>
            </w:r>
            <w:r>
              <w:rPr>
                <w:color w:val="000000" w:themeColor="text1"/>
                <w14:textFill>
                  <w14:solidFill>
                    <w14:schemeClr w14:val="tx1"/>
                  </w14:solidFill>
                </w14:textFill>
              </w:rPr>
              <w:t>宜昌化工园宜都园区规划及</w:t>
            </w:r>
            <w:r>
              <w:rPr>
                <w:rFonts w:hint="eastAsia"/>
                <w:color w:val="000000" w:themeColor="text1"/>
                <w14:textFill>
                  <w14:solidFill>
                    <w14:schemeClr w14:val="tx1"/>
                  </w14:solidFill>
                </w14:textFill>
              </w:rPr>
              <w:t>规划环评中的准入要求</w:t>
            </w:r>
            <w:r>
              <w:rPr>
                <w:color w:val="000000" w:themeColor="text1"/>
                <w14:textFill>
                  <w14:solidFill>
                    <w14:schemeClr w14:val="tx1"/>
                  </w14:solidFill>
                </w14:textFill>
              </w:rPr>
              <w:t>；项目属于</w:t>
            </w:r>
            <w:r>
              <w:rPr>
                <w:rFonts w:hint="eastAsia"/>
                <w:color w:val="000000" w:themeColor="text1"/>
                <w14:textFill>
                  <w14:solidFill>
                    <w14:schemeClr w14:val="tx1"/>
                  </w14:solidFill>
                </w14:textFill>
              </w:rPr>
              <w:t>无机盐</w:t>
            </w:r>
            <w:r>
              <w:rPr>
                <w:color w:val="000000" w:themeColor="text1"/>
                <w14:textFill>
                  <w14:solidFill>
                    <w14:schemeClr w14:val="tx1"/>
                  </w14:solidFill>
                </w14:textFill>
              </w:rPr>
              <w:t>制造（精细化工行业）。</w:t>
            </w:r>
          </w:p>
        </w:tc>
      </w:tr>
      <w:tr>
        <w:tblPrEx>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829" w:hRule="atLeast"/>
        </w:trPr>
        <w:tc>
          <w:tcPr>
            <w:tcW w:w="933" w:type="dxa"/>
            <w:tcBorders>
              <w:top w:val="single" w:color="000000" w:sz="4" w:space="0"/>
              <w:left w:val="single" w:color="000000" w:sz="12" w:space="0"/>
              <w:bottom w:val="single" w:color="000000" w:sz="4" w:space="0"/>
            </w:tcBorders>
          </w:tcPr>
          <w:p>
            <w:pPr>
              <w:rPr>
                <w:color w:val="000000" w:themeColor="text1"/>
                <w:szCs w:val="21"/>
                <w14:textFill>
                  <w14:solidFill>
                    <w14:schemeClr w14:val="tx1"/>
                  </w14:solidFill>
                </w14:textFill>
              </w:rPr>
            </w:pPr>
          </w:p>
          <w:p>
            <w:pPr>
              <w:jc w:val="center"/>
              <w:rPr>
                <w:color w:val="000000" w:themeColor="text1"/>
                <w:szCs w:val="21"/>
                <w14:textFill>
                  <w14:solidFill>
                    <w14:schemeClr w14:val="tx1"/>
                  </w14:solidFill>
                </w14:textFill>
              </w:rPr>
            </w:pPr>
          </w:p>
          <w:p>
            <w:pPr>
              <w:jc w:val="center"/>
              <w:rPr>
                <w:color w:val="000000" w:themeColor="text1"/>
                <w:szCs w:val="21"/>
                <w14:textFill>
                  <w14:solidFill>
                    <w14:schemeClr w14:val="tx1"/>
                  </w14:solidFill>
                </w14:textFill>
              </w:rPr>
            </w:pPr>
          </w:p>
          <w:p>
            <w:pPr>
              <w:jc w:val="center"/>
              <w:rPr>
                <w:rFonts w:hint="eastAsia"/>
                <w:color w:val="000000" w:themeColor="text1"/>
                <w:szCs w:val="21"/>
                <w14:textFill>
                  <w14:solidFill>
                    <w14:schemeClr w14:val="tx1"/>
                  </w14:solidFill>
                </w14:textFill>
              </w:rPr>
            </w:pPr>
          </w:p>
          <w:p>
            <w:pPr>
              <w:jc w:val="center"/>
              <w:rPr>
                <w:rFonts w:hint="eastAsia"/>
                <w:color w:val="000000" w:themeColor="text1"/>
                <w:szCs w:val="21"/>
                <w14:textFill>
                  <w14:solidFill>
                    <w14:schemeClr w14:val="tx1"/>
                  </w14:solidFill>
                </w14:textFill>
              </w:rPr>
            </w:pPr>
          </w:p>
          <w:p>
            <w:pPr>
              <w:jc w:val="center"/>
              <w:rPr>
                <w:rFonts w:hint="eastAsia"/>
                <w:color w:val="000000" w:themeColor="text1"/>
                <w:szCs w:val="21"/>
                <w14:textFill>
                  <w14:solidFill>
                    <w14:schemeClr w14:val="tx1"/>
                  </w14:solidFill>
                </w14:textFill>
              </w:rPr>
            </w:pP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污染物排放管控</w:t>
            </w:r>
          </w:p>
        </w:tc>
        <w:tc>
          <w:tcPr>
            <w:tcW w:w="5734" w:type="dxa"/>
            <w:tcBorders>
              <w:top w:val="single" w:color="000000" w:sz="4" w:space="0"/>
              <w:bottom w:val="single" w:color="000000" w:sz="4" w:space="0"/>
            </w:tcBorders>
          </w:tcPr>
          <w:p>
            <w:pPr>
              <w:pStyle w:val="383"/>
              <w:numPr>
                <w:ilvl w:val="0"/>
                <w:numId w:val="0"/>
              </w:numPr>
              <w:spacing w:line="269" w:lineRule="exact"/>
              <w:jc w:val="left"/>
              <w:rPr>
                <w:rFonts w:hint="eastAsia" w:ascii="Times New Roman" w:hAnsi="Times New Roman" w:cs="Times New Roman"/>
                <w:color w:val="000000" w:themeColor="text1"/>
                <w:lang w:eastAsia="zh-CN"/>
                <w14:textFill>
                  <w14:solidFill>
                    <w14:schemeClr w14:val="tx1"/>
                  </w14:solidFill>
                </w14:textFill>
              </w:rPr>
            </w:pPr>
          </w:p>
          <w:p>
            <w:pPr>
              <w:pStyle w:val="383"/>
              <w:numPr>
                <w:ilvl w:val="0"/>
                <w:numId w:val="0"/>
              </w:numPr>
              <w:spacing w:line="269" w:lineRule="exact"/>
              <w:jc w:val="left"/>
              <w:rPr>
                <w:rFonts w:hint="eastAsia" w:ascii="Times New Roman" w:hAnsi="Times New Roman" w:cs="Times New Roman"/>
                <w:color w:val="000000" w:themeColor="text1"/>
                <w:lang w:eastAsia="zh-CN"/>
                <w14:textFill>
                  <w14:solidFill>
                    <w14:schemeClr w14:val="tx1"/>
                  </w14:solidFill>
                </w14:textFill>
              </w:rPr>
            </w:pPr>
          </w:p>
          <w:p>
            <w:pPr>
              <w:pStyle w:val="383"/>
              <w:numPr>
                <w:ilvl w:val="0"/>
                <w:numId w:val="0"/>
              </w:numPr>
              <w:spacing w:line="269" w:lineRule="exact"/>
              <w:jc w:val="left"/>
              <w:rPr>
                <w:rFonts w:hint="eastAsia" w:ascii="Times New Roman" w:hAnsi="Times New Roman" w:cs="Times New Roman"/>
                <w:color w:val="000000" w:themeColor="text1"/>
                <w:lang w:eastAsia="zh-CN"/>
                <w14:textFill>
                  <w14:solidFill>
                    <w14:schemeClr w14:val="tx1"/>
                  </w14:solidFill>
                </w14:textFill>
              </w:rPr>
            </w:pPr>
          </w:p>
          <w:p>
            <w:pPr>
              <w:pStyle w:val="383"/>
              <w:numPr>
                <w:ilvl w:val="0"/>
                <w:numId w:val="0"/>
              </w:numPr>
              <w:spacing w:line="269" w:lineRule="exact"/>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宜都工业园区涉及总磷排放的建设项目应实行新增排放量区域内倍量置换，确保园区总磷污染物排放量不增加。</w:t>
            </w:r>
          </w:p>
          <w:p>
            <w:pPr>
              <w:pStyle w:val="383"/>
              <w:numPr>
                <w:ilvl w:val="0"/>
                <w:numId w:val="0"/>
              </w:numPr>
              <w:spacing w:line="268" w:lineRule="exact"/>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对于国家排放标准中已规定大气污染物特别排放限值的行业以及锅炉，应按要求执行大气污染物特别排放限值。</w:t>
            </w:r>
          </w:p>
          <w:p>
            <w:pPr>
              <w:pStyle w:val="383"/>
              <w:numPr>
                <w:ilvl w:val="0"/>
                <w:numId w:val="0"/>
              </w:numPr>
              <w:spacing w:line="268" w:lineRule="exact"/>
              <w:jc w:val="left"/>
              <w:rPr>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上一年度PM</w:t>
            </w:r>
            <w:r>
              <w:rPr>
                <w:rFonts w:hint="default" w:ascii="Times New Roman" w:hAnsi="Times New Roman" w:cs="Times New Roman"/>
                <w:color w:val="000000" w:themeColor="text1"/>
                <w:vertAlign w:val="subscript"/>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年平均浓度超标，单元内建设项目实施二氧化硫、氮氧化物、烟粉尘、挥发性有机物四项污染物2倍削减替代。</w:t>
            </w:r>
          </w:p>
        </w:tc>
        <w:tc>
          <w:tcPr>
            <w:tcW w:w="2251" w:type="dxa"/>
            <w:tcBorders>
              <w:top w:val="single" w:color="000000" w:sz="4" w:space="0"/>
              <w:bottom w:val="single" w:color="000000" w:sz="4" w:space="0"/>
              <w:right w:val="single" w:color="000000" w:sz="12" w:space="0"/>
            </w:tcBorders>
          </w:tcPr>
          <w:p>
            <w:pPr>
              <w:pStyle w:val="383"/>
              <w:numPr>
                <w:ilvl w:val="0"/>
                <w:numId w:val="0"/>
              </w:numPr>
              <w:tabs>
                <w:tab w:val="left" w:pos="643"/>
              </w:tabs>
              <w:spacing w:before="2" w:line="242" w:lineRule="auto"/>
              <w:ind w:right="86" w:rightChars="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本项目新增总磷排放量实施区域内倍量置换。</w:t>
            </w:r>
          </w:p>
          <w:p>
            <w:pPr>
              <w:pStyle w:val="383"/>
              <w:numPr>
                <w:ilvl w:val="0"/>
                <w:numId w:val="0"/>
              </w:numPr>
              <w:tabs>
                <w:tab w:val="left" w:pos="643"/>
              </w:tabs>
              <w:spacing w:before="2" w:line="242" w:lineRule="auto"/>
              <w:ind w:right="86" w:rightChars="0"/>
              <w:rPr>
                <w:rFonts w:hint="default"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本项目大气污染物排放</w:t>
            </w:r>
            <w:r>
              <w:rPr>
                <w:rFonts w:hint="default" w:ascii="Times New Roman" w:hAnsi="Times New Roman" w:cs="Times New Roman" w:eastAsiaTheme="minorEastAsia"/>
                <w:color w:val="000000" w:themeColor="text1"/>
                <w:szCs w:val="21"/>
                <w14:textFill>
                  <w14:solidFill>
                    <w14:schemeClr w14:val="tx1"/>
                  </w14:solidFill>
                </w14:textFill>
              </w:rPr>
              <w:t>执行《无机化学工业污染物排放标准》（GB31573-2015）特别排放限值；</w:t>
            </w:r>
          </w:p>
          <w:p>
            <w:pPr>
              <w:pStyle w:val="383"/>
              <w:numPr>
                <w:ilvl w:val="0"/>
                <w:numId w:val="0"/>
              </w:numPr>
              <w:tabs>
                <w:tab w:val="left" w:pos="643"/>
              </w:tabs>
              <w:spacing w:before="2" w:line="242" w:lineRule="auto"/>
              <w:ind w:right="86" w:rightChars="0"/>
              <w:rPr>
                <w:rFonts w:hint="default" w:ascii="Times New Roman" w:hAnsi="Times New Roman" w:cs="Times New Roman" w:eastAsiaTheme="minorEastAsia"/>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3</w:t>
            </w:r>
            <w:r>
              <w:rPr>
                <w:rFonts w:hint="eastAsia" w:ascii="Times New Roman" w:hAnsi="Times New Roman" w:cs="Times New Roman" w:eastAsiaTheme="minorEastAsia"/>
                <w:color w:val="000000" w:themeColor="text1"/>
                <w:szCs w:val="21"/>
                <w:lang w:eastAsia="zh-CN"/>
                <w14:textFill>
                  <w14:solidFill>
                    <w14:schemeClr w14:val="tx1"/>
                  </w14:solidFill>
                </w14:textFill>
              </w:rPr>
              <w:t>）</w:t>
            </w:r>
            <w:r>
              <w:rPr>
                <w:rFonts w:hint="default" w:ascii="Times New Roman" w:hAnsi="Times New Roman" w:cs="Times New Roman" w:eastAsiaTheme="minorEastAsia"/>
                <w:color w:val="000000" w:themeColor="text1"/>
                <w:szCs w:val="21"/>
                <w14:textFill>
                  <w14:solidFill>
                    <w14:schemeClr w14:val="tx1"/>
                  </w14:solidFill>
                </w14:textFill>
              </w:rPr>
              <w:t>本项目新增颗粒物排放量实施2倍削减替代。</w:t>
            </w:r>
          </w:p>
          <w:p>
            <w:pPr>
              <w:pStyle w:val="383"/>
              <w:tabs>
                <w:tab w:val="left" w:pos="643"/>
              </w:tabs>
              <w:spacing w:before="2" w:line="242" w:lineRule="auto"/>
              <w:ind w:right="86"/>
              <w:rPr>
                <w:color w:val="000000" w:themeColor="text1"/>
                <w14:textFill>
                  <w14:solidFill>
                    <w14:schemeClr w14:val="tx1"/>
                  </w14:solidFill>
                </w14:textFill>
              </w:rPr>
            </w:pPr>
          </w:p>
        </w:tc>
      </w:tr>
      <w:tr>
        <w:tblPrEx>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829" w:hRule="atLeast"/>
        </w:trPr>
        <w:tc>
          <w:tcPr>
            <w:tcW w:w="933" w:type="dxa"/>
            <w:tcBorders>
              <w:top w:val="single" w:color="000000" w:sz="4" w:space="0"/>
              <w:left w:val="single" w:color="000000" w:sz="12" w:space="0"/>
              <w:bottom w:val="single" w:color="000000" w:sz="4" w:space="0"/>
            </w:tcBorders>
          </w:tcPr>
          <w:p>
            <w:pPr>
              <w:jc w:val="center"/>
              <w:rPr>
                <w:b/>
                <w:color w:val="000000" w:themeColor="text1"/>
                <w14:textFill>
                  <w14:solidFill>
                    <w14:schemeClr w14:val="tx1"/>
                  </w14:solidFill>
                </w14:textFill>
              </w:rPr>
            </w:pPr>
          </w:p>
          <w:p>
            <w:pPr>
              <w:jc w:val="center"/>
              <w:rPr>
                <w:bCs/>
                <w:color w:val="000000" w:themeColor="text1"/>
                <w14:textFill>
                  <w14:solidFill>
                    <w14:schemeClr w14:val="tx1"/>
                  </w14:solidFill>
                </w14:textFill>
              </w:rPr>
            </w:pPr>
          </w:p>
          <w:p>
            <w:pPr>
              <w:jc w:val="center"/>
              <w:rPr>
                <w:bCs/>
                <w:color w:val="000000" w:themeColor="text1"/>
                <w14:textFill>
                  <w14:solidFill>
                    <w14:schemeClr w14:val="tx1"/>
                  </w14:solidFill>
                </w14:textFill>
              </w:rPr>
            </w:pPr>
          </w:p>
          <w:p>
            <w:pPr>
              <w:jc w:val="center"/>
              <w:rPr>
                <w:bCs/>
                <w:color w:val="000000" w:themeColor="text1"/>
                <w14:textFill>
                  <w14:solidFill>
                    <w14:schemeClr w14:val="tx1"/>
                  </w14:solidFill>
                </w14:textFill>
              </w:rPr>
            </w:pPr>
          </w:p>
          <w:p>
            <w:pPr>
              <w:jc w:val="center"/>
              <w:rPr>
                <w:bCs/>
                <w:color w:val="000000" w:themeColor="text1"/>
                <w14:textFill>
                  <w14:solidFill>
                    <w14:schemeClr w14:val="tx1"/>
                  </w14:solidFill>
                </w14:textFill>
              </w:rPr>
            </w:pPr>
          </w:p>
          <w:p>
            <w:pPr>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环境风险防控</w:t>
            </w:r>
          </w:p>
        </w:tc>
        <w:tc>
          <w:tcPr>
            <w:tcW w:w="5734" w:type="dxa"/>
            <w:tcBorders>
              <w:top w:val="single" w:color="000000" w:sz="4" w:space="0"/>
              <w:bottom w:val="single" w:color="000000" w:sz="4" w:space="0"/>
            </w:tcBorders>
          </w:tcPr>
          <w:p>
            <w:pPr>
              <w:pStyle w:val="383"/>
              <w:numPr>
                <w:ilvl w:val="0"/>
                <w:numId w:val="0"/>
              </w:numPr>
              <w:spacing w:line="268" w:lineRule="exact"/>
              <w:jc w:val="left"/>
              <w:rPr>
                <w:rFonts w:hint="default" w:ascii="Times New Roman" w:hAnsi="Times New Roman" w:cs="Times New Roman"/>
                <w:color w:val="000000" w:themeColor="text1"/>
                <w:lang w:eastAsia="zh-CN"/>
                <w14:textFill>
                  <w14:solidFill>
                    <w14:schemeClr w14:val="tx1"/>
                  </w14:solidFill>
                </w14:textFill>
              </w:rPr>
            </w:pPr>
          </w:p>
          <w:p>
            <w:pPr>
              <w:pStyle w:val="383"/>
              <w:numPr>
                <w:ilvl w:val="0"/>
                <w:numId w:val="0"/>
              </w:numPr>
              <w:spacing w:line="268" w:lineRule="exact"/>
              <w:jc w:val="left"/>
              <w:rPr>
                <w:rFonts w:hint="default" w:ascii="Times New Roman" w:hAnsi="Times New Roman" w:cs="Times New Roman"/>
                <w:color w:val="000000" w:themeColor="text1"/>
                <w:lang w:eastAsia="zh-CN"/>
                <w14:textFill>
                  <w14:solidFill>
                    <w14:schemeClr w14:val="tx1"/>
                  </w14:solidFill>
                </w14:textFill>
              </w:rPr>
            </w:pPr>
          </w:p>
          <w:p>
            <w:pPr>
              <w:pStyle w:val="383"/>
              <w:numPr>
                <w:ilvl w:val="0"/>
                <w:numId w:val="0"/>
              </w:numPr>
              <w:spacing w:line="268" w:lineRule="exact"/>
              <w:jc w:val="left"/>
              <w:rPr>
                <w:rFonts w:hint="default" w:ascii="Times New Roman" w:hAnsi="Times New Roman" w:cs="Times New Roman"/>
                <w:color w:val="000000" w:themeColor="text1"/>
                <w:lang w:eastAsia="zh-CN"/>
                <w14:textFill>
                  <w14:solidFill>
                    <w14:schemeClr w14:val="tx1"/>
                  </w14:solidFill>
                </w14:textFill>
              </w:rPr>
            </w:pPr>
          </w:p>
          <w:p>
            <w:pPr>
              <w:pStyle w:val="383"/>
              <w:numPr>
                <w:ilvl w:val="0"/>
                <w:numId w:val="0"/>
              </w:numPr>
              <w:spacing w:line="268" w:lineRule="exact"/>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单元内化工医药企业，在贮存、转移危险化学品、危险废物过程中，应配套有效措施，防止因渗漏污染地下水、土壤， 以及因事故废水直排污染地表水体。</w:t>
            </w:r>
          </w:p>
          <w:p>
            <w:pPr>
              <w:pStyle w:val="383"/>
              <w:numPr>
                <w:ilvl w:val="0"/>
                <w:numId w:val="0"/>
              </w:numPr>
              <w:spacing w:line="268" w:lineRule="exact"/>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宜都工业园内产生、利用或处置固体废物（含危险废物） 的化工医药等企业，在贮存、转移、利用、处置固体废物（含危险废物）过程中，应配套防扬散、防流失、防渗漏及其他防</w:t>
            </w:r>
          </w:p>
          <w:p>
            <w:pPr>
              <w:pStyle w:val="383"/>
              <w:spacing w:line="268" w:lineRule="exact"/>
              <w:jc w:val="left"/>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止污染环境的措施</w:t>
            </w:r>
            <w:r>
              <w:rPr>
                <w:rFonts w:hint="eastAsia"/>
                <w:color w:val="000000" w:themeColor="text1"/>
                <w14:textFill>
                  <w14:solidFill>
                    <w14:schemeClr w14:val="tx1"/>
                  </w14:solidFill>
                </w14:textFill>
              </w:rPr>
              <w:t>。</w:t>
            </w:r>
          </w:p>
        </w:tc>
        <w:tc>
          <w:tcPr>
            <w:tcW w:w="2251" w:type="dxa"/>
            <w:tcBorders>
              <w:top w:val="single" w:color="000000" w:sz="4" w:space="0"/>
              <w:bottom w:val="single" w:color="000000" w:sz="4" w:space="0"/>
              <w:right w:val="single" w:color="000000" w:sz="12" w:space="0"/>
            </w:tcBorders>
          </w:tcPr>
          <w:p>
            <w:pPr>
              <w:pStyle w:val="383"/>
              <w:numPr>
                <w:ilvl w:val="0"/>
                <w:numId w:val="0"/>
              </w:numPr>
              <w:tabs>
                <w:tab w:val="left" w:pos="643"/>
              </w:tabs>
              <w:spacing w:before="2" w:line="242" w:lineRule="auto"/>
              <w:ind w:right="86" w:right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本项目已采取有效防渗措施防止在贮存、转移危险化学品、危险废物过程中因渗漏污染地下水、土壤，已设置事故应急池对事故废水进行有效收集，避免直排污染地表水体；</w:t>
            </w:r>
          </w:p>
          <w:p>
            <w:pPr>
              <w:pStyle w:val="383"/>
              <w:numPr>
                <w:ilvl w:val="0"/>
                <w:numId w:val="0"/>
              </w:numPr>
              <w:tabs>
                <w:tab w:val="left" w:pos="643"/>
              </w:tabs>
              <w:spacing w:before="2" w:line="242" w:lineRule="auto"/>
              <w:ind w:right="86" w:rightChars="0"/>
              <w:rPr>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本项目已配套设置防扬散、防流失、防渗漏等污染防治措施。</w:t>
            </w:r>
          </w:p>
        </w:tc>
      </w:tr>
      <w:tr>
        <w:tblPrEx>
          <w:tblBorders>
            <w:top w:val="single" w:color="000000" w:sz="2" w:space="0"/>
            <w:left w:val="none" w:color="auto" w:sz="0" w:space="0"/>
            <w:bottom w:val="single" w:color="000000" w:sz="12"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1009" w:hRule="atLeast"/>
        </w:trPr>
        <w:tc>
          <w:tcPr>
            <w:tcW w:w="933" w:type="dxa"/>
            <w:tcBorders>
              <w:top w:val="single" w:color="000000" w:sz="4" w:space="0"/>
              <w:left w:val="single" w:color="000000" w:sz="12" w:space="0"/>
            </w:tcBorders>
          </w:tcPr>
          <w:p>
            <w:pPr>
              <w:jc w:val="center"/>
              <w:rPr>
                <w:bCs/>
                <w:color w:val="000000" w:themeColor="text1"/>
                <w14:textFill>
                  <w14:solidFill>
                    <w14:schemeClr w14:val="tx1"/>
                  </w14:solidFill>
                </w14:textFill>
              </w:rPr>
            </w:pPr>
          </w:p>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资源开发效率要求</w:t>
            </w:r>
          </w:p>
        </w:tc>
        <w:tc>
          <w:tcPr>
            <w:tcW w:w="5734" w:type="dxa"/>
            <w:tcBorders>
              <w:top w:val="single" w:color="000000" w:sz="4" w:space="0"/>
            </w:tcBorders>
          </w:tcPr>
          <w:p>
            <w:pPr>
              <w:pStyle w:val="383"/>
              <w:spacing w:line="268" w:lineRule="exact"/>
              <w:jc w:val="left"/>
              <w:rPr>
                <w:color w:val="000000" w:themeColor="text1"/>
                <w14:textFill>
                  <w14:solidFill>
                    <w14:schemeClr w14:val="tx1"/>
                  </w14:solidFill>
                </w14:textFill>
              </w:rPr>
            </w:pPr>
          </w:p>
          <w:p>
            <w:pPr>
              <w:pStyle w:val="383"/>
              <w:spacing w:line="268" w:lineRule="exact"/>
              <w:jc w:val="left"/>
              <w:rPr>
                <w:color w:val="000000" w:themeColor="text1"/>
                <w14:textFill>
                  <w14:solidFill>
                    <w14:schemeClr w14:val="tx1"/>
                  </w14:solidFill>
                </w14:textFill>
              </w:rPr>
            </w:pPr>
            <w:r>
              <w:rPr>
                <w:color w:val="000000" w:themeColor="text1"/>
                <w14:textFill>
                  <w14:solidFill>
                    <w14:schemeClr w14:val="tx1"/>
                  </w14:solidFill>
                </w14:textFill>
              </w:rPr>
              <w:t>宜都工业园区单位工业增加值新鲜水耗低于</w:t>
            </w:r>
            <w:r>
              <w:rPr>
                <w:rFonts w:ascii="Times New Roman" w:eastAsia="Times New Roman"/>
                <w:color w:val="000000" w:themeColor="text1"/>
                <w14:textFill>
                  <w14:solidFill>
                    <w14:schemeClr w14:val="tx1"/>
                  </w14:solidFill>
                </w14:textFill>
              </w:rPr>
              <w:t>9m</w:t>
            </w:r>
            <w:r>
              <w:rPr>
                <w:rFonts w:ascii="Times New Roman" w:eastAsia="Times New Roman"/>
                <w:color w:val="000000" w:themeColor="text1"/>
                <w:position w:val="7"/>
                <w:sz w:val="13"/>
                <w14:textFill>
                  <w14:solidFill>
                    <w14:schemeClr w14:val="tx1"/>
                  </w14:solidFill>
                </w14:textFill>
              </w:rPr>
              <w:t>3</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万元，能耗不大于</w:t>
            </w:r>
            <w:r>
              <w:rPr>
                <w:rFonts w:ascii="Times New Roman" w:eastAsia="Times New Roman"/>
                <w:color w:val="000000" w:themeColor="text1"/>
                <w14:textFill>
                  <w14:solidFill>
                    <w14:schemeClr w14:val="tx1"/>
                  </w14:solidFill>
                </w14:textFill>
              </w:rPr>
              <w:t>2.29</w:t>
            </w:r>
            <w:r>
              <w:rPr>
                <w:color w:val="000000" w:themeColor="text1"/>
                <w14:textFill>
                  <w14:solidFill>
                    <w14:schemeClr w14:val="tx1"/>
                  </w14:solidFill>
                </w14:textFill>
              </w:rPr>
              <w:t>吨标煤</w:t>
            </w:r>
            <w:r>
              <w:rPr>
                <w:rFonts w:asci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万元。</w:t>
            </w:r>
          </w:p>
        </w:tc>
        <w:tc>
          <w:tcPr>
            <w:tcW w:w="2251" w:type="dxa"/>
            <w:tcBorders>
              <w:top w:val="single" w:color="000000" w:sz="4" w:space="0"/>
              <w:right w:val="single" w:color="000000" w:sz="12" w:space="0"/>
            </w:tcBorders>
          </w:tcPr>
          <w:p>
            <w:pPr>
              <w:pStyle w:val="383"/>
              <w:spacing w:line="242" w:lineRule="auto"/>
              <w:ind w:left="116" w:right="91"/>
              <w:rPr>
                <w:color w:val="000000" w:themeColor="text1"/>
                <w14:textFill>
                  <w14:solidFill>
                    <w14:schemeClr w14:val="tx1"/>
                  </w14:solidFill>
                </w14:textFill>
              </w:rPr>
            </w:pPr>
            <w:r>
              <w:rPr>
                <w:color w:val="000000" w:themeColor="text1"/>
                <w:spacing w:val="1"/>
                <w14:textFill>
                  <w14:solidFill>
                    <w14:schemeClr w14:val="tx1"/>
                  </w14:solidFill>
                </w14:textFill>
              </w:rPr>
              <w:t>项目单位工业增加值新</w:t>
            </w:r>
            <w:r>
              <w:rPr>
                <w:color w:val="000000" w:themeColor="text1"/>
                <w:spacing w:val="-9"/>
                <w14:textFill>
                  <w14:solidFill>
                    <w14:schemeClr w14:val="tx1"/>
                  </w14:solidFill>
                </w14:textFill>
              </w:rPr>
              <w:t>鲜水耗低于</w:t>
            </w:r>
            <w:r>
              <w:rPr>
                <w:rFonts w:ascii="Times New Roman" w:eastAsia="Times New Roman"/>
                <w:color w:val="000000" w:themeColor="text1"/>
                <w14:textFill>
                  <w14:solidFill>
                    <w14:schemeClr w14:val="tx1"/>
                  </w14:solidFill>
                </w14:textFill>
              </w:rPr>
              <w:t>9m</w:t>
            </w:r>
            <w:r>
              <w:rPr>
                <w:rFonts w:ascii="Times New Roman" w:eastAsia="Times New Roman"/>
                <w:color w:val="000000" w:themeColor="text1"/>
                <w:position w:val="7"/>
                <w:sz w:val="13"/>
                <w14:textFill>
                  <w14:solidFill>
                    <w14:schemeClr w14:val="tx1"/>
                  </w14:solidFill>
                </w14:textFill>
              </w:rPr>
              <w:t>3</w:t>
            </w:r>
            <w:r>
              <w:rPr>
                <w:rFonts w:ascii="Times New Roman" w:eastAsia="Times New Roman"/>
                <w:color w:val="000000" w:themeColor="text1"/>
                <w14:textFill>
                  <w14:solidFill>
                    <w14:schemeClr w14:val="tx1"/>
                  </w14:solidFill>
                </w14:textFill>
              </w:rPr>
              <w:t>/</w:t>
            </w:r>
            <w:r>
              <w:rPr>
                <w:color w:val="000000" w:themeColor="text1"/>
                <w:spacing w:val="-5"/>
                <w14:textFill>
                  <w14:solidFill>
                    <w14:schemeClr w14:val="tx1"/>
                  </w14:solidFill>
                </w14:textFill>
              </w:rPr>
              <w:t xml:space="preserve">万元， </w:t>
            </w:r>
            <w:r>
              <w:rPr>
                <w:color w:val="000000" w:themeColor="text1"/>
                <w:spacing w:val="1"/>
                <w14:textFill>
                  <w14:solidFill>
                    <w14:schemeClr w14:val="tx1"/>
                  </w14:solidFill>
                </w14:textFill>
              </w:rPr>
              <w:t>能耗低于</w:t>
            </w:r>
            <w:r>
              <w:rPr>
                <w:rFonts w:ascii="Times New Roman" w:eastAsia="Times New Roman"/>
                <w:color w:val="000000" w:themeColor="text1"/>
                <w14:textFill>
                  <w14:solidFill>
                    <w14:schemeClr w14:val="tx1"/>
                  </w14:solidFill>
                </w14:textFill>
              </w:rPr>
              <w:t>2.29</w:t>
            </w:r>
            <w:r>
              <w:rPr>
                <w:color w:val="000000" w:themeColor="text1"/>
                <w:spacing w:val="16"/>
                <w14:textFill>
                  <w14:solidFill>
                    <w14:schemeClr w14:val="tx1"/>
                  </w14:solidFill>
                </w14:textFill>
              </w:rPr>
              <w:t>吨标煤</w:t>
            </w:r>
            <w:r>
              <w:rPr>
                <w:rFonts w:ascii="Times New Roman" w:eastAsia="Times New Roman"/>
                <w:color w:val="000000" w:themeColor="text1"/>
                <w:spacing w:val="-13"/>
                <w14:textFill>
                  <w14:solidFill>
                    <w14:schemeClr w14:val="tx1"/>
                  </w14:solidFill>
                </w14:textFill>
              </w:rPr>
              <w:t>/</w:t>
            </w:r>
            <w:r>
              <w:rPr>
                <w:color w:val="000000" w:themeColor="text1"/>
                <w14:textFill>
                  <w14:solidFill>
                    <w14:schemeClr w14:val="tx1"/>
                  </w14:solidFill>
                </w14:textFill>
              </w:rPr>
              <w:t>万元。</w:t>
            </w:r>
          </w:p>
        </w:tc>
      </w:tr>
    </w:tbl>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cs="Times New Roman" w:hAnsiTheme="minorEastAsia" w:eastAsiaTheme="minorEastAsia"/>
          <w:color w:val="000000" w:themeColor="text1"/>
          <w:kern w:val="0"/>
          <w:sz w:val="24"/>
          <w:szCs w:val="24"/>
          <w:lang w:val="en-US" w:eastAsia="zh-CN" w:bidi="ar-SA"/>
          <w14:textFill>
            <w14:solidFill>
              <w14:schemeClr w14:val="tx1"/>
            </w14:solidFill>
          </w14:textFill>
        </w:rPr>
      </w:pPr>
      <w:r>
        <w:rPr>
          <w:rFonts w:hint="eastAsia" w:ascii="Times New Roman" w:cs="Times New Roman" w:hAnsiTheme="minorEastAsia" w:eastAsiaTheme="minorEastAsia"/>
          <w:color w:val="000000" w:themeColor="text1"/>
          <w:kern w:val="0"/>
          <w:sz w:val="24"/>
          <w:szCs w:val="24"/>
          <w:lang w:val="en-US" w:eastAsia="zh-CN" w:bidi="ar-SA"/>
          <w14:textFill>
            <w14:solidFill>
              <w14:schemeClr w14:val="tx1"/>
            </w14:solidFill>
          </w14:textFill>
        </w:rPr>
        <w:t>综上，项目与宜昌市“三线一单”生态环境分区管控实施方案相符。</w:t>
      </w: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color w:val="000000" w:themeColor="text1"/>
          <w:sz w:val="24"/>
          <w:szCs w:val="24"/>
          <w14:textFill>
            <w14:solidFill>
              <w14:schemeClr w14:val="tx1"/>
            </w14:solidFill>
          </w14:textFill>
        </w:rPr>
      </w:pP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1.4.</w:t>
      </w:r>
      <w:r>
        <w:rPr>
          <w:rFonts w:hint="eastAsia" w:ascii="Times New Roman" w:hAnsi="Times New Roman" w:cs="Times New Roman"/>
          <w:b/>
          <w:bCs/>
          <w:color w:val="000000" w:themeColor="text1"/>
          <w:sz w:val="28"/>
          <w:szCs w:val="28"/>
          <w:lang w:val="en-US" w:eastAsia="zh-CN"/>
          <w14:textFill>
            <w14:solidFill>
              <w14:schemeClr w14:val="tx1"/>
            </w14:solidFill>
          </w14:textFill>
        </w:rPr>
        <w:t>10</w:t>
      </w:r>
      <w:r>
        <w:rPr>
          <w:rFonts w:hint="eastAsia" w:ascii="黑体" w:hAnsi="黑体" w:eastAsia="黑体" w:cs="黑体"/>
          <w:b/>
          <w:bCs/>
          <w:color w:val="000000" w:themeColor="text1"/>
          <w:sz w:val="28"/>
          <w:szCs w:val="28"/>
          <w:lang w:val="en-US" w:eastAsia="zh-CN"/>
          <w14:textFill>
            <w14:solidFill>
              <w14:schemeClr w14:val="tx1"/>
            </w14:solidFill>
          </w14:textFill>
        </w:rPr>
        <w:t>与《宜昌市化工产业项目入园指南》符合性分析</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2018年1月11日，宜昌市人民政府办公室下发了宜府办发〔2018〕6号《市人民政府办公室关于印发宜昌市化工产业项目入园指南的通知》，指南中明确“本指南将化工产业项目分为鼓励类、限制类、禁止类、淘汰类和允许类，所有入园项目须符合国家、省、市产业政策及园区定位。鼓励资源化、减量化和再利用的循环经济项目入园。”</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根据宜都市人民政府办公室《市人民政府办公室关于17个化工产业项目进入宜昌化工园宜都园区预核准的通知》，本项目建设符合《宜昌市化工产业项目入园指南》的要求。</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4</w:t>
      </w: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黑体" w:hAnsi="黑体" w:eastAsia="黑体" w:cs="黑体"/>
          <w:b/>
          <w:bCs/>
          <w:color w:val="000000" w:themeColor="text1"/>
          <w:sz w:val="28"/>
          <w:szCs w:val="28"/>
          <w:lang w:val="en-US" w:eastAsia="zh-CN"/>
          <w14:textFill>
            <w14:solidFill>
              <w14:schemeClr w14:val="tx1"/>
            </w14:solidFill>
          </w14:textFill>
        </w:rPr>
        <w:t>与长江大保护和化工产业转型升级相关要求相符性分析</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为加强长江黄金水道环境污染防控治理，2016年2月23日国家发展改革委环境保护部印发了《国家发展改革委环境保护部印发关于加强长江黄金水道环境污染防控治理的指导意见的通知》（发改环资（2016）370号），根据该文件要求“严禁在干流及主要支流岸线1公里范围内新建布局重化工园区，严控在中上游沿岸地区新建石油化工和煤化工项目；2016年底前，全面取缔十小企业；从严审批产生有毒有害污染物的新建和改扩建项目；强化环评管理，新建、改建、扩建重点行业项目实行主要水污染物排放减量置换，严控新增污染物排放”。</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2016年5月10日，湖北省省委主要领导同志召开调研座谈会，专题研究湖北长江经济带生态保护和绿色发展有关问题。为贯彻落实会议精神，省委、省政府决定在全省迅速开展湖北长江经济带沿江重化工及造纸行业企业专项集中整治行动。</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2016年5月27日</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中共湖北省委办公厅印发了《省委办公厅省政府办公厅关于迅速开展湖北长江经济带沿江重化工及造纸行业企业专项集中整治行动的通知》（鄂办文（2016）34 号），根据该文件要求“不得在沿江1公里范围内布局重化工及造纸行业项目，正在审批的，一律停止审批；己批复未开工的，一律停止建设。超过1公里不足15公里的项目，正在审批的，暂停审批；省级及省以下相关部门已批复未开工的， 暂停开工，由项目原批复单位进一步论证环保、安全、消防等相关事项后，再决定是否审批或开工”。</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针对鄂办文（2016）34号执行情况和存在的突出问题，为进一步做好湖北长江经济带沿江重化工及造纸行业企业专项整治后续有关工作，巩固现有的整治成果，持续深入推进湖北长江经济带生态保护和绿色发展，2017年1月4日湖北省推动长江经济带发展领导小组办公室印发了《省推动长江经济带发展领导小组办公室关于做好湖北长江经济带沿江重化工及造纸行业企业专项集中整治后续有关工作的通知》（湖北省推动长江经济带发展领导小组办公室文件2017年第10号）要求“沿江1公里禁止新建重化工园区，不再审批新建项目。已批复未开工的项目停工建设，在建项目经原批复单位再论证合格后，按审批权限报本级人民政府批准后继续建设。改扩建项目，对其中采用先进生产工艺或改进现有工艺流程、减少污染物排放量和排放强度、符合污染物总量控制要求且区域环境质量满足目标要求的，按程序批复后实施”。</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2018年6月，《省人民政府关于印发沿江化工企业关改搬转等湖北长江大保护十大标志性战役相关工作方案的通知》（鄂政发（2018）24号）》中要求“大力开展沿江化工企业污染专项整治。凡不符合规划区划或安全环保条件、存在环境污染风险的现有化工企业，一律实施关停或迁入合规园区、改造升级；严格产业政策，沿江1公里内禁止新建化工项目和重化工园区，沿江15公里范围内一律禁止在园区外新建化工项目”。</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val="en-US" w:eastAsia="zh-CN"/>
          <w14:textFill>
            <w14:solidFill>
              <w14:schemeClr w14:val="tx1"/>
            </w14:solidFill>
          </w14:textFill>
        </w:rPr>
        <w:t>本</w:t>
      </w:r>
      <w:r>
        <w:rPr>
          <w:rFonts w:hint="eastAsia" w:ascii="Times New Roman" w:hAnsiTheme="minorEastAsia" w:eastAsiaTheme="minorEastAsia"/>
          <w:color w:val="000000" w:themeColor="text1"/>
          <w:sz w:val="24"/>
          <w14:textFill>
            <w14:solidFill>
              <w14:schemeClr w14:val="tx1"/>
            </w14:solidFill>
          </w14:textFill>
        </w:rPr>
        <w:t>项目属于精细化工产品生产</w:t>
      </w:r>
      <w:r>
        <w:rPr>
          <w:rFonts w:hint="eastAsia" w:ascii="Times New Roman" w:hAnsiTheme="minorEastAsia" w:eastAsiaTheme="minorEastAsia"/>
          <w:color w:val="000000" w:themeColor="text1"/>
          <w:sz w:val="24"/>
          <w:lang w:val="en-US" w:eastAsia="zh-CN"/>
          <w14:textFill>
            <w14:solidFill>
              <w14:schemeClr w14:val="tx1"/>
            </w14:solidFill>
          </w14:textFill>
        </w:rPr>
        <w:t>项目</w:t>
      </w:r>
      <w:r>
        <w:rPr>
          <w:rFonts w:hint="eastAsia" w:ascii="Times New Roman" w:hAnsiTheme="minorEastAsia" w:eastAsiaTheme="minorEastAsia"/>
          <w:color w:val="000000" w:themeColor="text1"/>
          <w:sz w:val="24"/>
          <w14:textFill>
            <w14:solidFill>
              <w14:schemeClr w14:val="tx1"/>
            </w14:solidFill>
          </w14:textFill>
        </w:rPr>
        <w:t>，位于宜昌化工园宜都园区，与长江干流最近直线距离约2.2km，符合国家、省市长江大保护相关要求。</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4</w:t>
      </w: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2</w:t>
      </w:r>
      <w:r>
        <w:rPr>
          <w:rFonts w:hint="eastAsia" w:ascii="黑体" w:hAnsi="黑体" w:eastAsia="黑体" w:cs="黑体"/>
          <w:b/>
          <w:bCs/>
          <w:color w:val="000000" w:themeColor="text1"/>
          <w:sz w:val="28"/>
          <w:szCs w:val="28"/>
          <w:lang w:val="en-US" w:eastAsia="zh-CN"/>
          <w14:textFill>
            <w14:solidFill>
              <w14:schemeClr w14:val="tx1"/>
            </w14:solidFill>
          </w14:textFill>
        </w:rPr>
        <w:t>与《关于印发湖北长江经济带发展负面清单实施细则（试行）的通知》相符性分析</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根据2019年9月29日湖北省推动长江经济带发展领导小组办公室发布的《关于印发湖北长江经济带发展负面清单实施细则(试行)的通知》，第七、禁止在生态保护红线和永久基本农田范围内投资建设除国家重大战略资源勘查项目、生态保护修复和环境治理项目、重大基础设施项目、军事国防项目以及农民基本生产生活等必要的民生项目以外的项目。第八、禁止在长江及主要支流岸线边界（即水利部门河道管理范围边界）向陆域纵深1公里范围内新建、扩建化工园区和化工项目，禁止在合规园区外新建、扩建钢铁、石化、化工、焦化、建材、有色等高污染项目。十、禁止新建、扩建法律法规和相关政策明令禁止的落后产能项目（落后产能项目清单以国家和省发布的权威目录为准）。</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拟建项目位于合规宜昌化工园宜都园区内，选址距离长江最近距离约2.2km，项目所在园区不在生态保护红线范围内，项目所属行业属于国家鼓励类建设项目。因此，项目建设符合《关于印发湖北长江经济带发展负面清单实施细则（试行）的通知》相关要求。</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4</w:t>
      </w: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3</w:t>
      </w:r>
      <w:r>
        <w:rPr>
          <w:rFonts w:hint="eastAsia" w:ascii="黑体" w:hAnsi="黑体" w:eastAsia="黑体" w:cs="黑体"/>
          <w:b/>
          <w:bCs/>
          <w:color w:val="000000" w:themeColor="text1"/>
          <w:sz w:val="28"/>
          <w:szCs w:val="28"/>
          <w:lang w:val="en-US" w:eastAsia="zh-CN"/>
          <w14:textFill>
            <w14:solidFill>
              <w14:schemeClr w14:val="tx1"/>
            </w14:solidFill>
          </w14:textFill>
        </w:rPr>
        <w:t>与《宜昌化工产业专项整治及转型升级三年行动方案》相符性分析</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2017年10月11日，中共宜昌市委、宜昌市人民政府以宜府办发[2017]72号文发布了《关于化工产业专项整治及转型升级的意见》。项目属于新建项目，不属于《宜昌化工产业专项整治及转型升级三年行动方案》范畴，项目的建设符合宜府办发[2017]72号文的要求。</w:t>
      </w:r>
    </w:p>
    <w:p>
      <w:pPr>
        <w:pStyle w:val="3"/>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
          <w:bCs/>
          <w:color w:val="000000" w:themeColor="text1"/>
          <w:sz w:val="28"/>
          <w:szCs w:val="28"/>
          <w:lang w:val="en-US" w:eastAsia="zh-CN"/>
          <w14:textFill>
            <w14:solidFill>
              <w14:schemeClr w14:val="tx1"/>
            </w14:solidFill>
          </w14:textFill>
        </w:rPr>
      </w:pP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4</w:t>
      </w:r>
      <w:r>
        <w:rPr>
          <w:rFonts w:hint="default" w:ascii="Times New Roman" w:hAnsi="Times New Roman" w:cs="Times New Roman"/>
          <w:b/>
          <w:bCs/>
          <w:color w:val="000000" w:themeColor="text1"/>
          <w:sz w:val="28"/>
          <w:szCs w:val="28"/>
          <w:lang w:val="en-US" w:eastAsia="zh-CN"/>
          <w14:textFill>
            <w14:solidFill>
              <w14:schemeClr w14:val="tx1"/>
            </w14:solidFill>
          </w14:textFill>
        </w:rPr>
        <w:t>.1</w:t>
      </w:r>
      <w:r>
        <w:rPr>
          <w:rFonts w:hint="eastAsia" w:ascii="Times New Roman" w:hAnsi="Times New Roman" w:cs="Times New Roman"/>
          <w:b/>
          <w:bCs/>
          <w:color w:val="000000" w:themeColor="text1"/>
          <w:sz w:val="28"/>
          <w:szCs w:val="28"/>
          <w:lang w:val="en-US" w:eastAsia="zh-CN"/>
          <w14:textFill>
            <w14:solidFill>
              <w14:schemeClr w14:val="tx1"/>
            </w14:solidFill>
          </w14:textFill>
        </w:rPr>
        <w:t>4</w:t>
      </w:r>
      <w:r>
        <w:rPr>
          <w:rFonts w:hint="eastAsia" w:ascii="黑体" w:hAnsi="黑体" w:eastAsia="黑体" w:cs="黑体"/>
          <w:b/>
          <w:bCs/>
          <w:color w:val="000000" w:themeColor="text1"/>
          <w:sz w:val="28"/>
          <w:szCs w:val="28"/>
          <w:lang w:val="en-US" w:eastAsia="zh-CN"/>
          <w14:textFill>
            <w14:solidFill>
              <w14:schemeClr w14:val="tx1"/>
            </w14:solidFill>
          </w14:textFill>
        </w:rPr>
        <w:t>与《中华人民共和国长江保护法》的相符性分析</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中华人民共和国长江保护法》第二十六条规定：“禁止在长江干支流岸线一公里范围内新建、扩建化工园区和化工项目”。第五十一条规定：“禁止在长江流域水上运输剧毒化学品和国家规定禁止通过内河运输的其他危险化学品。长江流域县级以上地方人民政府交通运输主管部门会同本级人民政府有关部门加强对长江流域危险化学品运输的管控”。第六十六条规定：“长江流域县级以上地方人民政府应当推动钢铁、石油、化工、有色金属、建材、船舶等产业升级改造，提升技术装备水平；推动造纸、制革、电镀、印染、有色金属、农药、氮肥、焦化、原料药制造等企业实施清洁化改造。企业应当通过技术创新减少资源消耗和污染物排放。”</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项目位于宜昌化工园宜都园区，距离长江直线距离约2.2km。项目没有在长江流域水上运输危险化学品。项目通过采用先进的工艺技术，与同行业中相比，具有资源消耗少、三废产生量少等优点。综上，项目建设符合《中华人民共和国长江保护法》。</w:t>
      </w:r>
    </w:p>
    <w:p>
      <w:pPr>
        <w:numPr>
          <w:ilvl w:val="0"/>
          <w:numId w:val="0"/>
        </w:numPr>
        <w:spacing w:before="120" w:beforeLines="50"/>
        <w:jc w:val="left"/>
        <w:outlineLvl w:val="0"/>
        <w:rPr>
          <w:rFonts w:hint="default" w:ascii="黑体" w:hAnsi="黑体" w:eastAsia="黑体"/>
          <w:b/>
          <w:color w:val="000000" w:themeColor="text1"/>
          <w:sz w:val="32"/>
          <w:szCs w:val="32"/>
          <w:lang w:val="en-US" w:eastAsia="zh-CN"/>
          <w14:textFill>
            <w14:solidFill>
              <w14:schemeClr w14:val="tx1"/>
            </w14:solidFill>
          </w14:textFill>
        </w:rPr>
      </w:pPr>
      <w:bookmarkStart w:id="74" w:name="_Toc14241"/>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1.</w:t>
      </w:r>
      <w:r>
        <w:rPr>
          <w:rFonts w:hint="eastAsia" w:ascii="Times New Roman" w:hAnsi="Times New Roman" w:eastAsia="黑体" w:cs="Times New Roman"/>
          <w:b/>
          <w:color w:val="000000" w:themeColor="text1"/>
          <w:sz w:val="32"/>
          <w:szCs w:val="32"/>
          <w:lang w:val="en-US" w:eastAsia="zh-CN"/>
          <w14:textFill>
            <w14:solidFill>
              <w14:schemeClr w14:val="tx1"/>
            </w14:solidFill>
          </w14:textFill>
        </w:rPr>
        <w:t>5项目</w:t>
      </w:r>
      <w:r>
        <w:rPr>
          <w:rFonts w:hint="eastAsia" w:ascii="黑体" w:hAnsi="黑体" w:eastAsia="黑体"/>
          <w:b/>
          <w:color w:val="000000" w:themeColor="text1"/>
          <w:sz w:val="32"/>
          <w:szCs w:val="32"/>
          <w:lang w:val="en-US" w:eastAsia="zh-CN"/>
          <w14:textFill>
            <w14:solidFill>
              <w14:schemeClr w14:val="tx1"/>
            </w14:solidFill>
          </w14:textFill>
        </w:rPr>
        <w:t>关注的主要环境问题及环境影响</w:t>
      </w:r>
      <w:bookmarkEnd w:id="74"/>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1</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建设项目规划符合性及选址合理性。</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2</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建设项目所在区域和企业环境质量现状。</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3</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项目废水、废气、固体废物及噪声污染排放特征，污染源能否稳定达到排放标准的要求。</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4</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项目建成后废气、废水、噪声和固体废物对周围环境的影响范围和程度。</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5</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拟建项目建成后厂区污染物排放总量控制及变化。</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项目运营期可能出现的环境风险事故类型及其影响范围和程度。</w:t>
      </w:r>
    </w:p>
    <w:p>
      <w:pPr>
        <w:shd w:val="clear" w:color="auto" w:fill="FFFFFF"/>
        <w:overflowPunct w:val="0"/>
        <w:autoSpaceDE w:val="0"/>
        <w:autoSpaceDN w:val="0"/>
        <w:adjustRightInd w:val="0"/>
        <w:snapToGrid w:val="0"/>
        <w:spacing w:line="520" w:lineRule="exact"/>
        <w:ind w:firstLine="480" w:firstLineChars="200"/>
        <w:jc w:val="left"/>
        <w:rPr>
          <w:rFonts w:hint="eastAsia"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7</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项目采取的各项污染防治措施的合理性、可行性。</w:t>
      </w:r>
    </w:p>
    <w:p>
      <w:pPr>
        <w:shd w:val="clear" w:color="auto" w:fill="FFFFFF"/>
        <w:overflowPunct w:val="0"/>
        <w:autoSpaceDE w:val="0"/>
        <w:autoSpaceDN w:val="0"/>
        <w:adjustRightInd w:val="0"/>
        <w:snapToGrid w:val="0"/>
        <w:spacing w:line="520" w:lineRule="exact"/>
        <w:ind w:firstLine="480" w:firstLineChars="200"/>
        <w:jc w:val="left"/>
        <w:rPr>
          <w:rFonts w:ascii="Times New Roman"/>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lang w:val="en-US" w:eastAsia="zh-CN"/>
          <w14:textFill>
            <w14:solidFill>
              <w14:schemeClr w14:val="tx1"/>
            </w14:solidFill>
          </w14:textFill>
        </w:rPr>
        <w:t>8</w:t>
      </w:r>
      <w:r>
        <w:rPr>
          <w:rFonts w:hint="eastAsia" w:ascii="Times New Roman" w:hAnsiTheme="minorEastAsia" w:eastAsiaTheme="minorEastAsia"/>
          <w:color w:val="000000" w:themeColor="text1"/>
          <w:sz w:val="24"/>
          <w:lang w:eastAsia="zh-CN"/>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项目所在区域公众对项目建设的意见及要求。</w:t>
      </w:r>
    </w:p>
    <w:p>
      <w:pPr>
        <w:numPr>
          <w:ilvl w:val="0"/>
          <w:numId w:val="0"/>
        </w:numPr>
        <w:spacing w:before="120" w:beforeLines="50"/>
        <w:ind w:left="420" w:leftChars="0"/>
        <w:jc w:val="left"/>
        <w:outlineLvl w:val="0"/>
        <w:rPr>
          <w:rFonts w:ascii="黑体" w:hAnsi="黑体" w:eastAsia="黑体"/>
          <w:b/>
          <w:color w:val="000000" w:themeColor="text1"/>
          <w:sz w:val="32"/>
          <w:szCs w:val="32"/>
          <w14:textFill>
            <w14:solidFill>
              <w14:schemeClr w14:val="tx1"/>
            </w14:solidFill>
          </w14:textFill>
        </w:rPr>
      </w:pPr>
      <w:bookmarkStart w:id="75" w:name="_Toc10445"/>
      <w:bookmarkStart w:id="76" w:name="_Toc16256"/>
      <w:bookmarkStart w:id="77" w:name="_Toc25305"/>
      <w:bookmarkStart w:id="78" w:name="_Toc5214"/>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1.</w:t>
      </w:r>
      <w:r>
        <w:rPr>
          <w:rFonts w:hint="eastAsia" w:ascii="Times New Roman" w:hAnsi="Times New Roman" w:eastAsia="黑体" w:cs="Times New Roman"/>
          <w:b/>
          <w:color w:val="000000" w:themeColor="text1"/>
          <w:sz w:val="32"/>
          <w:szCs w:val="32"/>
          <w:lang w:val="en-US" w:eastAsia="zh-CN"/>
          <w14:textFill>
            <w14:solidFill>
              <w14:schemeClr w14:val="tx1"/>
            </w14:solidFill>
          </w14:textFill>
        </w:rPr>
        <w:t>6环境影响</w:t>
      </w:r>
      <w:r>
        <w:rPr>
          <w:rFonts w:hint="eastAsia" w:ascii="黑体" w:hAnsi="黑体" w:eastAsia="黑体"/>
          <w:b/>
          <w:color w:val="000000" w:themeColor="text1"/>
          <w:sz w:val="32"/>
          <w:szCs w:val="32"/>
          <w14:textFill>
            <w14:solidFill>
              <w14:schemeClr w14:val="tx1"/>
            </w14:solidFill>
          </w14:textFill>
        </w:rPr>
        <w:t>报告书主要结论</w:t>
      </w:r>
      <w:bookmarkEnd w:id="75"/>
      <w:bookmarkEnd w:id="76"/>
      <w:bookmarkEnd w:id="77"/>
      <w:bookmarkEnd w:id="78"/>
    </w:p>
    <w:p>
      <w:pPr>
        <w:autoSpaceDE w:val="0"/>
        <w:autoSpaceDN w:val="0"/>
        <w:spacing w:line="520" w:lineRule="exact"/>
        <w:ind w:firstLine="480" w:firstLineChars="200"/>
        <w:rPr>
          <w:rFonts w:ascii="宋体" w:hAnsi="宋体"/>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氟硅酸钠生产加工项目一期</w:t>
      </w:r>
      <w:r>
        <w:rPr>
          <w:rFonts w:ascii="宋体" w:hAnsi="宋体"/>
          <w:color w:val="000000" w:themeColor="text1"/>
          <w:sz w:val="24"/>
          <w:szCs w:val="24"/>
          <w14:textFill>
            <w14:solidFill>
              <w14:schemeClr w14:val="tx1"/>
            </w14:solidFill>
          </w14:textFill>
        </w:rPr>
        <w:t>的建设符合相关产业政策、环保政策以及各项规划要求，项目组成、选址、布局、规模、工艺合理可行，项目</w:t>
      </w:r>
      <w:r>
        <w:rPr>
          <w:rFonts w:hint="eastAsia" w:ascii="宋体" w:hAnsi="宋体"/>
          <w:color w:val="000000" w:themeColor="text1"/>
          <w:sz w:val="24"/>
          <w:szCs w:val="24"/>
          <w14:textFill>
            <w14:solidFill>
              <w14:schemeClr w14:val="tx1"/>
            </w14:solidFill>
          </w14:textFill>
        </w:rPr>
        <w:t>资源利用率高、能耗低、环保治理措施先进合理，</w:t>
      </w:r>
      <w:r>
        <w:rPr>
          <w:rFonts w:ascii="宋体" w:hAnsi="宋体"/>
          <w:color w:val="000000" w:themeColor="text1"/>
          <w:sz w:val="24"/>
          <w:szCs w:val="24"/>
          <w14:textFill>
            <w14:solidFill>
              <w14:schemeClr w14:val="tx1"/>
            </w14:solidFill>
          </w14:textFill>
        </w:rPr>
        <w:t>具有较好的环境和经济效益，同时有利于当地经济发展和人民生活质量的提高，得到当地公众的支持。</w:t>
      </w:r>
    </w:p>
    <w:p>
      <w:pPr>
        <w:spacing w:line="48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在运行过程中将产生一定的废气、废水、噪声及固体废物的污染，在严格落实各项环境影响减缓措施、实施环境管理与监测计划以及环境风险防范措施以后，各类污染物可达标排放，符合总量控制及清洁生产的要求。在认真落实各项环保措施、严格执行</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三同时</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制度及国家环保法律法规、加强环境管理的前提下，从环境保护角度分析，本项目的建设是可行的。</w:t>
      </w:r>
    </w:p>
    <w:p>
      <w:pPr>
        <w:pStyle w:val="2"/>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pStyle w:val="3"/>
        <w:widowControl w:val="0"/>
        <w:numPr>
          <w:ilvl w:val="0"/>
          <w:numId w:val="0"/>
        </w:numPr>
        <w:tabs>
          <w:tab w:val="clear" w:pos="2040"/>
        </w:tabs>
        <w:jc w:val="both"/>
        <w:rPr>
          <w:rFonts w:ascii="Times New Roman" w:hAnsiTheme="minorEastAsia" w:eastAsiaTheme="minorEastAsia"/>
          <w:color w:val="000000" w:themeColor="text1"/>
          <w:sz w:val="24"/>
          <w:szCs w:val="24"/>
          <w14:textFill>
            <w14:solidFill>
              <w14:schemeClr w14:val="tx1"/>
            </w14:solidFill>
          </w14:textFill>
        </w:rPr>
      </w:pPr>
    </w:p>
    <w:p>
      <w:pPr>
        <w:rPr>
          <w:rFonts w:ascii="Times New Roman" w:hAnsi="Times New Roman" w:eastAsia="仿宋_GB2312"/>
          <w:color w:val="000000" w:themeColor="text1"/>
          <w:sz w:val="44"/>
          <w:szCs w:val="44"/>
          <w14:textFill>
            <w14:solidFill>
              <w14:schemeClr w14:val="tx1"/>
            </w14:solidFill>
          </w14:textFill>
        </w:rPr>
      </w:pPr>
      <w:bookmarkStart w:id="79" w:name="_Toc20808"/>
    </w:p>
    <w:p>
      <w:pPr>
        <w:pStyle w:val="380"/>
        <w:numPr>
          <w:ilvl w:val="0"/>
          <w:numId w:val="0"/>
        </w:numPr>
        <w:adjustRightInd w:val="0"/>
        <w:snapToGrid w:val="0"/>
        <w:spacing w:after="360" w:afterLines="150"/>
        <w:ind w:left="3780" w:leftChars="0"/>
        <w:jc w:val="left"/>
        <w:outlineLvl w:val="1"/>
        <w:rPr>
          <w:rFonts w:ascii="Times New Roman" w:hAnsi="Times New Roman" w:eastAsia="仿宋_GB2312"/>
          <w:color w:val="000000" w:themeColor="text1"/>
          <w:sz w:val="44"/>
          <w:szCs w:val="44"/>
          <w14:textFill>
            <w14:solidFill>
              <w14:schemeClr w14:val="tx1"/>
            </w14:solidFill>
          </w14:textFill>
        </w:rPr>
      </w:pPr>
      <w:bookmarkStart w:id="80" w:name="_Toc28972"/>
      <w:r>
        <w:rPr>
          <w:rFonts w:hint="default" w:ascii="Times New Roman" w:hAnsi="Times New Roman" w:eastAsia="黑体" w:cs="Times New Roman"/>
          <w:b/>
          <w:color w:val="000000" w:themeColor="text1"/>
          <w:sz w:val="44"/>
          <w:szCs w:val="44"/>
          <w:lang w:val="en-US" w:eastAsia="zh-CN"/>
          <w14:textFill>
            <w14:solidFill>
              <w14:schemeClr w14:val="tx1"/>
            </w14:solidFill>
          </w14:textFill>
        </w:rPr>
        <w:t>2</w:t>
      </w:r>
      <w:r>
        <w:rPr>
          <w:rFonts w:ascii="黑体" w:hAnsi="黑体" w:eastAsia="黑体"/>
          <w:b/>
          <w:color w:val="000000" w:themeColor="text1"/>
          <w:sz w:val="44"/>
          <w:szCs w:val="44"/>
          <w14:textFill>
            <w14:solidFill>
              <w14:schemeClr w14:val="tx1"/>
            </w14:solidFill>
          </w14:textFill>
        </w:rPr>
        <w:t>总</w:t>
      </w:r>
      <w:bookmarkEnd w:id="79"/>
      <w:r>
        <w:rPr>
          <w:rFonts w:ascii="黑体" w:hAnsi="黑体" w:eastAsia="黑体"/>
          <w:b/>
          <w:color w:val="000000" w:themeColor="text1"/>
          <w:sz w:val="44"/>
          <w:szCs w:val="44"/>
          <w14:textFill>
            <w14:solidFill>
              <w14:schemeClr w14:val="tx1"/>
            </w14:solidFill>
          </w14:textFill>
        </w:rPr>
        <w:t>则</w:t>
      </w:r>
      <w:bookmarkEnd w:id="80"/>
      <w:bookmarkStart w:id="81" w:name="_Toc9364"/>
      <w:bookmarkStart w:id="82" w:name="_Toc325552399"/>
      <w:bookmarkStart w:id="83" w:name="_Toc16737"/>
      <w:bookmarkStart w:id="84" w:name="_Toc267923621"/>
      <w:bookmarkStart w:id="85" w:name="_Toc27974"/>
      <w:bookmarkStart w:id="86" w:name="_Toc29720"/>
      <w:bookmarkStart w:id="87" w:name="_Toc267923620"/>
      <w:bookmarkStart w:id="88" w:name="_Toc479492622"/>
      <w:bookmarkStart w:id="89" w:name="_Toc8655"/>
      <w:bookmarkStart w:id="90" w:name="_Toc32400"/>
      <w:bookmarkStart w:id="91" w:name="_Toc112988321"/>
      <w:bookmarkStart w:id="92" w:name="_Toc41373147"/>
      <w:bookmarkStart w:id="93" w:name="_Toc54487502"/>
      <w:bookmarkStart w:id="94" w:name="_Toc113179396"/>
      <w:bookmarkStart w:id="95" w:name="_Toc24934"/>
      <w:bookmarkStart w:id="96" w:name="_Toc325552398"/>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97" w:name="_Toc26597"/>
      <w:r>
        <w:rPr>
          <w:rFonts w:hint="eastAsia" w:ascii="Times New Roman" w:hAnsi="Times New Roman" w:eastAsia="黑体"/>
          <w:b/>
          <w:color w:val="000000" w:themeColor="text1"/>
          <w:sz w:val="32"/>
          <w:szCs w:val="32"/>
          <w:lang w:val="en-US" w:eastAsia="zh-CN"/>
          <w14:textFill>
            <w14:solidFill>
              <w14:schemeClr w14:val="tx1"/>
            </w14:solidFill>
          </w14:textFill>
        </w:rPr>
        <w:t>2</w:t>
      </w:r>
      <w:r>
        <w:rPr>
          <w:rFonts w:ascii="Times New Roman" w:hAnsi="Times New Roman" w:eastAsia="黑体"/>
          <w:b/>
          <w:color w:val="000000" w:themeColor="text1"/>
          <w:sz w:val="32"/>
          <w:szCs w:val="32"/>
          <w14:textFill>
            <w14:solidFill>
              <w14:schemeClr w14:val="tx1"/>
            </w14:solidFill>
          </w14:textFill>
        </w:rPr>
        <w:t>.1</w:t>
      </w:r>
      <w:r>
        <w:rPr>
          <w:rFonts w:ascii="黑体" w:hAnsi="黑体" w:eastAsia="黑体"/>
          <w:b/>
          <w:color w:val="000000" w:themeColor="text1"/>
          <w:sz w:val="32"/>
          <w:szCs w:val="32"/>
          <w14:textFill>
            <w14:solidFill>
              <w14:schemeClr w14:val="tx1"/>
            </w14:solidFill>
          </w14:textFill>
        </w:rPr>
        <w:t>评价目的与原则</w:t>
      </w:r>
      <w:bookmarkEnd w:id="81"/>
      <w:bookmarkEnd w:id="82"/>
      <w:bookmarkEnd w:id="83"/>
      <w:bookmarkEnd w:id="84"/>
      <w:bookmarkEnd w:id="85"/>
      <w:bookmarkEnd w:id="86"/>
      <w:bookmarkEnd w:id="97"/>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98" w:name="_Toc22658"/>
      <w:r>
        <w:rPr>
          <w:rFonts w:hint="default" w:ascii="Times New Roman" w:hAnsi="Times New Roman" w:eastAsia="黑体" w:cs="Times New Roman"/>
          <w:b/>
          <w:color w:val="000000" w:themeColor="text1"/>
          <w:szCs w:val="28"/>
          <w:lang w:val="en-US" w:eastAsia="zh-CN"/>
          <w14:textFill>
            <w14:solidFill>
              <w14:schemeClr w14:val="tx1"/>
            </w14:solidFill>
          </w14:textFill>
        </w:rPr>
        <w:t>2.1.1</w:t>
      </w:r>
      <w:r>
        <w:rPr>
          <w:rFonts w:ascii="黑体" w:hAnsi="黑体" w:eastAsia="黑体" w:cs="Times New Roman"/>
          <w:b/>
          <w:color w:val="000000" w:themeColor="text1"/>
          <w:szCs w:val="28"/>
          <w14:textFill>
            <w14:solidFill>
              <w14:schemeClr w14:val="tx1"/>
            </w14:solidFill>
          </w14:textFill>
        </w:rPr>
        <w:t>评价目的</w:t>
      </w:r>
      <w:bookmarkEnd w:id="98"/>
    </w:p>
    <w:p>
      <w:pPr>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依据国家和地方颁布的有关环保法规和政策，在环境影响评价工作中贯彻针对性、政策性、科学性和公正性的原则，突出</w:t>
      </w:r>
      <w:r>
        <w:rPr>
          <w:rFonts w:ascii="Times New Roman" w:hAnsi="Times New Roman" w:eastAsiaTheme="minorEastAsia"/>
          <w:color w:val="000000" w:themeColor="text1"/>
          <w:sz w:val="24"/>
          <w14:textFill>
            <w14:solidFill>
              <w14:schemeClr w14:val="tx1"/>
            </w14:solidFill>
          </w14:textFill>
        </w:rPr>
        <w:t xml:space="preserve"> </w:t>
      </w:r>
      <w:r>
        <w:rPr>
          <w:rFonts w:hint="eastAsia" w:ascii="Times New Roman" w:hAnsi="Times New Roman" w:eastAsiaTheme="minorEastAsia"/>
          <w:color w:val="000000" w:themeColor="text1"/>
          <w:sz w:val="24"/>
          <w:lang w:eastAsia="zh-CN"/>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污染物排放总量控制</w:t>
      </w:r>
      <w:r>
        <w:rPr>
          <w:rFonts w:hint="eastAsia" w:ascii="Times New Roman" w:hAnsi="Times New Roman" w:eastAsiaTheme="minorEastAsia"/>
          <w:color w:val="000000" w:themeColor="text1"/>
          <w:sz w:val="24"/>
          <w:lang w:eastAsia="zh-CN"/>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imes New Roman" w:eastAsiaTheme="minorEastAsia"/>
          <w:color w:val="000000" w:themeColor="text1"/>
          <w:sz w:val="24"/>
          <w:lang w:eastAsia="zh-CN"/>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达标排放</w:t>
      </w:r>
      <w:r>
        <w:rPr>
          <w:rFonts w:hint="eastAsia" w:ascii="Times New Roman" w:hAnsi="Times New Roman" w:eastAsiaTheme="minorEastAsia"/>
          <w:color w:val="000000" w:themeColor="text1"/>
          <w:sz w:val="24"/>
          <w:lang w:eastAsia="zh-CN"/>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的评述。针对项目的污染特征，预测和分析项目可能存在的环境影响，提出</w:t>
      </w:r>
      <w:r>
        <w:rPr>
          <w:rFonts w:hint="eastAsia" w:ascii="Times New Roman" w:hAnsiTheme="minorEastAsia" w:eastAsiaTheme="minorEastAsia"/>
          <w:color w:val="000000" w:themeColor="text1"/>
          <w:sz w:val="24"/>
          <w14:textFill>
            <w14:solidFill>
              <w14:schemeClr w14:val="tx1"/>
            </w14:solidFill>
          </w14:textFill>
        </w:rPr>
        <w:t>对应的</w:t>
      </w:r>
      <w:r>
        <w:rPr>
          <w:rFonts w:ascii="Times New Roman" w:hAnsiTheme="minorEastAsia" w:eastAsiaTheme="minorEastAsia"/>
          <w:color w:val="000000" w:themeColor="text1"/>
          <w:sz w:val="24"/>
          <w14:textFill>
            <w14:solidFill>
              <w14:schemeClr w14:val="tx1"/>
            </w14:solidFill>
          </w14:textFill>
        </w:rPr>
        <w:t>污染防治对策，降低环境风险，为本项目的设计运行、环境监督及管理提供科学依据。通过本次评价，实现以下基本目标：</w:t>
      </w:r>
    </w:p>
    <w:p>
      <w:pPr>
        <w:adjustRightInd w:val="0"/>
        <w:snapToGrid w:val="0"/>
        <w:spacing w:line="520" w:lineRule="exact"/>
        <w:ind w:firstLine="480" w:firstLineChars="200"/>
        <w:jc w:val="lef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（1）通过现状调查与现场观测，掌握项目所在区域的环境质量现状并分析主要环境问题。</w:t>
      </w:r>
    </w:p>
    <w:p>
      <w:pPr>
        <w:adjustRightInd w:val="0"/>
        <w:snapToGrid w:val="0"/>
        <w:spacing w:line="520" w:lineRule="exact"/>
        <w:ind w:firstLine="480" w:firstLineChars="200"/>
        <w:jc w:val="lef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（2）通过工程分析</w:t>
      </w:r>
      <w:r>
        <w:rPr>
          <w:rFonts w:ascii="Times New Roman"/>
          <w:color w:val="000000" w:themeColor="text1"/>
          <w:sz w:val="24"/>
          <w:szCs w:val="24"/>
          <w14:textFill>
            <w14:solidFill>
              <w14:schemeClr w14:val="tx1"/>
            </w14:solidFill>
          </w14:textFill>
        </w:rPr>
        <w:t>，明确项目产生的主要环境影响因素，筛选主要环境影响因子，重点关注特征污染因子。通过类比调查、物料衡算，核算污染源源强，预测评价项目建设对周围环境的影响程度与范围。</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color w:val="000000" w:themeColor="text1"/>
          <w:sz w:val="24"/>
          <w:szCs w:val="24"/>
          <w14:textFill>
            <w14:solidFill>
              <w14:schemeClr w14:val="tx1"/>
            </w14:solidFill>
          </w14:textFill>
        </w:rPr>
        <w:t>（</w:t>
      </w:r>
      <w:r>
        <w:rPr>
          <w:rFonts w:hint="eastAsia" w:ascii="Times New Roman"/>
          <w:color w:val="000000" w:themeColor="text1"/>
          <w:sz w:val="24"/>
          <w:szCs w:val="24"/>
          <w14:textFill>
            <w14:solidFill>
              <w14:schemeClr w14:val="tx1"/>
            </w14:solidFill>
          </w14:textFill>
        </w:rPr>
        <w:t>3</w:t>
      </w:r>
      <w:r>
        <w:rPr>
          <w:rFonts w:ascii="Times New Roman"/>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通过</w:t>
      </w:r>
      <w:r>
        <w:rPr>
          <w:rFonts w:hint="eastAsia" w:ascii="Times New Roman" w:hAnsiTheme="minorEastAsia" w:eastAsiaTheme="minorEastAsia"/>
          <w:color w:val="000000" w:themeColor="text1"/>
          <w:sz w:val="24"/>
          <w14:textFill>
            <w14:solidFill>
              <w14:schemeClr w14:val="tx1"/>
            </w14:solidFill>
          </w14:textFill>
        </w:rPr>
        <w:t>预测及</w:t>
      </w:r>
      <w:r>
        <w:rPr>
          <w:rFonts w:ascii="Times New Roman" w:hAnsiTheme="minorEastAsia" w:eastAsiaTheme="minorEastAsia"/>
          <w:color w:val="000000" w:themeColor="text1"/>
          <w:sz w:val="24"/>
          <w14:textFill>
            <w14:solidFill>
              <w14:schemeClr w14:val="tx1"/>
            </w14:solidFill>
          </w14:textFill>
        </w:rPr>
        <w:t>类比分析，明确项目可能产生的环境风险，并评价环境风险可接受程度，论证风险防范措施的有效性和可行性。</w:t>
      </w:r>
    </w:p>
    <w:p>
      <w:pPr>
        <w:adjustRightInd w:val="0"/>
        <w:snapToGrid w:val="0"/>
        <w:spacing w:line="520" w:lineRule="exact"/>
        <w:ind w:firstLine="480" w:firstLineChars="200"/>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（4）</w:t>
      </w:r>
      <w:r>
        <w:rPr>
          <w:rFonts w:ascii="Times New Roman"/>
          <w:color w:val="000000" w:themeColor="text1"/>
          <w:sz w:val="24"/>
          <w:szCs w:val="24"/>
          <w14:textFill>
            <w14:solidFill>
              <w14:schemeClr w14:val="tx1"/>
            </w14:solidFill>
          </w14:textFill>
        </w:rPr>
        <w:t>根据项目的排污特点，通过类比调查及分析，论证污染防治措施的可行性，进行环境经济损益分析。</w:t>
      </w:r>
    </w:p>
    <w:p>
      <w:pPr>
        <w:adjustRightInd w:val="0"/>
        <w:snapToGrid w:val="0"/>
        <w:spacing w:line="520" w:lineRule="exact"/>
        <w:ind w:firstLine="480" w:firstLineChars="20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（5）</w:t>
      </w:r>
      <w:r>
        <w:rPr>
          <w:rFonts w:ascii="Times New Roman" w:hAnsiTheme="minorEastAsia" w:eastAsiaTheme="minorEastAsia"/>
          <w:color w:val="000000" w:themeColor="text1"/>
          <w:sz w:val="24"/>
          <w14:textFill>
            <w14:solidFill>
              <w14:schemeClr w14:val="tx1"/>
            </w14:solidFill>
          </w14:textFill>
        </w:rPr>
        <w:t>根据评价结论，提出相应的污染防治措施建议，避免和减缓项目建设及运营可能产生的不利环境影响，实现环境、社会和经济的协调发展。</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99" w:name="_Toc4235"/>
      <w:r>
        <w:rPr>
          <w:rFonts w:hint="default" w:ascii="Times New Roman" w:hAnsi="Times New Roman" w:eastAsia="黑体" w:cs="Times New Roman"/>
          <w:b/>
          <w:color w:val="000000" w:themeColor="text1"/>
          <w:szCs w:val="28"/>
          <w:lang w:val="en-US" w:eastAsia="zh-CN"/>
          <w14:textFill>
            <w14:solidFill>
              <w14:schemeClr w14:val="tx1"/>
            </w14:solidFill>
          </w14:textFill>
        </w:rPr>
        <w:t>2.1.2</w:t>
      </w:r>
      <w:r>
        <w:rPr>
          <w:rFonts w:ascii="黑体" w:hAnsi="黑体" w:eastAsia="黑体" w:cs="Times New Roman"/>
          <w:b/>
          <w:color w:val="000000" w:themeColor="text1"/>
          <w:szCs w:val="28"/>
          <w14:textFill>
            <w14:solidFill>
              <w14:schemeClr w14:val="tx1"/>
            </w14:solidFill>
          </w14:textFill>
        </w:rPr>
        <w:t>评价原则</w:t>
      </w:r>
      <w:bookmarkEnd w:id="99"/>
    </w:p>
    <w:p>
      <w:pPr>
        <w:pStyle w:val="262"/>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项目遵循以下原则开展环境影响评价工作：</w:t>
      </w:r>
    </w:p>
    <w:p>
      <w:pPr>
        <w:pStyle w:val="262"/>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bCs w:val="0"/>
          <w:color w:val="000000" w:themeColor="text1"/>
          <w:sz w:val="24"/>
          <w:szCs w:val="24"/>
          <w14:textFill>
            <w14:solidFill>
              <w14:schemeClr w14:val="tx1"/>
            </w14:solidFill>
          </w14:textFill>
        </w:rPr>
        <w:t>（1）</w:t>
      </w:r>
      <w:r>
        <w:rPr>
          <w:rFonts w:ascii="Times New Roman" w:hAnsiTheme="minorEastAsia" w:eastAsiaTheme="minorEastAsia"/>
          <w:bCs w:val="0"/>
          <w:color w:val="000000" w:themeColor="text1"/>
          <w:sz w:val="24"/>
          <w:szCs w:val="24"/>
          <w14:textFill>
            <w14:solidFill>
              <w14:schemeClr w14:val="tx1"/>
            </w14:solidFill>
          </w14:textFill>
        </w:rPr>
        <w:t>依法评价：</w:t>
      </w:r>
      <w:r>
        <w:rPr>
          <w:rFonts w:hint="eastAsia" w:ascii="Times New Roman" w:hAnsiTheme="minorEastAsia" w:eastAsiaTheme="minorEastAsia"/>
          <w:color w:val="000000" w:themeColor="text1"/>
          <w:sz w:val="24"/>
          <w:szCs w:val="24"/>
          <w:lang w:val="en-US" w:eastAsia="zh-CN"/>
          <w14:textFill>
            <w14:solidFill>
              <w14:schemeClr w14:val="tx1"/>
            </w14:solidFill>
          </w14:textFill>
        </w:rPr>
        <w:t>贯彻执行我国环境保护相关法律法规、标准、政策和规划等，优化项目建设、服务环境管理</w:t>
      </w:r>
      <w:r>
        <w:rPr>
          <w:rFonts w:ascii="Times New Roman" w:hAnsiTheme="minorEastAsia" w:eastAsiaTheme="minorEastAsia"/>
          <w:color w:val="000000" w:themeColor="text1"/>
          <w:sz w:val="24"/>
          <w:szCs w:val="24"/>
          <w14:textFill>
            <w14:solidFill>
              <w14:schemeClr w14:val="tx1"/>
            </w14:solidFill>
          </w14:textFill>
        </w:rPr>
        <w:t>。</w:t>
      </w:r>
    </w:p>
    <w:p>
      <w:pPr>
        <w:pStyle w:val="262"/>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bCs w:val="0"/>
          <w:color w:val="000000" w:themeColor="text1"/>
          <w:sz w:val="24"/>
          <w:szCs w:val="24"/>
          <w14:textFill>
            <w14:solidFill>
              <w14:schemeClr w14:val="tx1"/>
            </w14:solidFill>
          </w14:textFill>
        </w:rPr>
        <w:t>（2）</w:t>
      </w:r>
      <w:r>
        <w:rPr>
          <w:rFonts w:hint="eastAsia" w:ascii="Times New Roman" w:hAnsiTheme="minorEastAsia" w:eastAsiaTheme="minorEastAsia"/>
          <w:bCs w:val="0"/>
          <w:color w:val="000000" w:themeColor="text1"/>
          <w:sz w:val="24"/>
          <w:szCs w:val="24"/>
          <w:lang w:val="en-US" w:eastAsia="zh-CN"/>
          <w14:textFill>
            <w14:solidFill>
              <w14:schemeClr w14:val="tx1"/>
            </w14:solidFill>
          </w14:textFill>
        </w:rPr>
        <w:t>科学评价</w:t>
      </w:r>
      <w:r>
        <w:rPr>
          <w:rFonts w:ascii="Times New Roman" w:hAnsiTheme="minorEastAsia" w:eastAsiaTheme="minorEastAsia"/>
          <w:bCs w:val="0"/>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lang w:val="en-US" w:eastAsia="zh-CN"/>
          <w14:textFill>
            <w14:solidFill>
              <w14:schemeClr w14:val="tx1"/>
            </w14:solidFill>
          </w14:textFill>
        </w:rPr>
        <w:t>规范环境影响评价方法，科学分析项目建设对环境质量的影响</w:t>
      </w:r>
      <w:r>
        <w:rPr>
          <w:rFonts w:ascii="Times New Roman" w:hAnsiTheme="minorEastAsia" w:eastAsiaTheme="minorEastAsia"/>
          <w:color w:val="000000" w:themeColor="text1"/>
          <w:sz w:val="24"/>
          <w:szCs w:val="24"/>
          <w14:textFill>
            <w14:solidFill>
              <w14:schemeClr w14:val="tx1"/>
            </w14:solidFill>
          </w14:textFill>
        </w:rPr>
        <w:t>。</w:t>
      </w:r>
    </w:p>
    <w:p>
      <w:pPr>
        <w:pStyle w:val="262"/>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bCs w:val="0"/>
          <w:color w:val="000000" w:themeColor="text1"/>
          <w:sz w:val="24"/>
          <w:szCs w:val="24"/>
          <w14:textFill>
            <w14:solidFill>
              <w14:schemeClr w14:val="tx1"/>
            </w14:solidFill>
          </w14:textFill>
        </w:rPr>
        <w:t>（3）</w:t>
      </w:r>
      <w:r>
        <w:rPr>
          <w:rFonts w:hint="eastAsia" w:ascii="Times New Roman" w:hAnsiTheme="minorEastAsia" w:eastAsiaTheme="minorEastAsia"/>
          <w:bCs w:val="0"/>
          <w:color w:val="000000" w:themeColor="text1"/>
          <w:sz w:val="24"/>
          <w:szCs w:val="24"/>
          <w:lang w:val="en-US" w:eastAsia="zh-CN"/>
          <w14:textFill>
            <w14:solidFill>
              <w14:schemeClr w14:val="tx1"/>
            </w14:solidFill>
          </w14:textFill>
        </w:rPr>
        <w:t>突出重点</w:t>
      </w:r>
      <w:r>
        <w:rPr>
          <w:rFonts w:ascii="Times New Roman" w:hAnsiTheme="minorEastAsia" w:eastAsiaTheme="minorEastAsia"/>
          <w:bCs w:val="0"/>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根据建设项目的工程内容及其</w:t>
      </w:r>
      <w:r>
        <w:rPr>
          <w:rFonts w:hint="eastAsia" w:ascii="Times New Roman" w:hAnsiTheme="minorEastAsia" w:eastAsiaTheme="minorEastAsia"/>
          <w:color w:val="000000" w:themeColor="text1"/>
          <w:sz w:val="24"/>
          <w:szCs w:val="24"/>
          <w:lang w:val="en-US" w:eastAsia="zh-CN"/>
          <w14:textFill>
            <w14:solidFill>
              <w14:schemeClr w14:val="tx1"/>
            </w14:solidFill>
          </w14:textFill>
        </w:rPr>
        <w:t>特点</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lang w:val="en-US" w:eastAsia="zh-CN"/>
          <w14:textFill>
            <w14:solidFill>
              <w14:schemeClr w14:val="tx1"/>
            </w14:solidFill>
          </w14:textFill>
        </w:rPr>
        <w:t>明确与环境要素间的作用效应关系，根据规划环境影响评价结论和审查意见，充分利用符合时效的数据资料及成果，对建设项目主要环境影响予以重点分析和评价</w:t>
      </w:r>
      <w:r>
        <w:rPr>
          <w:rFonts w:ascii="Times New Roman" w:hAnsiTheme="minorEastAsia" w:eastAsiaTheme="minorEastAsia"/>
          <w:color w:val="000000" w:themeColor="text1"/>
          <w:sz w:val="24"/>
          <w:szCs w:val="24"/>
          <w14:textFill>
            <w14:solidFill>
              <w14:schemeClr w14:val="tx1"/>
            </w14:solidFill>
          </w14:textFill>
        </w:rPr>
        <w:t>。</w:t>
      </w:r>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00" w:name="_Toc16948"/>
      <w:bookmarkStart w:id="101" w:name="_Toc27067"/>
      <w:r>
        <w:rPr>
          <w:rFonts w:hint="eastAsia" w:ascii="Times New Roman" w:hAnsi="Times New Roman" w:eastAsia="黑体"/>
          <w:b/>
          <w:color w:val="000000" w:themeColor="text1"/>
          <w:sz w:val="32"/>
          <w:szCs w:val="32"/>
          <w:lang w:val="en-US" w:eastAsia="zh-CN"/>
          <w14:textFill>
            <w14:solidFill>
              <w14:schemeClr w14:val="tx1"/>
            </w14:solidFill>
          </w14:textFill>
        </w:rPr>
        <w:t>2</w:t>
      </w:r>
      <w:r>
        <w:rPr>
          <w:rFonts w:ascii="Times New Roman" w:hAnsi="Times New Roman" w:eastAsia="黑体"/>
          <w:b/>
          <w:color w:val="000000" w:themeColor="text1"/>
          <w:sz w:val="32"/>
          <w:szCs w:val="32"/>
          <w14:textFill>
            <w14:solidFill>
              <w14:schemeClr w14:val="tx1"/>
            </w14:solidFill>
          </w14:textFill>
        </w:rPr>
        <w:t>.2</w:t>
      </w:r>
      <w:r>
        <w:rPr>
          <w:rFonts w:ascii="黑体" w:hAnsi="黑体" w:eastAsia="黑体"/>
          <w:b/>
          <w:color w:val="000000" w:themeColor="text1"/>
          <w:sz w:val="32"/>
          <w:szCs w:val="32"/>
          <w14:textFill>
            <w14:solidFill>
              <w14:schemeClr w14:val="tx1"/>
            </w14:solidFill>
          </w14:textFill>
        </w:rPr>
        <w:t>编制依据</w:t>
      </w:r>
      <w:bookmarkEnd w:id="87"/>
      <w:bookmarkEnd w:id="88"/>
      <w:bookmarkEnd w:id="89"/>
      <w:bookmarkEnd w:id="90"/>
      <w:bookmarkEnd w:id="91"/>
      <w:bookmarkEnd w:id="92"/>
      <w:bookmarkEnd w:id="93"/>
      <w:bookmarkEnd w:id="94"/>
      <w:bookmarkEnd w:id="95"/>
      <w:bookmarkEnd w:id="96"/>
      <w:bookmarkEnd w:id="100"/>
      <w:bookmarkEnd w:id="101"/>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bookmarkStart w:id="102" w:name="_Toc10183"/>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2.2.1</w:t>
      </w:r>
      <w:r>
        <w:rPr>
          <w:rFonts w:ascii="黑体" w:hAnsi="黑体" w:eastAsia="黑体" w:cs="Times New Roman"/>
          <w:b/>
          <w:color w:val="000000" w:themeColor="text1"/>
          <w:szCs w:val="28"/>
          <w14:textFill>
            <w14:solidFill>
              <w14:schemeClr w14:val="tx1"/>
            </w14:solidFill>
          </w14:textFill>
        </w:rPr>
        <w:t>政策法规</w:t>
      </w:r>
      <w:bookmarkEnd w:id="102"/>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（1）《中华人民共和国环境保护法》（2015 年1 月1 日起施行）；</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（2）《中华人民共和国环境影响评价法》（2018 年12 月29 日修正）；</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（3）《中华人民共和国水污染防治法》（2017 年6 月27 日第二次修正）；</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（4）《中华人民共和国大气污染防治法》（2018 年10 月26 日第二次修正）</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（5）《中华人民共和国环境噪声污染防治法》（2018 年12 月29 日修正）</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（6）《中华人民共和国固体废物污染环境防治法》（2020年9月1日起施行）</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（7）《中华人民共和国土壤污染防治法》（2019 年1 月1 日起施行）</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（8）《中华人民共和国清洁生产促进法》（2012 年7 月1 日起施行）</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（9）《中华人民共和国循环经济促进法》（2018 年10 月26 日修正）</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（10）《中华人民共和国节约能源法》（2018 年10 月26 日第二次修正）</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（11）《中华人民共和国土地管理法》（2004 年8 月28 日第二次修正）</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（12）《中华人民共和国水土保持法》（2011 年3 月1 日起施行）</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（13）《中华人民共和国突发事件应对法》（2007 年11 月1 日起施行）</w:t>
      </w:r>
      <w:r>
        <w:rPr>
          <w:rFonts w:hint="eastAsia" w:ascii="Times New Roman" w:hAnsiTheme="minorEastAsia" w:eastAsiaTheme="minorEastAsia"/>
          <w:color w:val="000000" w:themeColor="text1"/>
          <w:sz w:val="24"/>
          <w:lang w:eastAsia="zh-CN"/>
          <w14:textFill>
            <w14:solidFill>
              <w14:schemeClr w14:val="tx1"/>
            </w14:solidFill>
          </w14:textFill>
        </w:rPr>
        <w:t>。</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03" w:name="_Toc11689"/>
      <w:r>
        <w:rPr>
          <w:rFonts w:hint="default" w:ascii="Times New Roman" w:hAnsi="Times New Roman" w:eastAsia="黑体" w:cs="Times New Roman"/>
          <w:b/>
          <w:color w:val="000000" w:themeColor="text1"/>
          <w:szCs w:val="28"/>
          <w:lang w:val="en-US" w:eastAsia="zh-CN"/>
          <w14:textFill>
            <w14:solidFill>
              <w14:schemeClr w14:val="tx1"/>
            </w14:solidFill>
          </w14:textFill>
        </w:rPr>
        <w:t>2.2.2</w:t>
      </w:r>
      <w:r>
        <w:rPr>
          <w:rFonts w:ascii="黑体" w:hAnsi="黑体" w:eastAsia="黑体" w:cs="Times New Roman"/>
          <w:b/>
          <w:color w:val="000000" w:themeColor="text1"/>
          <w:szCs w:val="28"/>
          <w14:textFill>
            <w14:solidFill>
              <w14:schemeClr w14:val="tx1"/>
            </w14:solidFill>
          </w14:textFill>
        </w:rPr>
        <w:t>地方性法规及相关文件</w:t>
      </w:r>
      <w:bookmarkEnd w:id="103"/>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（1）中华人民共和国国务院令第682 号《建设项目环境保护管理条例》；</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（2）生态环境部《建设项目环境影响评价分类管理名录（2021年版）》；</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（3）国家发展和改革委员会《产业结构调整目录（2019 年本）》；</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（4）《限制用地项目目录（2012 年本）》和《禁止用地项目目录（2012 年本）》；</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（5）《</w:t>
      </w:r>
      <w:r>
        <w:rPr>
          <w:rFonts w:ascii="Times New Roman" w:hAnsi="Times New Roman" w:eastAsiaTheme="minorEastAsia"/>
          <w:color w:val="000000" w:themeColor="text1"/>
          <w:sz w:val="24"/>
          <w14:textFill>
            <w14:solidFill>
              <w14:schemeClr w14:val="tx1"/>
            </w14:solidFill>
          </w14:textFill>
        </w:rPr>
        <w:t>国家危险废物名录（2021年版）</w:t>
      </w:r>
      <w:r>
        <w:rPr>
          <w:rFonts w:hint="eastAsia" w:ascii="Times New Roman" w:hAnsi="Times New Roman" w:eastAsiaTheme="minorEastAsia"/>
          <w:color w:val="000000" w:themeColor="text1"/>
          <w:sz w:val="24"/>
          <w14:textFill>
            <w14:solidFill>
              <w14:schemeClr w14:val="tx1"/>
            </w14:solidFill>
          </w14:textFill>
        </w:rPr>
        <w:t>》（部令第15号）；</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（6）《国务院关于印发大气污染防治行动计划的通知》（国发〔2013〕37 号）；</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（7）</w:t>
      </w:r>
      <w:r>
        <w:rPr>
          <w:color w:val="000000" w:themeColor="text1"/>
          <w:spacing w:val="-2"/>
          <w:sz w:val="24"/>
          <w14:textFill>
            <w14:solidFill>
              <w14:schemeClr w14:val="tx1"/>
            </w14:solidFill>
          </w14:textFill>
        </w:rPr>
        <w:t>《国务院关于印发水污染防治行动计划的通知》</w:t>
      </w:r>
      <w:r>
        <w:rPr>
          <w:color w:val="000000" w:themeColor="text1"/>
          <w:sz w:val="24"/>
          <w14:textFill>
            <w14:solidFill>
              <w14:schemeClr w14:val="tx1"/>
            </w14:solidFill>
          </w14:textFill>
        </w:rPr>
        <w:t>（</w:t>
      </w:r>
      <w:r>
        <w:rPr>
          <w:color w:val="000000" w:themeColor="text1"/>
          <w:spacing w:val="-7"/>
          <w:sz w:val="24"/>
          <w14:textFill>
            <w14:solidFill>
              <w14:schemeClr w14:val="tx1"/>
            </w14:solidFill>
          </w14:textFill>
        </w:rPr>
        <w:t>国发〔</w:t>
      </w:r>
      <w:r>
        <w:rPr>
          <w:rFonts w:ascii="Times New Roman" w:eastAsia="Times New Roman"/>
          <w:color w:val="000000" w:themeColor="text1"/>
          <w:sz w:val="24"/>
          <w14:textFill>
            <w14:solidFill>
              <w14:schemeClr w14:val="tx1"/>
            </w14:solidFill>
          </w14:textFill>
        </w:rPr>
        <w:t>2015</w:t>
      </w:r>
      <w:r>
        <w:rPr>
          <w:color w:val="000000" w:themeColor="text1"/>
          <w:spacing w:val="-20"/>
          <w:sz w:val="24"/>
          <w14:textFill>
            <w14:solidFill>
              <w14:schemeClr w14:val="tx1"/>
            </w14:solidFill>
          </w14:textFill>
        </w:rPr>
        <w:t>〕</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17</w:t>
      </w:r>
      <w:r>
        <w:rPr>
          <w:rFonts w:ascii="Times New Roman" w:eastAsia="Times New Roman"/>
          <w:color w:val="000000" w:themeColor="text1"/>
          <w:spacing w:val="2"/>
          <w:sz w:val="24"/>
          <w14:textFill>
            <w14:solidFill>
              <w14:schemeClr w14:val="tx1"/>
            </w14:solidFill>
          </w14:textFill>
        </w:rPr>
        <w:t xml:space="preserve"> </w:t>
      </w:r>
      <w:r>
        <w:rPr>
          <w:color w:val="000000" w:themeColor="text1"/>
          <w:sz w:val="24"/>
          <w14:textFill>
            <w14:solidFill>
              <w14:schemeClr w14:val="tx1"/>
            </w14:solidFill>
          </w14:textFill>
        </w:rPr>
        <w:t>号</w:t>
      </w:r>
      <w:r>
        <w:rPr>
          <w:color w:val="000000" w:themeColor="text1"/>
          <w:spacing w:val="-10"/>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（8）</w:t>
      </w:r>
      <w:r>
        <w:rPr>
          <w:color w:val="000000" w:themeColor="text1"/>
          <w:spacing w:val="-3"/>
          <w:sz w:val="24"/>
          <w14:textFill>
            <w14:solidFill>
              <w14:schemeClr w14:val="tx1"/>
            </w14:solidFill>
          </w14:textFill>
        </w:rPr>
        <w:t>《国务院关于印发土壤污染防治行动计划的通知》</w:t>
      </w:r>
      <w:r>
        <w:rPr>
          <w:color w:val="000000" w:themeColor="text1"/>
          <w:sz w:val="24"/>
          <w14:textFill>
            <w14:solidFill>
              <w14:schemeClr w14:val="tx1"/>
            </w14:solidFill>
          </w14:textFill>
        </w:rPr>
        <w:t>（</w:t>
      </w:r>
      <w:r>
        <w:rPr>
          <w:color w:val="000000" w:themeColor="text1"/>
          <w:spacing w:val="-8"/>
          <w:sz w:val="24"/>
          <w14:textFill>
            <w14:solidFill>
              <w14:schemeClr w14:val="tx1"/>
            </w14:solidFill>
          </w14:textFill>
        </w:rPr>
        <w:t>国发〔</w:t>
      </w:r>
      <w:r>
        <w:rPr>
          <w:rFonts w:ascii="Times New Roman" w:eastAsia="Times New Roman"/>
          <w:color w:val="000000" w:themeColor="text1"/>
          <w:sz w:val="24"/>
          <w14:textFill>
            <w14:solidFill>
              <w14:schemeClr w14:val="tx1"/>
            </w14:solidFill>
          </w14:textFill>
        </w:rPr>
        <w:t>2016</w:t>
      </w:r>
      <w:r>
        <w:rPr>
          <w:color w:val="000000" w:themeColor="text1"/>
          <w:spacing w:val="-24"/>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 xml:space="preserve">31 </w:t>
      </w:r>
      <w:r>
        <w:rPr>
          <w:color w:val="000000" w:themeColor="text1"/>
          <w:sz w:val="24"/>
          <w14:textFill>
            <w14:solidFill>
              <w14:schemeClr w14:val="tx1"/>
            </w14:solidFill>
          </w14:textFill>
        </w:rPr>
        <w:t>号</w:t>
      </w:r>
      <w:r>
        <w:rPr>
          <w:color w:val="000000" w:themeColor="text1"/>
          <w:spacing w:val="-12"/>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（9）《湖北省危险化学品安全管理办法》，2013 年11 月1 日起施行；</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（10）鄂环发[2014]37 号《湖北省环保厅关于启动运行湖北省危险废物监管物联网系统的通知》；</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（11）鄂政发[2018]30 号《省人民政府关于发布湖北省生态保护红线的通知》；</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（12）《市人民政府办公室关于同意宜昌市地表水、环境空气、声环境功能区类别划分方案（修编）的批复》（宜府办函[2013]46 号）；</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（13）《湖北省环境保护“十三五”规划》，2017 年2 月；</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（14）鄂办文[2016]34 号《省委办公厅省政府办公厅关于迅速开展湖北长江经济带沿江重化工及造纸行业企业专项集中整治行动的通知》，2016 年5 月26 日；</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（15）湖北省推动长江经济带发展领导小组办公室文件第10 号《关于做好湖北长江经济带沿江重化工及造纸行业企业专项集中整治后续有关工作的通知》，2017 年1月4 日；</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（16）鄂政发[2018]24 号《省人民政府关于印发沿江化工企业关改搬转等湖北长江大保护十大标志性战役相关工作方案的通知》，2018 年6 月8 日；</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（17）推动长江经济带发展领导小组办公室（第89 号）《关于发布长江经济带发展负面清单指南（试行）的通知》</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（18）《建设项目主要污染物排放总量指标审核及管理暂行办法》（环发[2014]197号）</w:t>
      </w:r>
      <w:r>
        <w:rPr>
          <w:rFonts w:hint="eastAsia" w:ascii="Times New Roman" w:hAnsi="Times New Roman" w:eastAsiaTheme="minorEastAsia"/>
          <w:color w:val="000000" w:themeColor="text1"/>
          <w:sz w:val="24"/>
          <w:lang w:eastAsia="zh-CN"/>
          <w14:textFill>
            <w14:solidFill>
              <w14:schemeClr w14:val="tx1"/>
            </w14:solidFill>
          </w14:textFill>
        </w:rPr>
        <w:t>。</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04" w:name="_Toc18574"/>
      <w:r>
        <w:rPr>
          <w:rFonts w:hint="default" w:ascii="Times New Roman" w:hAnsi="Times New Roman" w:eastAsia="黑体" w:cs="Times New Roman"/>
          <w:b/>
          <w:color w:val="000000" w:themeColor="text1"/>
          <w:szCs w:val="28"/>
          <w:lang w:val="en-US" w:eastAsia="zh-CN"/>
          <w14:textFill>
            <w14:solidFill>
              <w14:schemeClr w14:val="tx1"/>
            </w14:solidFill>
          </w14:textFill>
        </w:rPr>
        <w:t>2.2.3</w:t>
      </w:r>
      <w:r>
        <w:rPr>
          <w:rFonts w:ascii="黑体" w:hAnsi="黑体" w:eastAsia="黑体" w:cs="Times New Roman"/>
          <w:b/>
          <w:color w:val="000000" w:themeColor="text1"/>
          <w:szCs w:val="28"/>
          <w14:textFill>
            <w14:solidFill>
              <w14:schemeClr w14:val="tx1"/>
            </w14:solidFill>
          </w14:textFill>
        </w:rPr>
        <w:t>评价导则</w:t>
      </w:r>
      <w:bookmarkEnd w:id="104"/>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bookmarkStart w:id="105" w:name="_Toc22126"/>
      <w:r>
        <w:rPr>
          <w:rFonts w:hint="eastAsia" w:ascii="Times New Roman" w:hAnsi="Times New Roman" w:eastAsiaTheme="minorEastAsia"/>
          <w:color w:val="000000" w:themeColor="text1"/>
          <w:sz w:val="24"/>
          <w14:textFill>
            <w14:solidFill>
              <w14:schemeClr w14:val="tx1"/>
            </w14:solidFill>
          </w14:textFill>
        </w:rPr>
        <w:t>（1）《建设项目环境影响评价技术导则·总纲》（HJ2.1-2016）</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（2）《环境影响评价技术导则·大气环境》（HJ2.2-2018）</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（3）《环境影响评价技术导则·地表水环境》（HJ2.3-2018）</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（4）《环境影响评价技术导则·声环境》（HJ2.4-2009）</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（5）《环境影响评价技术导则·地下水环境》（HJ610-2016）</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（6）《环境影响评价技术导则·土壤环境（试行）》（HJ964-2018）</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（7）《建设项目环境风险评价技术导则》（HJ169-2018）</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（8）《环境影响评价技术导则·生态影响》（HJ19-2011）</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（10）《水污染治理工程技术导则》（HJ2015-2012）</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（11）《大气污染治理工程技术导则》（HJ2000-2010）</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（12）《制定地方大气污染物排放标准的技术方法》（GB/T3840-1991）</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（13）《固体废物鉴别标准 通则》（GB 34330-2017）</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（14）《一般工业固体废物贮存和填埋污染控制标准》（GB18599-2020）</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（15）《</w:t>
      </w:r>
      <w:r>
        <w:rPr>
          <w:rFonts w:ascii="Times New Roman" w:hAnsi="Times New Roman" w:eastAsiaTheme="minorEastAsia"/>
          <w:color w:val="000000" w:themeColor="text1"/>
          <w:sz w:val="24"/>
          <w14:textFill>
            <w14:solidFill>
              <w14:schemeClr w14:val="tx1"/>
            </w14:solidFill>
          </w14:textFill>
        </w:rPr>
        <w:t>国家危险废物名录（2021年版）</w:t>
      </w:r>
      <w:r>
        <w:rPr>
          <w:rFonts w:hint="eastAsia" w:ascii="Times New Roman" w:hAnsi="Times New Roman" w:eastAsiaTheme="minorEastAsia"/>
          <w:color w:val="000000" w:themeColor="text1"/>
          <w:sz w:val="24"/>
          <w14:textFill>
            <w14:solidFill>
              <w14:schemeClr w14:val="tx1"/>
            </w14:solidFill>
          </w14:textFill>
        </w:rPr>
        <w:t>》（部令第15号）</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（16）《危险废物鉴别标准》（GB5085.1~7-2007）</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（17）《危险废物鉴别技术规范》（HJ/T 298-2007）</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（18）《危险废物收集贮存运输技术规范》（HJ2025-2012）</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（19）《危险废物贮存污染控制标准》（GB18597-2001）及其修改单（环保部公告 2013年第36号）</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（20）《危险废物污染防治技术政策》（环发〔2001〕199号）</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 xml:space="preserve">（21）《危险废物处置工程技术导则》（HJ2042-2014） </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（22）《建设项目危险废物环境影响评价指南》（环境保护部公告2017年第43号）</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（25）《危险化学品目录》（2018版）</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（26）《危险货物品名表》（GB12268-2012）</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（27）《危险货物分类和品名编号》（GB6944-2012）</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（28）《危险化学品重大危险源辨识》（GB18218-2018）</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（29）《建筑设计防火规范》（GB50016-2014）（2018年局部修订）</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（30）《环境噪声与振动控制工程技术导则》（HJ2024-2013）</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（31）《优先控制化学品名录（第一批）》（环保部公告2017年第83号）</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（32）《有毒有害大气污染物名录（2018年）》（生态环境部 卫生健康委公告 2019年 第4号）</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（33）《有毒有害水污染物名录（第一批）》（生态环境部 卫生健康委公告2019年第28号）</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（34）《化工建设项目环境保护工程设计标准》（GB50483-2019）</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（35）《水体污染防控紧急措施设计导则》（中石化）</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（36）《防治城市扬尘污染技术规范》（HJ/T 393-2007）</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（37）《排污许可证申请与核发技术规范 无机化学工业》（HJ1035-2019）</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（38）《污染源源强核算技术指南 准则》（HJ884-2018）</w:t>
      </w:r>
      <w:r>
        <w:rPr>
          <w:rFonts w:hint="eastAsia" w:ascii="Times New Roman" w:hAnsi="Times New Roman" w:eastAsiaTheme="minorEastAsia"/>
          <w:color w:val="000000" w:themeColor="text1"/>
          <w:sz w:val="24"/>
          <w:lang w:eastAsia="zh-CN"/>
          <w14:textFill>
            <w14:solidFill>
              <w14:schemeClr w14:val="tx1"/>
            </w14:solidFill>
          </w14:textFill>
        </w:rPr>
        <w:t>；</w:t>
      </w:r>
    </w:p>
    <w:p>
      <w:pPr>
        <w:adjustRightInd w:val="0"/>
        <w:snapToGrid w:val="0"/>
        <w:spacing w:line="520" w:lineRule="exact"/>
        <w:ind w:firstLine="480" w:firstLineChars="200"/>
        <w:jc w:val="left"/>
        <w:rPr>
          <w:rFonts w:hint="eastAsia" w:ascii="Times New Roman" w:hAnsi="Times New Roman" w:eastAsiaTheme="minorEastAsia"/>
          <w:color w:val="000000" w:themeColor="text1"/>
          <w:sz w:val="24"/>
          <w:lang w:eastAsia="zh-CN"/>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（39）《湖北省重点行业企业土壤及地下水自行监测规范》（DB42/T1514-2019）</w:t>
      </w:r>
      <w:r>
        <w:rPr>
          <w:rFonts w:hint="eastAsia" w:ascii="Times New Roman" w:hAnsi="Times New Roman" w:eastAsiaTheme="minorEastAsia"/>
          <w:color w:val="000000" w:themeColor="text1"/>
          <w:sz w:val="24"/>
          <w:lang w:eastAsia="zh-CN"/>
          <w14:textFill>
            <w14:solidFill>
              <w14:schemeClr w14:val="tx1"/>
            </w14:solidFill>
          </w14:textFill>
        </w:rPr>
        <w:t>。</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2.2.4</w:t>
      </w:r>
      <w:r>
        <w:rPr>
          <w:rFonts w:ascii="黑体" w:hAnsi="黑体" w:eastAsia="黑体" w:cs="Times New Roman"/>
          <w:b/>
          <w:color w:val="000000" w:themeColor="text1"/>
          <w:szCs w:val="28"/>
          <w14:textFill>
            <w14:solidFill>
              <w14:schemeClr w14:val="tx1"/>
            </w14:solidFill>
          </w14:textFill>
        </w:rPr>
        <w:t>批复及有关技术文件</w:t>
      </w:r>
      <w:bookmarkEnd w:id="105"/>
    </w:p>
    <w:p>
      <w:pPr>
        <w:pStyle w:val="262"/>
        <w:adjustRightInd w:val="0"/>
        <w:snapToGrid w:val="0"/>
        <w:spacing w:line="520" w:lineRule="exact"/>
        <w:ind w:firstLine="480" w:firstLineChars="200"/>
        <w:jc w:val="left"/>
        <w:rPr>
          <w:rFonts w:ascii="Times New Roman" w:hAnsi="Times New Roman" w:eastAsiaTheme="minorEastAsia"/>
          <w:bCs w:val="0"/>
          <w:color w:val="000000" w:themeColor="text1"/>
          <w:sz w:val="24"/>
          <w14:textFill>
            <w14:solidFill>
              <w14:schemeClr w14:val="tx1"/>
            </w14:solidFill>
          </w14:textFill>
        </w:rPr>
      </w:pPr>
      <w:bookmarkStart w:id="106" w:name="_Toc113179397"/>
      <w:bookmarkStart w:id="107" w:name="_Toc22112171"/>
      <w:bookmarkStart w:id="108" w:name="_Toc56419217"/>
      <w:bookmarkStart w:id="109" w:name="_Toc112988322"/>
      <w:r>
        <w:rPr>
          <w:rFonts w:hint="eastAsia" w:ascii="Times New Roman" w:hAnsi="Times New Roman" w:eastAsiaTheme="minorEastAsia"/>
          <w:color w:val="000000" w:themeColor="text1"/>
          <w:sz w:val="24"/>
          <w14:textFill>
            <w14:solidFill>
              <w14:schemeClr w14:val="tx1"/>
            </w14:solidFill>
          </w14:textFill>
        </w:rPr>
        <w:t>（1）</w:t>
      </w:r>
      <w:r>
        <w:rPr>
          <w:rFonts w:ascii="Times New Roman" w:hAnsi="Times New Roman" w:eastAsiaTheme="minorEastAsia"/>
          <w:bCs w:val="0"/>
          <w:color w:val="000000" w:themeColor="text1"/>
          <w:sz w:val="24"/>
          <w14:textFill>
            <w14:solidFill>
              <w14:schemeClr w14:val="tx1"/>
            </w14:solidFill>
          </w14:textFill>
        </w:rPr>
        <w:t>《</w:t>
      </w:r>
      <w:r>
        <w:rPr>
          <w:rFonts w:hint="eastAsia" w:ascii="Times New Roman" w:hAnsi="Times New Roman" w:eastAsiaTheme="minorEastAsia"/>
          <w:bCs w:val="0"/>
          <w:color w:val="000000" w:themeColor="text1"/>
          <w:sz w:val="24"/>
          <w14:textFill>
            <w14:solidFill>
              <w14:schemeClr w14:val="tx1"/>
            </w14:solidFill>
          </w14:textFill>
        </w:rPr>
        <w:t>氟硅酸钠生产加工项目一期</w:t>
      </w:r>
      <w:r>
        <w:rPr>
          <w:rFonts w:ascii="Times New Roman" w:hAnsi="Times New Roman" w:eastAsiaTheme="minorEastAsia"/>
          <w:bCs w:val="0"/>
          <w:color w:val="000000" w:themeColor="text1"/>
          <w:sz w:val="24"/>
          <w14:textFill>
            <w14:solidFill>
              <w14:schemeClr w14:val="tx1"/>
            </w14:solidFill>
          </w14:textFill>
        </w:rPr>
        <w:t>可行性研究报告》；</w:t>
      </w:r>
    </w:p>
    <w:p>
      <w:pPr>
        <w:pStyle w:val="262"/>
        <w:adjustRightInd w:val="0"/>
        <w:snapToGrid w:val="0"/>
        <w:spacing w:line="520" w:lineRule="exact"/>
        <w:ind w:firstLine="480" w:firstLineChars="200"/>
        <w:jc w:val="left"/>
        <w:rPr>
          <w:rFonts w:ascii="Times New Roman" w:hAnsi="Times New Roman" w:eastAsiaTheme="minorEastAsia"/>
          <w:bCs w:val="0"/>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 xml:space="preserve">（2） </w:t>
      </w:r>
      <w:r>
        <w:rPr>
          <w:rFonts w:hint="eastAsia" w:ascii="Times New Roman" w:hAnsi="Times New Roman" w:eastAsiaTheme="minorEastAsia"/>
          <w:bCs w:val="0"/>
          <w:color w:val="000000" w:themeColor="text1"/>
          <w:sz w:val="24"/>
          <w14:textFill>
            <w14:solidFill>
              <w14:schemeClr w14:val="tx1"/>
            </w14:solidFill>
          </w14:textFill>
        </w:rPr>
        <w:t>项目核准入园资料</w:t>
      </w:r>
      <w:r>
        <w:rPr>
          <w:rFonts w:ascii="Times New Roman" w:hAnsi="Times New Roman" w:eastAsiaTheme="minorEastAsia"/>
          <w:bCs w:val="0"/>
          <w:color w:val="000000" w:themeColor="text1"/>
          <w:sz w:val="24"/>
          <w14:textFill>
            <w14:solidFill>
              <w14:schemeClr w14:val="tx1"/>
            </w14:solidFill>
          </w14:textFill>
        </w:rPr>
        <w:t>；</w:t>
      </w:r>
    </w:p>
    <w:p>
      <w:pPr>
        <w:pStyle w:val="262"/>
        <w:adjustRightInd w:val="0"/>
        <w:snapToGrid w:val="0"/>
        <w:spacing w:line="520" w:lineRule="exact"/>
        <w:ind w:firstLine="480" w:firstLineChars="200"/>
        <w:jc w:val="left"/>
        <w:rPr>
          <w:rFonts w:ascii="Times New Roman" w:hAnsi="Times New Roman" w:eastAsiaTheme="minorEastAsia"/>
          <w:bCs w:val="0"/>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w:t>
      </w:r>
      <w:r>
        <w:rPr>
          <w:rFonts w:ascii="Times New Roman" w:hAnsi="Times New Roman" w:eastAsiaTheme="minorEastAsia"/>
          <w:bCs w:val="0"/>
          <w:color w:val="000000" w:themeColor="text1"/>
          <w:sz w:val="24"/>
          <w14:textFill>
            <w14:solidFill>
              <w14:schemeClr w14:val="tx1"/>
            </w14:solidFill>
          </w14:textFill>
        </w:rPr>
        <w:t>《</w:t>
      </w:r>
      <w:r>
        <w:rPr>
          <w:rFonts w:hint="eastAsia" w:ascii="Times New Roman" w:hAnsi="Times New Roman" w:eastAsiaTheme="minorEastAsia"/>
          <w:bCs w:val="0"/>
          <w:color w:val="000000" w:themeColor="text1"/>
          <w:sz w:val="24"/>
          <w14:textFill>
            <w14:solidFill>
              <w14:schemeClr w14:val="tx1"/>
            </w14:solidFill>
          </w14:textFill>
        </w:rPr>
        <w:t>建设用地规划许可证</w:t>
      </w:r>
      <w:r>
        <w:rPr>
          <w:rFonts w:ascii="Times New Roman" w:hAnsi="Times New Roman" w:eastAsiaTheme="minorEastAsia"/>
          <w:bCs w:val="0"/>
          <w:color w:val="000000" w:themeColor="text1"/>
          <w:sz w:val="24"/>
          <w14:textFill>
            <w14:solidFill>
              <w14:schemeClr w14:val="tx1"/>
            </w14:solidFill>
          </w14:textFill>
        </w:rPr>
        <w:t>》</w:t>
      </w:r>
    </w:p>
    <w:p>
      <w:pPr>
        <w:pStyle w:val="262"/>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 xml:space="preserve">（4） </w:t>
      </w:r>
      <w:r>
        <w:rPr>
          <w:rFonts w:ascii="Times New Roman" w:hAnsiTheme="minorEastAsia" w:eastAsiaTheme="minorEastAsia"/>
          <w:color w:val="000000" w:themeColor="text1"/>
          <w:sz w:val="24"/>
          <w:szCs w:val="24"/>
          <w14:textFill>
            <w14:solidFill>
              <w14:schemeClr w14:val="tx1"/>
            </w14:solidFill>
          </w14:textFill>
        </w:rPr>
        <w:t>项目备案证；</w:t>
      </w:r>
    </w:p>
    <w:p>
      <w:pPr>
        <w:pStyle w:val="262"/>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项目</w:t>
      </w:r>
      <w:r>
        <w:rPr>
          <w:rFonts w:ascii="Times New Roman" w:hAnsiTheme="minorEastAsia" w:eastAsiaTheme="minorEastAsia"/>
          <w:color w:val="000000" w:themeColor="text1"/>
          <w:sz w:val="24"/>
          <w14:textFill>
            <w14:solidFill>
              <w14:schemeClr w14:val="tx1"/>
            </w14:solidFill>
          </w14:textFill>
        </w:rPr>
        <w:t>委托书</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20</w:t>
      </w:r>
      <w:r>
        <w:rPr>
          <w:rFonts w:hint="eastAsia" w:ascii="Times New Roman" w:hAnsi="Times New Roman" w:eastAsiaTheme="minorEastAsia"/>
          <w:color w:val="000000" w:themeColor="text1"/>
          <w:sz w:val="24"/>
          <w:szCs w:val="24"/>
          <w14:textFill>
            <w14:solidFill>
              <w14:schemeClr w14:val="tx1"/>
            </w14:solidFill>
          </w14:textFill>
        </w:rPr>
        <w:t>21</w:t>
      </w:r>
      <w:r>
        <w:rPr>
          <w:rFonts w:ascii="Times New Roman" w:hAnsiTheme="minorEastAsia" w:eastAsiaTheme="minorEastAsia"/>
          <w:color w:val="000000" w:themeColor="text1"/>
          <w:sz w:val="24"/>
          <w:szCs w:val="24"/>
          <w14:textFill>
            <w14:solidFill>
              <w14:schemeClr w14:val="tx1"/>
            </w14:solidFill>
          </w14:textFill>
        </w:rPr>
        <w:t>年</w:t>
      </w:r>
      <w:r>
        <w:rPr>
          <w:rFonts w:hint="eastAsia" w:ascii="Times New Roman" w:hAnsi="Times New Roman" w:eastAsiaTheme="minorEastAsia"/>
          <w:color w:val="000000" w:themeColor="text1"/>
          <w:sz w:val="24"/>
          <w:szCs w:val="24"/>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月</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 xml:space="preserve"> </w:t>
      </w:r>
    </w:p>
    <w:p>
      <w:pPr>
        <w:pStyle w:val="262"/>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（6）</w:t>
      </w:r>
      <w:r>
        <w:rPr>
          <w:rFonts w:ascii="Times New Roman" w:hAnsiTheme="minorEastAsia" w:eastAsiaTheme="minorEastAsia"/>
          <w:color w:val="000000" w:themeColor="text1"/>
          <w:sz w:val="24"/>
          <w:szCs w:val="24"/>
          <w14:textFill>
            <w14:solidFill>
              <w14:schemeClr w14:val="tx1"/>
            </w14:solidFill>
          </w14:textFill>
        </w:rPr>
        <w:t>建设单位提供的其他技术资料；</w:t>
      </w:r>
    </w:p>
    <w:bookmarkEnd w:id="106"/>
    <w:bookmarkEnd w:id="107"/>
    <w:bookmarkEnd w:id="108"/>
    <w:bookmarkEnd w:id="109"/>
    <w:p>
      <w:pPr>
        <w:pStyle w:val="380"/>
        <w:keepNext w:val="0"/>
        <w:keepLines w:val="0"/>
        <w:pageBreakBefore w:val="0"/>
        <w:widowControl w:val="0"/>
        <w:kinsoku/>
        <w:wordWrap/>
        <w:overflowPunct/>
        <w:topLinePunct w:val="0"/>
        <w:autoSpaceDE/>
        <w:autoSpaceDN/>
        <w:bidi w:val="0"/>
        <w:adjustRightInd w:val="0"/>
        <w:snapToGrid w:val="0"/>
        <w:spacing w:before="48" w:beforeLines="20" w:after="48" w:afterLines="20" w:line="520" w:lineRule="exact"/>
        <w:ind w:firstLine="0" w:firstLineChars="0"/>
        <w:jc w:val="left"/>
        <w:textAlignment w:val="auto"/>
        <w:outlineLvl w:val="2"/>
        <w:rPr>
          <w:rFonts w:ascii="黑体" w:hAnsi="黑体" w:eastAsia="黑体"/>
          <w:b/>
          <w:color w:val="000000" w:themeColor="text1"/>
          <w:sz w:val="32"/>
          <w:szCs w:val="32"/>
          <w14:textFill>
            <w14:solidFill>
              <w14:schemeClr w14:val="tx1"/>
            </w14:solidFill>
          </w14:textFill>
        </w:rPr>
      </w:pPr>
      <w:bookmarkStart w:id="110" w:name="_Toc18915"/>
      <w:r>
        <w:rPr>
          <w:rFonts w:hint="eastAsia" w:ascii="Times New Roman" w:hAnsi="Times New Roman" w:eastAsia="黑体"/>
          <w:b/>
          <w:color w:val="000000" w:themeColor="text1"/>
          <w:sz w:val="32"/>
          <w:szCs w:val="32"/>
          <w:lang w:val="en-US" w:eastAsia="zh-CN"/>
          <w14:textFill>
            <w14:solidFill>
              <w14:schemeClr w14:val="tx1"/>
            </w14:solidFill>
          </w14:textFill>
        </w:rPr>
        <w:t>2</w:t>
      </w:r>
      <w:r>
        <w:rPr>
          <w:rFonts w:ascii="Times New Roman" w:hAnsi="Times New Roman" w:eastAsia="黑体"/>
          <w:b/>
          <w:color w:val="000000" w:themeColor="text1"/>
          <w:sz w:val="32"/>
          <w:szCs w:val="32"/>
          <w14:textFill>
            <w14:solidFill>
              <w14:schemeClr w14:val="tx1"/>
            </w14:solidFill>
          </w14:textFill>
        </w:rPr>
        <w:t>.3</w:t>
      </w:r>
      <w:r>
        <w:rPr>
          <w:rFonts w:hint="eastAsia" w:ascii="黑体" w:hAnsi="黑体" w:eastAsia="黑体"/>
          <w:b/>
          <w:color w:val="000000" w:themeColor="text1"/>
          <w:sz w:val="32"/>
          <w:szCs w:val="32"/>
          <w14:textFill>
            <w14:solidFill>
              <w14:schemeClr w14:val="tx1"/>
            </w14:solidFill>
          </w14:textFill>
        </w:rPr>
        <w:t>评价内容及评价重点</w:t>
      </w:r>
      <w:bookmarkEnd w:id="110"/>
    </w:p>
    <w:p>
      <w:pPr>
        <w:spacing w:line="520" w:lineRule="exact"/>
        <w:ind w:firstLine="480" w:firstLineChars="200"/>
        <w:jc w:val="left"/>
        <w:rPr>
          <w:rFonts w:ascii="宋体" w:hAnsi="Times New Roman" w:cs="宋体"/>
          <w:color w:val="000000" w:themeColor="text1"/>
          <w:sz w:val="24"/>
          <w:szCs w:val="24"/>
          <w14:textFill>
            <w14:solidFill>
              <w14:schemeClr w14:val="tx1"/>
            </w14:solidFill>
          </w14:textFill>
        </w:rPr>
      </w:pPr>
      <w:r>
        <w:rPr>
          <w:rFonts w:hint="eastAsia" w:ascii="宋体" w:hAnsi="Times New Roman" w:cs="宋体"/>
          <w:color w:val="000000" w:themeColor="text1"/>
          <w:sz w:val="24"/>
          <w:szCs w:val="24"/>
          <w14:textFill>
            <w14:solidFill>
              <w14:schemeClr w14:val="tx1"/>
            </w14:solidFill>
          </w14:textFill>
        </w:rPr>
        <w:t>本项目主要评价内容包括：项目概况、工程分析、环境质量现状评价、环境影响预测与评价、环境风险评价、污染防治措施技术经济论证、总量控制、项目产业政策符合性分析、环境经济损益分析、环境管理与环境监测、评价结论和建议等。</w:t>
      </w:r>
    </w:p>
    <w:p>
      <w:pPr>
        <w:spacing w:line="520" w:lineRule="exact"/>
        <w:ind w:firstLine="480" w:firstLineChars="200"/>
        <w:jc w:val="left"/>
        <w:rPr>
          <w:color w:val="000000" w:themeColor="text1"/>
          <w14:textFill>
            <w14:solidFill>
              <w14:schemeClr w14:val="tx1"/>
            </w14:solidFill>
          </w14:textFill>
        </w:rPr>
      </w:pPr>
      <w:r>
        <w:rPr>
          <w:rFonts w:hint="eastAsia" w:ascii="宋体" w:hAnsi="Times New Roman" w:cs="宋体"/>
          <w:color w:val="000000" w:themeColor="text1"/>
          <w:sz w:val="24"/>
          <w:szCs w:val="24"/>
          <w14:textFill>
            <w14:solidFill>
              <w14:schemeClr w14:val="tx1"/>
            </w14:solidFill>
          </w14:textFill>
        </w:rPr>
        <w:t>根据本项目的排污特征和可能对各环境要素的影响程度，结合项目所在区域环境特征和行业特点，确定本评价重点为：工程分析、运营期环境影响分析与评价、污染防治措施技术经济论证、产业政策符合性分析。</w:t>
      </w:r>
    </w:p>
    <w:p>
      <w:pPr>
        <w:pStyle w:val="380"/>
        <w:keepNext w:val="0"/>
        <w:keepLines w:val="0"/>
        <w:pageBreakBefore w:val="0"/>
        <w:widowControl w:val="0"/>
        <w:kinsoku/>
        <w:wordWrap/>
        <w:overflowPunct/>
        <w:topLinePunct w:val="0"/>
        <w:autoSpaceDE/>
        <w:autoSpaceDN/>
        <w:bidi w:val="0"/>
        <w:adjustRightInd w:val="0"/>
        <w:snapToGrid w:val="0"/>
        <w:spacing w:before="48" w:beforeLines="20" w:after="48" w:afterLines="20" w:line="520" w:lineRule="exact"/>
        <w:ind w:firstLine="0" w:firstLineChars="0"/>
        <w:jc w:val="left"/>
        <w:textAlignment w:val="auto"/>
        <w:outlineLvl w:val="2"/>
        <w:rPr>
          <w:rFonts w:ascii="黑体" w:hAnsi="黑体" w:eastAsia="黑体"/>
          <w:b/>
          <w:color w:val="000000" w:themeColor="text1"/>
          <w:sz w:val="32"/>
          <w:szCs w:val="32"/>
          <w14:textFill>
            <w14:solidFill>
              <w14:schemeClr w14:val="tx1"/>
            </w14:solidFill>
          </w14:textFill>
        </w:rPr>
      </w:pPr>
      <w:bookmarkStart w:id="111" w:name="_Toc29024"/>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2.4</w:t>
      </w:r>
      <w:r>
        <w:rPr>
          <w:rFonts w:hint="eastAsia" w:ascii="黑体" w:hAnsi="黑体" w:eastAsia="黑体"/>
          <w:b/>
          <w:color w:val="000000" w:themeColor="text1"/>
          <w:sz w:val="32"/>
          <w:szCs w:val="32"/>
          <w14:textFill>
            <w14:solidFill>
              <w14:schemeClr w14:val="tx1"/>
            </w14:solidFill>
          </w14:textFill>
        </w:rPr>
        <w:t>评价时段</w:t>
      </w:r>
      <w:bookmarkEnd w:id="111"/>
    </w:p>
    <w:p>
      <w:pPr>
        <w:pStyle w:val="23"/>
        <w:keepNext w:val="0"/>
        <w:keepLines w:val="0"/>
        <w:pageBreakBefore w:val="0"/>
        <w:widowControl w:val="0"/>
        <w:kinsoku/>
        <w:wordWrap/>
        <w:overflowPunct/>
        <w:topLinePunct w:val="0"/>
        <w:autoSpaceDE/>
        <w:autoSpaceDN/>
        <w:bidi w:val="0"/>
        <w:adjustRightInd w:val="0"/>
        <w:snapToGrid w:val="0"/>
        <w:spacing w:after="0" w:line="520" w:lineRule="exact"/>
        <w:ind w:firstLine="480" w:firstLineChars="200"/>
        <w:jc w:val="left"/>
        <w:textAlignment w:val="auto"/>
        <w:outlineLvl w:val="4"/>
        <w:rPr>
          <w:rFonts w:cs="宋体"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该项目评价时段包括</w:t>
      </w:r>
      <w:r>
        <w:rPr>
          <w:rFonts w:hint="eastAsia" w:cs="宋体" w:asciiTheme="minorEastAsia" w:hAnsiTheme="minorEastAsia" w:eastAsiaTheme="minorEastAsia"/>
          <w:color w:val="000000" w:themeColor="text1"/>
          <w:sz w:val="24"/>
          <w:szCs w:val="24"/>
          <w14:textFill>
            <w14:solidFill>
              <w14:schemeClr w14:val="tx1"/>
            </w14:solidFill>
          </w14:textFill>
        </w:rPr>
        <w:t>施工</w:t>
      </w:r>
      <w:r>
        <w:rPr>
          <w:rFonts w:asciiTheme="minorEastAsia" w:hAnsiTheme="minorEastAsia" w:eastAsiaTheme="minorEastAsia"/>
          <w:color w:val="000000" w:themeColor="text1"/>
          <w:sz w:val="24"/>
          <w14:textFill>
            <w14:solidFill>
              <w14:schemeClr w14:val="tx1"/>
            </w14:solidFill>
          </w14:textFill>
        </w:rPr>
        <w:t>期和运营期。</w:t>
      </w:r>
      <w:r>
        <w:rPr>
          <w:rFonts w:hint="eastAsia" w:cs="宋体" w:asciiTheme="minorEastAsia" w:hAnsiTheme="minorEastAsia" w:eastAsiaTheme="minorEastAsia"/>
          <w:color w:val="000000" w:themeColor="text1"/>
          <w:sz w:val="24"/>
          <w:szCs w:val="24"/>
          <w14:textFill>
            <w14:solidFill>
              <w14:schemeClr w14:val="tx1"/>
            </w14:solidFill>
          </w14:textFill>
        </w:rPr>
        <w:t>本次评价对施工期进行简单评价，重点评价时段为运营期。</w:t>
      </w:r>
    </w:p>
    <w:p>
      <w:pPr>
        <w:pStyle w:val="380"/>
        <w:keepNext w:val="0"/>
        <w:keepLines w:val="0"/>
        <w:pageBreakBefore w:val="0"/>
        <w:widowControl w:val="0"/>
        <w:kinsoku/>
        <w:wordWrap/>
        <w:overflowPunct/>
        <w:topLinePunct w:val="0"/>
        <w:autoSpaceDE/>
        <w:autoSpaceDN/>
        <w:bidi w:val="0"/>
        <w:adjustRightInd w:val="0"/>
        <w:snapToGrid w:val="0"/>
        <w:spacing w:before="48" w:beforeLines="20" w:after="48" w:afterLines="20" w:line="520" w:lineRule="exact"/>
        <w:ind w:firstLine="0" w:firstLineChars="0"/>
        <w:jc w:val="left"/>
        <w:textAlignment w:val="auto"/>
        <w:outlineLvl w:val="2"/>
        <w:rPr>
          <w:rFonts w:ascii="黑体" w:hAnsi="黑体" w:eastAsia="黑体"/>
          <w:b/>
          <w:color w:val="000000" w:themeColor="text1"/>
          <w:sz w:val="32"/>
          <w:szCs w:val="32"/>
          <w14:textFill>
            <w14:solidFill>
              <w14:schemeClr w14:val="tx1"/>
            </w14:solidFill>
          </w14:textFill>
        </w:rPr>
      </w:pPr>
      <w:bookmarkStart w:id="112" w:name="_Toc30782"/>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2.5</w:t>
      </w:r>
      <w:r>
        <w:rPr>
          <w:rFonts w:hint="eastAsia" w:ascii="黑体" w:hAnsi="黑体" w:eastAsia="黑体"/>
          <w:b/>
          <w:color w:val="000000" w:themeColor="text1"/>
          <w:sz w:val="32"/>
          <w:szCs w:val="32"/>
          <w14:textFill>
            <w14:solidFill>
              <w14:schemeClr w14:val="tx1"/>
            </w14:solidFill>
          </w14:textFill>
        </w:rPr>
        <w:t>环境影响识别及评价因子筛选</w:t>
      </w:r>
      <w:bookmarkEnd w:id="112"/>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2.5.1</w:t>
      </w:r>
      <w:r>
        <w:rPr>
          <w:rFonts w:hint="eastAsia" w:ascii="黑体" w:hAnsi="黑体" w:eastAsia="黑体" w:cs="Times New Roman"/>
          <w:b/>
          <w:color w:val="000000" w:themeColor="text1"/>
          <w:szCs w:val="28"/>
          <w14:textFill>
            <w14:solidFill>
              <w14:schemeClr w14:val="tx1"/>
            </w14:solidFill>
          </w14:textFill>
        </w:rPr>
        <w:t>施工</w:t>
      </w:r>
      <w:r>
        <w:rPr>
          <w:rFonts w:ascii="黑体" w:hAnsi="黑体" w:eastAsia="黑体" w:cs="Times New Roman"/>
          <w:b/>
          <w:color w:val="000000" w:themeColor="text1"/>
          <w:szCs w:val="28"/>
          <w14:textFill>
            <w14:solidFill>
              <w14:schemeClr w14:val="tx1"/>
            </w14:solidFill>
          </w14:textFill>
        </w:rPr>
        <w:t>期环境影响识别与</w:t>
      </w:r>
      <w:r>
        <w:rPr>
          <w:rFonts w:hint="eastAsia" w:ascii="黑体" w:hAnsi="黑体" w:eastAsia="黑体" w:cs="Times New Roman"/>
          <w:b/>
          <w:color w:val="000000" w:themeColor="text1"/>
          <w:szCs w:val="28"/>
          <w14:textFill>
            <w14:solidFill>
              <w14:schemeClr w14:val="tx1"/>
            </w14:solidFill>
          </w14:textFill>
        </w:rPr>
        <w:t>评价</w:t>
      </w:r>
      <w:r>
        <w:rPr>
          <w:rFonts w:ascii="黑体" w:hAnsi="黑体" w:eastAsia="黑体" w:cs="Times New Roman"/>
          <w:b/>
          <w:color w:val="000000" w:themeColor="text1"/>
          <w:szCs w:val="28"/>
          <w14:textFill>
            <w14:solidFill>
              <w14:schemeClr w14:val="tx1"/>
            </w14:solidFill>
          </w14:textFill>
        </w:rPr>
        <w:t>因子的筛选</w:t>
      </w:r>
    </w:p>
    <w:p>
      <w:pPr>
        <w:autoSpaceDE w:val="0"/>
        <w:autoSpaceDN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工程建设施工过程对环境的主要影响是施工扬尘、施工噪声影响。</w:t>
      </w:r>
    </w:p>
    <w:p>
      <w:pPr>
        <w:autoSpaceDE w:val="0"/>
        <w:autoSpaceDN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项目施工期土建安装及物料装运等过程产生的施工扬尘，属无组织排放，对局部环境空气质量会产生短期不利影响，其影响因子为粉尘。</w:t>
      </w:r>
    </w:p>
    <w:p>
      <w:pPr>
        <w:autoSpaceDE w:val="0"/>
        <w:autoSpaceDN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施工期机械噪声对施工地段附近的局部声环境产生短期不利影响，影响因子为等效声级</w:t>
      </w:r>
      <w:r>
        <w:rPr>
          <w:rFonts w:hint="eastAsia" w:ascii="Times New Roman" w:hAnsiTheme="minorEastAsia" w:eastAsiaTheme="minorEastAsia"/>
          <w:color w:val="000000" w:themeColor="text1"/>
          <w:sz w:val="24"/>
          <w14:textFill>
            <w14:solidFill>
              <w14:schemeClr w14:val="tx1"/>
            </w14:solidFill>
          </w14:textFill>
        </w:rPr>
        <w:t xml:space="preserve"> </w:t>
      </w:r>
      <w:r>
        <w:rPr>
          <w:rFonts w:ascii="Times New Roman" w:hAnsi="Times New Roman" w:eastAsiaTheme="minorEastAsia"/>
          <w:color w:val="000000" w:themeColor="text1"/>
          <w:sz w:val="24"/>
          <w14:textFill>
            <w14:solidFill>
              <w14:schemeClr w14:val="tx1"/>
            </w14:solidFill>
          </w14:textFill>
        </w:rPr>
        <w:t>Leq</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A</w:t>
      </w:r>
      <w:r>
        <w:rPr>
          <w:rFonts w:ascii="Times New Roman" w:hAnsiTheme="minorEastAsia" w:eastAsiaTheme="minorEastAsia"/>
          <w:color w:val="000000" w:themeColor="text1"/>
          <w:sz w:val="24"/>
          <w14:textFill>
            <w14:solidFill>
              <w14:schemeClr w14:val="tx1"/>
            </w14:solidFill>
          </w14:textFill>
        </w:rPr>
        <w:t>）。</w:t>
      </w:r>
    </w:p>
    <w:p>
      <w:pPr>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鉴于项目施工期较短、施工量较小，施工建设对环境的影响仅作类比分析评价。</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2.5.2</w:t>
      </w:r>
      <w:r>
        <w:rPr>
          <w:rFonts w:hint="eastAsia" w:ascii="黑体" w:hAnsi="黑体" w:eastAsia="黑体" w:cs="Times New Roman"/>
          <w:b/>
          <w:color w:val="000000" w:themeColor="text1"/>
          <w:szCs w:val="28"/>
          <w14:textFill>
            <w14:solidFill>
              <w14:schemeClr w14:val="tx1"/>
            </w14:solidFill>
          </w14:textFill>
        </w:rPr>
        <w:t>运营期</w:t>
      </w:r>
      <w:r>
        <w:rPr>
          <w:rFonts w:ascii="黑体" w:hAnsi="黑体" w:eastAsia="黑体" w:cs="Times New Roman"/>
          <w:b/>
          <w:color w:val="000000" w:themeColor="text1"/>
          <w:szCs w:val="28"/>
          <w14:textFill>
            <w14:solidFill>
              <w14:schemeClr w14:val="tx1"/>
            </w14:solidFill>
          </w14:textFill>
        </w:rPr>
        <w:t>环境影响</w:t>
      </w:r>
      <w:r>
        <w:rPr>
          <w:rFonts w:hint="eastAsia" w:ascii="黑体" w:hAnsi="黑体" w:eastAsia="黑体" w:cs="Times New Roman"/>
          <w:b/>
          <w:color w:val="000000" w:themeColor="text1"/>
          <w:szCs w:val="28"/>
          <w14:textFill>
            <w14:solidFill>
              <w14:schemeClr w14:val="tx1"/>
            </w14:solidFill>
          </w14:textFill>
        </w:rPr>
        <w:t>及评价因子</w:t>
      </w:r>
      <w:r>
        <w:rPr>
          <w:rFonts w:ascii="黑体" w:hAnsi="黑体" w:eastAsia="黑体" w:cs="Times New Roman"/>
          <w:b/>
          <w:color w:val="000000" w:themeColor="text1"/>
          <w:szCs w:val="28"/>
          <w14:textFill>
            <w14:solidFill>
              <w14:schemeClr w14:val="tx1"/>
            </w14:solidFill>
          </w14:textFill>
        </w:rPr>
        <w:t>识别</w:t>
      </w:r>
    </w:p>
    <w:p>
      <w:pPr>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本项目运营期将排放污废水、废气、固体废物及噪声等，将对周边地表水体、环境空气和声环境质量造成一定的影响。本项目对环境的影响要素及程度识别见表</w:t>
      </w:r>
      <w:r>
        <w:rPr>
          <w:rFonts w:ascii="Times New Roman" w:hAnsi="Times New Roman" w:eastAsiaTheme="minorEastAsia"/>
          <w:color w:val="000000" w:themeColor="text1"/>
          <w:sz w:val="8"/>
          <w:szCs w:val="8"/>
          <w14:textFill>
            <w14:solidFill>
              <w14:schemeClr w14:val="tx1"/>
            </w14:solidFill>
          </w14:textFill>
        </w:rPr>
        <w:t xml:space="preserve"> </w:t>
      </w:r>
      <w:r>
        <w:rPr>
          <w:rFonts w:hint="eastAsia" w:ascii="Times New Roman" w:hAnsi="Times New Roman" w:eastAsiaTheme="minorEastAsia"/>
          <w:color w:val="000000" w:themeColor="text1"/>
          <w:sz w:val="24"/>
          <w:szCs w:val="24"/>
          <w:lang w:val="en-US" w:eastAsia="zh-CN"/>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lang w:val="en-US" w:eastAsia="zh-CN"/>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jc w:val="center"/>
        <w:rPr>
          <w:rFonts w:ascii="Times New Roman" w:hAnsiTheme="minorEastAsia" w:eastAsiaTheme="minorEastAsia"/>
          <w:b/>
          <w:color w:val="000000" w:themeColor="text1"/>
          <w:sz w:val="24"/>
          <w:szCs w:val="24"/>
          <w14:textFill>
            <w14:solidFill>
              <w14:schemeClr w14:val="tx1"/>
            </w14:solidFill>
          </w14:textFill>
        </w:rPr>
      </w:pPr>
      <w:r>
        <w:rPr>
          <w:rFonts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2.5</w:t>
      </w:r>
      <w:r>
        <w:rPr>
          <w:rFonts w:ascii="Times New Roman" w:hAnsi="Times New Roman" w:eastAsiaTheme="minorEastAsia"/>
          <w:b/>
          <w:color w:val="000000" w:themeColor="text1"/>
          <w:sz w:val="24"/>
          <w:szCs w:val="24"/>
          <w14:textFill>
            <w14:solidFill>
              <w14:schemeClr w14:val="tx1"/>
            </w14:solidFill>
          </w14:textFill>
        </w:rPr>
        <w:t xml:space="preserve">-1 </w:t>
      </w:r>
      <w:r>
        <w:rPr>
          <w:rFonts w:ascii="Times New Roman" w:hAnsiTheme="minorEastAsia" w:eastAsiaTheme="minorEastAsia"/>
          <w:b/>
          <w:color w:val="000000" w:themeColor="text1"/>
          <w:sz w:val="24"/>
          <w:szCs w:val="24"/>
          <w14:textFill>
            <w14:solidFill>
              <w14:schemeClr w14:val="tx1"/>
            </w14:solidFill>
          </w14:textFill>
        </w:rPr>
        <w:t>项目环境影响因素识别</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342"/>
        <w:gridCol w:w="567"/>
        <w:gridCol w:w="518"/>
        <w:gridCol w:w="609"/>
        <w:gridCol w:w="608"/>
        <w:gridCol w:w="608"/>
        <w:gridCol w:w="608"/>
        <w:gridCol w:w="597"/>
        <w:gridCol w:w="598"/>
        <w:gridCol w:w="598"/>
        <w:gridCol w:w="598"/>
        <w:gridCol w:w="598"/>
        <w:gridCol w:w="5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项目</w:t>
            </w:r>
          </w:p>
        </w:tc>
        <w:tc>
          <w:tcPr>
            <w:tcW w:w="1342"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环境因素</w:t>
            </w:r>
          </w:p>
        </w:tc>
        <w:tc>
          <w:tcPr>
            <w:tcW w:w="3518" w:type="dxa"/>
            <w:gridSpan w:val="6"/>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施工期</w:t>
            </w:r>
          </w:p>
        </w:tc>
        <w:tc>
          <w:tcPr>
            <w:tcW w:w="3588" w:type="dxa"/>
            <w:gridSpan w:val="6"/>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营运期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废气</w:t>
            </w: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废水</w:t>
            </w: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废渣</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噪声</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运输</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移民</w:t>
            </w: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废气</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废水</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废渣</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噪声</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运输</w:t>
            </w: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就业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自然环境</w:t>
            </w: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地质地貌</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大气环境</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地表水环境</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地下水环境</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声环境</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植被</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土壤</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水生生物</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土地资源</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社会环境</w:t>
            </w: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区域经济</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Cambria Math" w:hAnsi="Cambria Math" w:cs="Cambria Math"/>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农业生产</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人群健康</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风景旅游</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4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生活水平</w:t>
            </w:r>
          </w:p>
        </w:tc>
        <w:tc>
          <w:tcPr>
            <w:tcW w:w="56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1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9"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Cambria Math" w:hAnsi="Cambria Math" w:cs="Cambria Math"/>
                <w:color w:val="000000" w:themeColor="text1"/>
                <w:sz w:val="18"/>
                <w:szCs w:val="18"/>
                <w14:textFill>
                  <w14:solidFill>
                    <w14:schemeClr w14:val="tx1"/>
                  </w14:solidFill>
                </w14:textFill>
              </w:rPr>
              <w:t>△</w:t>
            </w:r>
          </w:p>
        </w:tc>
        <w:tc>
          <w:tcPr>
            <w:tcW w:w="60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7"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p>
        </w:tc>
        <w:tc>
          <w:tcPr>
            <w:tcW w:w="598"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c>
          <w:tcPr>
            <w:tcW w:w="599"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w:t>
            </w:r>
          </w:p>
        </w:tc>
      </w:tr>
    </w:tbl>
    <w:p>
      <w:pPr>
        <w:rPr>
          <w:rFonts w:ascii="Times New Roman" w:hAnsiTheme="minorEastAsia" w:eastAsiaTheme="minorEastAsia"/>
          <w:b/>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注：</w:t>
      </w:r>
      <w:r>
        <w:rPr>
          <w:rFonts w:ascii="Cambria Math" w:hAnsi="Cambria Math" w:cs="Cambria Math"/>
          <w:snapToGrid w:val="0"/>
          <w:color w:val="000000" w:themeColor="text1"/>
          <w:sz w:val="18"/>
          <w:szCs w:val="18"/>
          <w14:textFill>
            <w14:solidFill>
              <w14:schemeClr w14:val="tx1"/>
            </w14:solidFill>
          </w14:textFill>
        </w:rPr>
        <w:t>△</w:t>
      </w:r>
      <w:r>
        <w:rPr>
          <w:rFonts w:ascii="Times New Roman" w:hAnsi="Times New Roman"/>
          <w:snapToGrid w:val="0"/>
          <w:color w:val="000000" w:themeColor="text1"/>
          <w:sz w:val="18"/>
          <w:szCs w:val="18"/>
          <w14:textFill>
            <w14:solidFill>
              <w14:schemeClr w14:val="tx1"/>
            </w14:solidFill>
          </w14:textFill>
        </w:rPr>
        <w:t xml:space="preserve">轻微有利影响 </w:t>
      </w:r>
      <w:r>
        <w:rPr>
          <w:rFonts w:hint="eastAsia" w:ascii="宋体" w:hAnsi="宋体" w:cs="宋体"/>
          <w:snapToGrid w:val="0"/>
          <w:color w:val="000000" w:themeColor="text1"/>
          <w:sz w:val="18"/>
          <w:szCs w:val="18"/>
          <w14:textFill>
            <w14:solidFill>
              <w14:schemeClr w14:val="tx1"/>
            </w14:solidFill>
          </w14:textFill>
        </w:rPr>
        <w:t>☆</w:t>
      </w:r>
      <w:r>
        <w:rPr>
          <w:rFonts w:ascii="Times New Roman" w:hAnsi="Times New Roman"/>
          <w:snapToGrid w:val="0"/>
          <w:color w:val="000000" w:themeColor="text1"/>
          <w:sz w:val="18"/>
          <w:szCs w:val="18"/>
          <w14:textFill>
            <w14:solidFill>
              <w14:schemeClr w14:val="tx1"/>
            </w14:solidFill>
          </w14:textFill>
        </w:rPr>
        <w:t>长期或中期有利影响▲短期或轻微不利影响</w:t>
      </w:r>
      <w:r>
        <w:rPr>
          <w:rFonts w:hint="eastAsia" w:ascii="宋体" w:hAnsi="宋体" w:cs="宋体"/>
          <w:snapToGrid w:val="0"/>
          <w:color w:val="000000" w:themeColor="text1"/>
          <w:sz w:val="18"/>
          <w:szCs w:val="18"/>
          <w14:textFill>
            <w14:solidFill>
              <w14:schemeClr w14:val="tx1"/>
            </w14:solidFill>
          </w14:textFill>
        </w:rPr>
        <w:t>★</w:t>
      </w:r>
      <w:r>
        <w:rPr>
          <w:rFonts w:ascii="Times New Roman" w:hAnsi="Times New Roman"/>
          <w:snapToGrid w:val="0"/>
          <w:color w:val="000000" w:themeColor="text1"/>
          <w:sz w:val="18"/>
          <w:szCs w:val="18"/>
          <w14:textFill>
            <w14:solidFill>
              <w14:schemeClr w14:val="tx1"/>
            </w14:solidFill>
          </w14:textFill>
        </w:rPr>
        <w:t>长期或中等不利影响。</w:t>
      </w:r>
    </w:p>
    <w:p>
      <w:pPr>
        <w:spacing w:line="520" w:lineRule="exact"/>
        <w:ind w:firstLine="480" w:firstLineChars="200"/>
        <w:jc w:val="left"/>
        <w:rPr>
          <w:rFonts w:ascii="宋体" w:hAnsi="Times New Roman" w:cs="宋体"/>
          <w:color w:val="000000" w:themeColor="text1"/>
          <w:sz w:val="24"/>
          <w:szCs w:val="24"/>
          <w14:textFill>
            <w14:solidFill>
              <w14:schemeClr w14:val="tx1"/>
            </w14:solidFill>
          </w14:textFill>
        </w:rPr>
      </w:pPr>
      <w:r>
        <w:rPr>
          <w:rFonts w:hint="eastAsia" w:ascii="宋体" w:hAnsi="Times New Roman" w:cs="宋体"/>
          <w:color w:val="000000" w:themeColor="text1"/>
          <w:sz w:val="24"/>
          <w:szCs w:val="24"/>
          <w14:textFill>
            <w14:solidFill>
              <w14:schemeClr w14:val="tx1"/>
            </w14:solidFill>
          </w14:textFill>
        </w:rPr>
        <w:t>由上表可以看出，项目运营期间对环境空气、地表水环境、环境噪声、土壤植被、人群健康等有轻度不利影响，但项目的运行有利区域经济的发展和居民生活水平的提高。项目运营产生的废水、废气、噪声、固废对环境因素造成影响的主要污染因子的影响分</w:t>
      </w:r>
      <w:r>
        <w:rPr>
          <w:rFonts w:ascii="Times New Roman" w:hAnsi="Times New Roman"/>
          <w:color w:val="000000" w:themeColor="text1"/>
          <w:sz w:val="24"/>
          <w:szCs w:val="24"/>
          <w14:textFill>
            <w14:solidFill>
              <w14:schemeClr w14:val="tx1"/>
            </w14:solidFill>
          </w14:textFill>
        </w:rPr>
        <w:t>析见表</w:t>
      </w:r>
      <w:r>
        <w:rPr>
          <w:rFonts w:hint="eastAsia" w:ascii="Times New Roman" w:hAnsi="Times New Roman"/>
          <w:color w:val="000000" w:themeColor="text1"/>
          <w:sz w:val="24"/>
          <w:szCs w:val="24"/>
          <w:lang w:val="en-US" w:eastAsia="zh-CN"/>
          <w14:textFill>
            <w14:solidFill>
              <w14:schemeClr w14:val="tx1"/>
            </w14:solidFill>
          </w14:textFill>
        </w:rPr>
        <w:t>2.5</w:t>
      </w:r>
      <w:r>
        <w:rPr>
          <w:rFonts w:ascii="Times New Roman" w:hAnsi="Times New Roman"/>
          <w:color w:val="000000" w:themeColor="text1"/>
          <w:sz w:val="24"/>
          <w:szCs w:val="24"/>
          <w14:textFill>
            <w14:solidFill>
              <w14:schemeClr w14:val="tx1"/>
            </w14:solidFill>
          </w14:textFill>
        </w:rPr>
        <w:t>-2。</w:t>
      </w:r>
    </w:p>
    <w:p>
      <w:pPr>
        <w:spacing w:line="520" w:lineRule="exact"/>
        <w:jc w:val="center"/>
        <w:rPr>
          <w:rFonts w:ascii="Times New Roman" w:hAnsi="Times New Roman"/>
          <w:b/>
          <w:color w:val="000000" w:themeColor="text1"/>
          <w:sz w:val="24"/>
          <w:szCs w:val="24"/>
          <w14:textFill>
            <w14:solidFill>
              <w14:schemeClr w14:val="tx1"/>
            </w14:solidFill>
          </w14:textFill>
        </w:rPr>
      </w:pPr>
    </w:p>
    <w:p>
      <w:pPr>
        <w:spacing w:line="520" w:lineRule="exact"/>
        <w:jc w:val="center"/>
        <w:rPr>
          <w:rFonts w:ascii="Times New Roman" w:hAnsi="Times New Roman"/>
          <w:b/>
          <w:color w:val="000000" w:themeColor="text1"/>
          <w:sz w:val="24"/>
          <w:szCs w:val="24"/>
          <w14:textFill>
            <w14:solidFill>
              <w14:schemeClr w14:val="tx1"/>
            </w14:solidFill>
          </w14:textFill>
        </w:rPr>
      </w:pPr>
    </w:p>
    <w:p>
      <w:pPr>
        <w:spacing w:line="520" w:lineRule="exact"/>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2.5</w:t>
      </w:r>
      <w:r>
        <w:rPr>
          <w:rFonts w:ascii="Times New Roman" w:hAnsi="Times New Roman"/>
          <w:b/>
          <w:color w:val="000000" w:themeColor="text1"/>
          <w:sz w:val="24"/>
          <w:szCs w:val="24"/>
          <w14:textFill>
            <w14:solidFill>
              <w14:schemeClr w14:val="tx1"/>
            </w14:solidFill>
          </w14:textFill>
        </w:rPr>
        <w:t xml:space="preserve">-2  </w:t>
      </w:r>
      <w:r>
        <w:rPr>
          <w:rFonts w:hint="eastAsia" w:ascii="Times New Roman" w:hAnsi="Times New Roman"/>
          <w:b/>
          <w:color w:val="000000" w:themeColor="text1"/>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主要污染源及污染因子识别汇总一览表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9"/>
        <w:gridCol w:w="1902"/>
        <w:gridCol w:w="2614"/>
        <w:gridCol w:w="37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类别</w:t>
            </w:r>
          </w:p>
        </w:tc>
        <w:tc>
          <w:tcPr>
            <w:tcW w:w="190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位置</w:t>
            </w:r>
          </w:p>
        </w:tc>
        <w:tc>
          <w:tcPr>
            <w:tcW w:w="261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污染源名称</w:t>
            </w:r>
          </w:p>
        </w:tc>
        <w:tc>
          <w:tcPr>
            <w:tcW w:w="379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污染因子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废水</w:t>
            </w:r>
          </w:p>
        </w:tc>
        <w:tc>
          <w:tcPr>
            <w:tcW w:w="1902" w:type="dxa"/>
            <w:shd w:val="clear" w:color="auto" w:fill="auto"/>
            <w:vAlign w:val="center"/>
          </w:tcPr>
          <w:p>
            <w:pPr>
              <w:ind w:firstLine="180" w:firstLineChars="100"/>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氟硅酸钠生产车间</w:t>
            </w:r>
          </w:p>
        </w:tc>
        <w:tc>
          <w:tcPr>
            <w:tcW w:w="261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循环冷却水排水</w:t>
            </w:r>
          </w:p>
        </w:tc>
        <w:tc>
          <w:tcPr>
            <w:tcW w:w="37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清净下水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shd w:val="clear" w:color="auto" w:fill="auto"/>
            <w:vAlign w:val="center"/>
          </w:tcPr>
          <w:p>
            <w:pPr>
              <w:jc w:val="center"/>
              <w:rPr>
                <w:rFonts w:ascii="Times New Roman" w:hAnsi="宋体"/>
                <w:color w:val="000000" w:themeColor="text1"/>
                <w:sz w:val="18"/>
                <w:szCs w:val="18"/>
                <w14:textFill>
                  <w14:solidFill>
                    <w14:schemeClr w14:val="tx1"/>
                  </w14:solidFill>
                </w14:textFill>
              </w:rPr>
            </w:pPr>
          </w:p>
        </w:tc>
        <w:tc>
          <w:tcPr>
            <w:tcW w:w="1902" w:type="dxa"/>
            <w:shd w:val="clear" w:color="auto" w:fill="auto"/>
            <w:vAlign w:val="center"/>
          </w:tcPr>
          <w:p>
            <w:pPr>
              <w:ind w:firstLine="180" w:firstLineChars="100"/>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氟硅酸钠生产车间</w:t>
            </w:r>
          </w:p>
        </w:tc>
        <w:tc>
          <w:tcPr>
            <w:tcW w:w="2614" w:type="dxa"/>
            <w:shd w:val="clear" w:color="auto" w:fill="auto"/>
            <w:vAlign w:val="center"/>
          </w:tcPr>
          <w:p>
            <w:pPr>
              <w:ind w:firstLine="540" w:firstLineChars="300"/>
              <w:rPr>
                <w:rFonts w:ascii="宋体" w:hAnsi="宋体" w:cs="宋体"/>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蒸汽冷凝水排水</w:t>
            </w:r>
          </w:p>
        </w:tc>
        <w:tc>
          <w:tcPr>
            <w:tcW w:w="37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清净下水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shd w:val="clear" w:color="auto" w:fill="auto"/>
            <w:vAlign w:val="center"/>
          </w:tcPr>
          <w:p>
            <w:pPr>
              <w:jc w:val="center"/>
              <w:rPr>
                <w:rFonts w:ascii="Times New Roman" w:hAnsi="宋体"/>
                <w:color w:val="000000" w:themeColor="text1"/>
                <w:sz w:val="18"/>
                <w:szCs w:val="18"/>
                <w14:textFill>
                  <w14:solidFill>
                    <w14:schemeClr w14:val="tx1"/>
                  </w14:solidFill>
                </w14:textFill>
              </w:rPr>
            </w:pPr>
          </w:p>
        </w:tc>
        <w:tc>
          <w:tcPr>
            <w:tcW w:w="1902" w:type="dxa"/>
            <w:shd w:val="clear" w:color="auto" w:fill="auto"/>
            <w:vAlign w:val="center"/>
          </w:tcPr>
          <w:p>
            <w:pPr>
              <w:ind w:firstLine="180" w:firstLineChars="100"/>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氟硅酸钠生产车间</w:t>
            </w:r>
          </w:p>
        </w:tc>
        <w:tc>
          <w:tcPr>
            <w:tcW w:w="2614" w:type="dxa"/>
            <w:shd w:val="clear" w:color="auto" w:fill="auto"/>
            <w:vAlign w:val="center"/>
          </w:tcPr>
          <w:p>
            <w:pPr>
              <w:ind w:firstLine="540" w:firstLineChars="300"/>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污蒸汽冷凝液排水</w:t>
            </w:r>
          </w:p>
        </w:tc>
        <w:tc>
          <w:tcPr>
            <w:tcW w:w="37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清净下水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shd w:val="clear" w:color="auto" w:fill="auto"/>
            <w:vAlign w:val="center"/>
          </w:tcPr>
          <w:p>
            <w:pPr>
              <w:jc w:val="center"/>
              <w:rPr>
                <w:rFonts w:ascii="Times New Roman" w:hAnsi="宋体"/>
                <w:color w:val="000000" w:themeColor="text1"/>
                <w:sz w:val="18"/>
                <w:szCs w:val="18"/>
                <w14:textFill>
                  <w14:solidFill>
                    <w14:schemeClr w14:val="tx1"/>
                  </w14:solidFill>
                </w14:textFill>
              </w:rPr>
            </w:pPr>
          </w:p>
        </w:tc>
        <w:tc>
          <w:tcPr>
            <w:tcW w:w="1902" w:type="dxa"/>
            <w:shd w:val="clear" w:color="auto" w:fill="auto"/>
            <w:vAlign w:val="center"/>
          </w:tcPr>
          <w:p>
            <w:pPr>
              <w:ind w:firstLine="180" w:firstLineChars="100"/>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氟硅酸钠生产车间</w:t>
            </w:r>
          </w:p>
        </w:tc>
        <w:tc>
          <w:tcPr>
            <w:tcW w:w="2614" w:type="dxa"/>
            <w:shd w:val="clear" w:color="auto" w:fill="auto"/>
            <w:vAlign w:val="center"/>
          </w:tcPr>
          <w:p>
            <w:pPr>
              <w:ind w:firstLine="720" w:firstLineChars="400"/>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离心洗涤废水</w:t>
            </w:r>
          </w:p>
        </w:tc>
        <w:tc>
          <w:tcPr>
            <w:tcW w:w="37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pH、氟化物、悬浮物、COD、NH</w:t>
            </w:r>
            <w:r>
              <w:rPr>
                <w:rFonts w:hint="eastAsia" w:ascii="Times New Roman" w:hAnsi="Times New Roman"/>
                <w:color w:val="000000" w:themeColor="text1"/>
                <w:kern w:val="0"/>
                <w:sz w:val="18"/>
                <w:szCs w:val="18"/>
                <w:vertAlign w:val="sub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shd w:val="clear" w:color="auto" w:fill="auto"/>
            <w:vAlign w:val="center"/>
          </w:tcPr>
          <w:p>
            <w:pPr>
              <w:jc w:val="center"/>
              <w:rPr>
                <w:rFonts w:ascii="Times New Roman" w:hAnsi="宋体"/>
                <w:color w:val="000000" w:themeColor="text1"/>
                <w:sz w:val="18"/>
                <w:szCs w:val="18"/>
                <w14:textFill>
                  <w14:solidFill>
                    <w14:schemeClr w14:val="tx1"/>
                  </w14:solidFill>
                </w14:textFill>
              </w:rPr>
            </w:pPr>
          </w:p>
        </w:tc>
        <w:tc>
          <w:tcPr>
            <w:tcW w:w="1902" w:type="dxa"/>
            <w:shd w:val="clear" w:color="auto" w:fill="auto"/>
            <w:vAlign w:val="center"/>
          </w:tcPr>
          <w:p>
            <w:pPr>
              <w:ind w:firstLine="180" w:firstLineChars="100"/>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氟硅酸钠生产车间</w:t>
            </w:r>
          </w:p>
        </w:tc>
        <w:tc>
          <w:tcPr>
            <w:tcW w:w="2614" w:type="dxa"/>
            <w:shd w:val="clear" w:color="auto" w:fill="auto"/>
            <w:vAlign w:val="center"/>
          </w:tcPr>
          <w:p>
            <w:pPr>
              <w:ind w:firstLine="720" w:firstLineChars="400"/>
              <w:rPr>
                <w:rFonts w:ascii="宋体" w:hAnsi="宋体" w:cs="宋体"/>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尾气处理废液</w:t>
            </w:r>
          </w:p>
        </w:tc>
        <w:tc>
          <w:tcPr>
            <w:tcW w:w="37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pH、氟化物、悬浮物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shd w:val="clear" w:color="auto" w:fill="auto"/>
            <w:vAlign w:val="center"/>
          </w:tcPr>
          <w:p>
            <w:pPr>
              <w:jc w:val="center"/>
              <w:rPr>
                <w:rFonts w:ascii="Times New Roman" w:hAnsi="宋体"/>
                <w:color w:val="000000" w:themeColor="text1"/>
                <w:sz w:val="18"/>
                <w:szCs w:val="18"/>
                <w14:textFill>
                  <w14:solidFill>
                    <w14:schemeClr w14:val="tx1"/>
                  </w14:solidFill>
                </w14:textFill>
              </w:rPr>
            </w:pPr>
          </w:p>
        </w:tc>
        <w:tc>
          <w:tcPr>
            <w:tcW w:w="1902" w:type="dxa"/>
            <w:shd w:val="clear" w:color="auto" w:fill="auto"/>
            <w:vAlign w:val="center"/>
          </w:tcPr>
          <w:p>
            <w:pPr>
              <w:ind w:firstLine="720" w:firstLineChars="400"/>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厂区</w:t>
            </w:r>
          </w:p>
        </w:tc>
        <w:tc>
          <w:tcPr>
            <w:tcW w:w="2614" w:type="dxa"/>
            <w:shd w:val="clear" w:color="auto" w:fill="auto"/>
            <w:vAlign w:val="center"/>
          </w:tcPr>
          <w:p>
            <w:pPr>
              <w:ind w:firstLine="900" w:firstLineChars="50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生活污水</w:t>
            </w:r>
          </w:p>
        </w:tc>
        <w:tc>
          <w:tcPr>
            <w:tcW w:w="37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COD</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BOD</w:t>
            </w:r>
            <w:r>
              <w:rPr>
                <w:rFonts w:ascii="Times New Roman" w:hAnsi="Times New Roman"/>
                <w:color w:val="000000" w:themeColor="text1"/>
                <w:sz w:val="18"/>
                <w:szCs w:val="18"/>
                <w:vertAlign w:val="subscript"/>
                <w14:textFill>
                  <w14:solidFill>
                    <w14:schemeClr w14:val="tx1"/>
                  </w14:solidFill>
                </w14:textFill>
              </w:rPr>
              <w:t>5</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NH</w:t>
            </w:r>
            <w:r>
              <w:rPr>
                <w:rFonts w:ascii="Times New Roman" w:hAnsi="Times New Roman"/>
                <w:color w:val="000000" w:themeColor="text1"/>
                <w:sz w:val="18"/>
                <w:szCs w:val="18"/>
                <w:vertAlign w:val="sub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-N</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SS</w:t>
            </w:r>
            <w:r>
              <w:rPr>
                <w:rFonts w:ascii="Times New Roman" w:hAnsi="宋体"/>
                <w:color w:val="000000" w:themeColor="text1"/>
                <w:sz w:val="18"/>
                <w:szCs w:val="18"/>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废气</w:t>
            </w:r>
          </w:p>
        </w:tc>
        <w:tc>
          <w:tcPr>
            <w:tcW w:w="190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酸性尾气吸收系统</w:t>
            </w:r>
          </w:p>
        </w:tc>
        <w:tc>
          <w:tcPr>
            <w:tcW w:w="2614" w:type="dxa"/>
            <w:shd w:val="clear" w:color="auto" w:fill="auto"/>
            <w:vAlign w:val="center"/>
          </w:tcPr>
          <w:p>
            <w:pPr>
              <w:ind w:firstLine="900" w:firstLineChars="500"/>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呼吸废气</w:t>
            </w:r>
          </w:p>
        </w:tc>
        <w:tc>
          <w:tcPr>
            <w:tcW w:w="3790" w:type="dxa"/>
            <w:shd w:val="clear" w:color="auto" w:fill="auto"/>
            <w:vAlign w:val="center"/>
          </w:tcPr>
          <w:p>
            <w:pPr>
              <w:widowControl/>
              <w:ind w:firstLine="1080" w:firstLineChars="60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氯化氢、氟化物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shd w:val="clear" w:color="auto" w:fill="auto"/>
            <w:vAlign w:val="center"/>
          </w:tcPr>
          <w:p>
            <w:pPr>
              <w:jc w:val="center"/>
              <w:rPr>
                <w:rFonts w:ascii="Times New Roman" w:hAnsi="宋体"/>
                <w:color w:val="000000" w:themeColor="text1"/>
                <w:sz w:val="18"/>
                <w:szCs w:val="18"/>
                <w14:textFill>
                  <w14:solidFill>
                    <w14:schemeClr w14:val="tx1"/>
                  </w14:solidFill>
                </w14:textFill>
              </w:rPr>
            </w:pPr>
          </w:p>
        </w:tc>
        <w:tc>
          <w:tcPr>
            <w:tcW w:w="190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中性尾气吸收系统</w:t>
            </w:r>
          </w:p>
        </w:tc>
        <w:tc>
          <w:tcPr>
            <w:tcW w:w="2614" w:type="dxa"/>
            <w:shd w:val="clear" w:color="auto" w:fill="auto"/>
            <w:vAlign w:val="center"/>
          </w:tcPr>
          <w:p>
            <w:pPr>
              <w:ind w:firstLine="900" w:firstLineChars="500"/>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投料废气</w:t>
            </w:r>
          </w:p>
        </w:tc>
        <w:tc>
          <w:tcPr>
            <w:tcW w:w="3790" w:type="dxa"/>
            <w:shd w:val="clear" w:color="auto" w:fill="auto"/>
            <w:vAlign w:val="center"/>
          </w:tcPr>
          <w:p>
            <w:pPr>
              <w:widowControl/>
              <w:ind w:firstLine="1440" w:firstLineChars="80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颗粒物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shd w:val="clear" w:color="auto" w:fill="auto"/>
            <w:vAlign w:val="center"/>
          </w:tcPr>
          <w:p>
            <w:pPr>
              <w:jc w:val="center"/>
              <w:rPr>
                <w:rFonts w:ascii="Times New Roman" w:hAnsi="宋体"/>
                <w:color w:val="000000" w:themeColor="text1"/>
                <w:sz w:val="18"/>
                <w:szCs w:val="18"/>
                <w14:textFill>
                  <w14:solidFill>
                    <w14:schemeClr w14:val="tx1"/>
                  </w14:solidFill>
                </w14:textFill>
              </w:rPr>
            </w:pPr>
          </w:p>
        </w:tc>
        <w:tc>
          <w:tcPr>
            <w:tcW w:w="190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烘干筒</w:t>
            </w:r>
          </w:p>
        </w:tc>
        <w:tc>
          <w:tcPr>
            <w:tcW w:w="2614" w:type="dxa"/>
            <w:shd w:val="clear" w:color="auto" w:fill="auto"/>
            <w:vAlign w:val="center"/>
          </w:tcPr>
          <w:p>
            <w:pPr>
              <w:ind w:firstLine="900" w:firstLineChars="500"/>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烘干废气</w:t>
            </w:r>
          </w:p>
        </w:tc>
        <w:tc>
          <w:tcPr>
            <w:tcW w:w="3790" w:type="dxa"/>
            <w:shd w:val="clear" w:color="auto" w:fill="auto"/>
            <w:vAlign w:val="center"/>
          </w:tcPr>
          <w:p>
            <w:pPr>
              <w:widowControl/>
              <w:ind w:firstLine="1440" w:firstLineChars="80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颗粒物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固废</w:t>
            </w:r>
          </w:p>
        </w:tc>
        <w:tc>
          <w:tcPr>
            <w:tcW w:w="1902" w:type="dxa"/>
            <w:shd w:val="clear" w:color="auto" w:fill="auto"/>
            <w:vAlign w:val="center"/>
          </w:tcPr>
          <w:p>
            <w:pPr>
              <w:ind w:firstLine="180" w:firstLineChars="100"/>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一般工业固体废物</w:t>
            </w:r>
          </w:p>
        </w:tc>
        <w:tc>
          <w:tcPr>
            <w:tcW w:w="6404" w:type="dxa"/>
            <w:gridSpan w:val="2"/>
            <w:shd w:val="clear" w:color="auto" w:fill="auto"/>
            <w:vAlign w:val="center"/>
          </w:tcPr>
          <w:p>
            <w:pPr>
              <w:ind w:firstLine="1260" w:firstLineChars="700"/>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废包装材料、压滤废渣、布袋除尘器收集粉尘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vAlign w:val="center"/>
          </w:tcPr>
          <w:p>
            <w:pPr>
              <w:rPr>
                <w:rFonts w:ascii="Times New Roman" w:hAnsi="Times New Roman"/>
                <w:color w:val="000000" w:themeColor="text1"/>
                <w:sz w:val="18"/>
                <w:szCs w:val="18"/>
                <w14:textFill>
                  <w14:solidFill>
                    <w14:schemeClr w14:val="tx1"/>
                  </w14:solidFill>
                </w14:textFill>
              </w:rPr>
            </w:pPr>
          </w:p>
        </w:tc>
        <w:tc>
          <w:tcPr>
            <w:tcW w:w="1902" w:type="dxa"/>
            <w:shd w:val="clear" w:color="auto" w:fill="auto"/>
            <w:vAlign w:val="center"/>
          </w:tcPr>
          <w:p>
            <w:pPr>
              <w:ind w:firstLine="540" w:firstLineChars="300"/>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生活垃圾</w:t>
            </w:r>
          </w:p>
        </w:tc>
        <w:tc>
          <w:tcPr>
            <w:tcW w:w="6404" w:type="dxa"/>
            <w:gridSpan w:val="2"/>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生活垃圾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vMerge w:val="continue"/>
            <w:vAlign w:val="center"/>
          </w:tcPr>
          <w:p>
            <w:pPr>
              <w:rPr>
                <w:rFonts w:ascii="Times New Roman" w:hAnsi="Times New Roman"/>
                <w:color w:val="000000" w:themeColor="text1"/>
                <w:sz w:val="18"/>
                <w:szCs w:val="18"/>
                <w14:textFill>
                  <w14:solidFill>
                    <w14:schemeClr w14:val="tx1"/>
                  </w14:solidFill>
                </w14:textFill>
              </w:rPr>
            </w:pPr>
          </w:p>
        </w:tc>
        <w:tc>
          <w:tcPr>
            <w:tcW w:w="1902" w:type="dxa"/>
            <w:shd w:val="clear" w:color="auto" w:fill="auto"/>
            <w:vAlign w:val="center"/>
          </w:tcPr>
          <w:p>
            <w:pPr>
              <w:ind w:firstLine="540" w:firstLineChars="300"/>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危险废物</w:t>
            </w:r>
          </w:p>
        </w:tc>
        <w:tc>
          <w:tcPr>
            <w:tcW w:w="6404" w:type="dxa"/>
            <w:gridSpan w:val="2"/>
            <w:shd w:val="clear" w:color="auto" w:fill="auto"/>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废机油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噪声</w:t>
            </w:r>
          </w:p>
        </w:tc>
        <w:tc>
          <w:tcPr>
            <w:tcW w:w="1902" w:type="dxa"/>
            <w:shd w:val="clear" w:color="auto" w:fill="auto"/>
            <w:vAlign w:val="center"/>
          </w:tcPr>
          <w:p>
            <w:pPr>
              <w:ind w:firstLine="540" w:firstLineChars="300"/>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运转设备</w:t>
            </w:r>
          </w:p>
        </w:tc>
        <w:tc>
          <w:tcPr>
            <w:tcW w:w="6404" w:type="dxa"/>
            <w:gridSpan w:val="2"/>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Leq(A)</w:t>
            </w:r>
          </w:p>
        </w:tc>
      </w:tr>
    </w:tbl>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2.5.3</w:t>
      </w:r>
      <w:r>
        <w:rPr>
          <w:rFonts w:hint="eastAsia" w:ascii="黑体" w:hAnsi="黑体" w:eastAsia="黑体" w:cs="Times New Roman"/>
          <w:b/>
          <w:color w:val="000000" w:themeColor="text1"/>
          <w:szCs w:val="28"/>
          <w14:textFill>
            <w14:solidFill>
              <w14:schemeClr w14:val="tx1"/>
            </w14:solidFill>
          </w14:textFill>
        </w:rPr>
        <w:t>环境影响评价因子筛选</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依据项目污染物排放情况和区域环境特点，参照环境因素初步识别的结果，确定主要评价因子。本项目环境质量现状评价因子及影响评价因子筛选结果见</w:t>
      </w:r>
      <w:r>
        <w:rPr>
          <w:rFonts w:hint="eastAsia"/>
          <w:color w:val="000000" w:themeColor="text1"/>
          <w:sz w:val="24"/>
          <w14:textFill>
            <w14:solidFill>
              <w14:schemeClr w14:val="tx1"/>
            </w14:solidFill>
          </w14:textFill>
        </w:rPr>
        <w:t>表</w:t>
      </w:r>
      <w:r>
        <w:rPr>
          <w:rFonts w:hint="eastAsia" w:ascii="Times New Roman" w:hAnsi="Times New Roman"/>
          <w:color w:val="000000" w:themeColor="text1"/>
          <w:sz w:val="24"/>
          <w:lang w:val="en-US" w:eastAsia="zh-CN"/>
          <w14:textFill>
            <w14:solidFill>
              <w14:schemeClr w14:val="tx1"/>
            </w14:solidFill>
          </w14:textFill>
        </w:rPr>
        <w:t>2.5</w:t>
      </w:r>
      <w:r>
        <w:rPr>
          <w:rFonts w:ascii="Times New Roman" w:hAnsi="Times New Roman"/>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p>
    <w:p>
      <w:pPr>
        <w:spacing w:line="520" w:lineRule="exact"/>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2.5</w:t>
      </w:r>
      <w:r>
        <w:rPr>
          <w:rFonts w:hint="eastAsia" w:ascii="Times New Roman" w:hAnsi="Times New Roman"/>
          <w:b/>
          <w:color w:val="000000" w:themeColor="text1"/>
          <w:sz w:val="24"/>
          <w:szCs w:val="24"/>
          <w14:textFill>
            <w14:solidFill>
              <w14:schemeClr w14:val="tx1"/>
            </w14:solidFill>
          </w14:textFill>
        </w:rPr>
        <w:t xml:space="preserve">-3  </w:t>
      </w:r>
      <w:r>
        <w:rPr>
          <w:rFonts w:ascii="Times New Roman" w:hAnsi="Times New Roman"/>
          <w:b/>
          <w:color w:val="000000" w:themeColor="text1"/>
          <w:sz w:val="24"/>
          <w:szCs w:val="24"/>
          <w14:textFill>
            <w14:solidFill>
              <w14:schemeClr w14:val="tx1"/>
            </w14:solidFill>
          </w14:textFill>
        </w:rPr>
        <w:t xml:space="preserve"> </w:t>
      </w:r>
      <w:r>
        <w:rPr>
          <w:rFonts w:hint="eastAsia" w:ascii="Times New Roman" w:hAnsi="Times New Roman"/>
          <w:b/>
          <w:color w:val="000000" w:themeColor="text1"/>
          <w:sz w:val="24"/>
          <w:szCs w:val="24"/>
          <w14:textFill>
            <w14:solidFill>
              <w14:schemeClr w14:val="tx1"/>
            </w14:solidFill>
          </w14:textFill>
        </w:rPr>
        <w:t>评价因子筛选结果表</w:t>
      </w:r>
    </w:p>
    <w:tbl>
      <w:tblPr>
        <w:tblStyle w:val="87"/>
        <w:tblW w:w="89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57"/>
        <w:gridCol w:w="3402"/>
        <w:gridCol w:w="1559"/>
        <w:gridCol w:w="1984"/>
        <w:gridCol w:w="1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环境因素</w:t>
            </w:r>
          </w:p>
        </w:tc>
        <w:tc>
          <w:tcPr>
            <w:tcW w:w="3402"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环境质量现状评价因子</w:t>
            </w:r>
          </w:p>
        </w:tc>
        <w:tc>
          <w:tcPr>
            <w:tcW w:w="3543" w:type="dxa"/>
            <w:gridSpan w:val="2"/>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环境影响评价因子</w:t>
            </w:r>
          </w:p>
        </w:tc>
        <w:tc>
          <w:tcPr>
            <w:tcW w:w="1096"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总量控制因子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3402"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5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施工期</w:t>
            </w:r>
          </w:p>
        </w:tc>
        <w:tc>
          <w:tcPr>
            <w:tcW w:w="1984"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运营期</w:t>
            </w:r>
          </w:p>
        </w:tc>
        <w:tc>
          <w:tcPr>
            <w:tcW w:w="1096"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环境空气</w:t>
            </w:r>
          </w:p>
        </w:tc>
        <w:tc>
          <w:tcPr>
            <w:tcW w:w="3402" w:type="dxa"/>
            <w:vAlign w:val="center"/>
          </w:tcPr>
          <w:p>
            <w:pPr>
              <w:ind w:firstLine="0" w:firstLineChars="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SO</w:t>
            </w:r>
            <w:r>
              <w:rPr>
                <w:rFonts w:hint="eastAsia" w:ascii="Times New Roman" w:hAnsi="Times New Roman"/>
                <w:color w:val="000000" w:themeColor="text1"/>
                <w:sz w:val="18"/>
                <w:szCs w:val="18"/>
                <w:vertAlign w:val="subscript"/>
                <w14:textFill>
                  <w14:solidFill>
                    <w14:schemeClr w14:val="tx1"/>
                  </w14:solidFill>
                </w14:textFill>
              </w:rPr>
              <w:t>2</w:t>
            </w:r>
            <w:r>
              <w:rPr>
                <w:rFonts w:hint="eastAsia" w:ascii="Times New Roman" w:hAnsi="Times New Roman"/>
                <w:color w:val="000000" w:themeColor="text1"/>
                <w:sz w:val="18"/>
                <w:szCs w:val="18"/>
                <w14:textFill>
                  <w14:solidFill>
                    <w14:schemeClr w14:val="tx1"/>
                  </w14:solidFill>
                </w14:textFill>
              </w:rPr>
              <w:t>、NO</w:t>
            </w:r>
            <w:r>
              <w:rPr>
                <w:rFonts w:hint="eastAsia" w:ascii="Times New Roman" w:hAnsi="Times New Roman"/>
                <w:color w:val="000000" w:themeColor="text1"/>
                <w:sz w:val="18"/>
                <w:szCs w:val="18"/>
                <w:vertAlign w:val="subscript"/>
                <w14:textFill>
                  <w14:solidFill>
                    <w14:schemeClr w14:val="tx1"/>
                  </w14:solidFill>
                </w14:textFill>
              </w:rPr>
              <w:t>2</w:t>
            </w:r>
            <w:r>
              <w:rPr>
                <w:rFonts w:hint="eastAsia" w:ascii="Times New Roman" w:hAnsi="Times New Roman"/>
                <w:color w:val="000000" w:themeColor="text1"/>
                <w:sz w:val="18"/>
                <w:szCs w:val="18"/>
                <w14:textFill>
                  <w14:solidFill>
                    <w14:schemeClr w14:val="tx1"/>
                  </w14:solidFill>
                </w14:textFill>
              </w:rPr>
              <w:t>、CO、O</w:t>
            </w:r>
            <w:r>
              <w:rPr>
                <w:rFonts w:hint="eastAsia" w:ascii="Times New Roman" w:hAnsi="Times New Roman"/>
                <w:color w:val="000000" w:themeColor="text1"/>
                <w:sz w:val="18"/>
                <w:szCs w:val="18"/>
                <w:vertAlign w:val="subscript"/>
                <w14:textFill>
                  <w14:solidFill>
                    <w14:schemeClr w14:val="tx1"/>
                  </w14:solidFill>
                </w14:textFill>
              </w:rPr>
              <w:t>3</w:t>
            </w:r>
            <w:r>
              <w:rPr>
                <w:rFonts w:hint="eastAsia" w:ascii="Times New Roman" w:hAnsi="Times New Roman"/>
                <w:color w:val="000000" w:themeColor="text1"/>
                <w:sz w:val="18"/>
                <w:szCs w:val="18"/>
                <w14:textFill>
                  <w14:solidFill>
                    <w14:schemeClr w14:val="tx1"/>
                  </w14:solidFill>
                </w14:textFill>
              </w:rPr>
              <w:t>、PM</w:t>
            </w:r>
            <w:r>
              <w:rPr>
                <w:rFonts w:hint="eastAsia" w:ascii="Times New Roman" w:hAnsi="Times New Roman"/>
                <w:color w:val="000000" w:themeColor="text1"/>
                <w:sz w:val="18"/>
                <w:szCs w:val="18"/>
                <w:vertAlign w:val="subscript"/>
                <w14:textFill>
                  <w14:solidFill>
                    <w14:schemeClr w14:val="tx1"/>
                  </w14:solidFill>
                </w14:textFill>
              </w:rPr>
              <w:t>10</w:t>
            </w:r>
            <w:r>
              <w:rPr>
                <w:rFonts w:hint="eastAsia" w:ascii="Times New Roman" w:hAnsi="Times New Roman"/>
                <w:color w:val="000000" w:themeColor="text1"/>
                <w:sz w:val="18"/>
                <w:szCs w:val="18"/>
                <w14:textFill>
                  <w14:solidFill>
                    <w14:schemeClr w14:val="tx1"/>
                  </w14:solidFill>
                </w14:textFill>
              </w:rPr>
              <w:t>、PM</w:t>
            </w:r>
            <w:r>
              <w:rPr>
                <w:rFonts w:hint="eastAsia" w:ascii="Times New Roman" w:hAnsi="Times New Roman"/>
                <w:color w:val="000000" w:themeColor="text1"/>
                <w:sz w:val="18"/>
                <w:szCs w:val="18"/>
                <w:vertAlign w:val="subscript"/>
                <w14:textFill>
                  <w14:solidFill>
                    <w14:schemeClr w14:val="tx1"/>
                  </w14:solidFill>
                </w14:textFill>
              </w:rPr>
              <w:t>2.5</w:t>
            </w:r>
            <w:r>
              <w:rPr>
                <w:rFonts w:hint="eastAsia" w:ascii="Times New Roman" w:hAnsi="Times New Roman"/>
                <w:color w:val="000000" w:themeColor="text1"/>
                <w:sz w:val="18"/>
                <w:szCs w:val="18"/>
                <w:vertAlign w:val="baseline"/>
                <w:lang w:eastAsia="zh-CN"/>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氯化氢、氟化物</w:t>
            </w:r>
          </w:p>
        </w:tc>
        <w:tc>
          <w:tcPr>
            <w:tcW w:w="15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粉尘</w:t>
            </w:r>
          </w:p>
        </w:tc>
        <w:tc>
          <w:tcPr>
            <w:tcW w:w="198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颗粒物、氯化氢、氟化物</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颗粒物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声环境</w:t>
            </w:r>
          </w:p>
        </w:tc>
        <w:tc>
          <w:tcPr>
            <w:tcW w:w="340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等效连续</w:t>
            </w:r>
            <w:r>
              <w:rPr>
                <w:rFonts w:ascii="Times New Roman" w:hAnsi="Times New Roman"/>
                <w:color w:val="000000" w:themeColor="text1"/>
                <w:sz w:val="18"/>
                <w:szCs w:val="18"/>
                <w14:textFill>
                  <w14:solidFill>
                    <w14:schemeClr w14:val="tx1"/>
                  </w14:solidFill>
                </w14:textFill>
              </w:rPr>
              <w:t>A</w:t>
            </w:r>
            <w:r>
              <w:rPr>
                <w:rFonts w:ascii="Times New Roman" w:hAnsi="宋体"/>
                <w:color w:val="000000" w:themeColor="text1"/>
                <w:sz w:val="18"/>
                <w:szCs w:val="18"/>
                <w14:textFill>
                  <w14:solidFill>
                    <w14:schemeClr w14:val="tx1"/>
                  </w14:solidFill>
                </w14:textFill>
              </w:rPr>
              <w:t>声级</w:t>
            </w:r>
          </w:p>
        </w:tc>
        <w:tc>
          <w:tcPr>
            <w:tcW w:w="15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LeqdB(A)</w:t>
            </w:r>
          </w:p>
        </w:tc>
        <w:tc>
          <w:tcPr>
            <w:tcW w:w="1984"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LeqdB(A)</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地表水</w:t>
            </w:r>
          </w:p>
        </w:tc>
        <w:tc>
          <w:tcPr>
            <w:tcW w:w="3402" w:type="dxa"/>
            <w:vAlign w:val="center"/>
          </w:tcPr>
          <w:p>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pH、</w:t>
            </w:r>
            <w:r>
              <w:rPr>
                <w:rFonts w:hint="eastAsia" w:ascii="Times New Roman" w:hAnsi="Times New Roman"/>
                <w:color w:val="000000" w:themeColor="text1"/>
                <w:sz w:val="18"/>
                <w:szCs w:val="18"/>
                <w:lang w:val="en-US" w:eastAsia="zh-CN"/>
                <w14:textFill>
                  <w14:solidFill>
                    <w14:schemeClr w14:val="tx1"/>
                  </w14:solidFill>
                </w14:textFill>
              </w:rPr>
              <w:t>高锰酸钾指数、</w:t>
            </w:r>
            <w:r>
              <w:rPr>
                <w:rFonts w:hint="eastAsia" w:ascii="Times New Roman" w:hAnsi="Times New Roman"/>
                <w:color w:val="000000" w:themeColor="text1"/>
                <w:sz w:val="18"/>
                <w:szCs w:val="18"/>
                <w14:textFill>
                  <w14:solidFill>
                    <w14:schemeClr w14:val="tx1"/>
                  </w14:solidFill>
                </w14:textFill>
              </w:rPr>
              <w:t>COD、BOD</w:t>
            </w:r>
            <w:r>
              <w:rPr>
                <w:rFonts w:hint="eastAsia" w:ascii="Times New Roman" w:hAnsi="Times New Roman"/>
                <w:color w:val="000000" w:themeColor="text1"/>
                <w:sz w:val="18"/>
                <w:szCs w:val="18"/>
                <w:vertAlign w:val="subscript"/>
                <w14:textFill>
                  <w14:solidFill>
                    <w14:schemeClr w14:val="tx1"/>
                  </w14:solidFill>
                </w14:textFill>
              </w:rPr>
              <w:t>5</w:t>
            </w:r>
            <w:r>
              <w:rPr>
                <w:rFonts w:hint="eastAsia" w:ascii="Times New Roman" w:hAnsi="Times New Roman"/>
                <w:color w:val="000000" w:themeColor="text1"/>
                <w:sz w:val="18"/>
                <w:szCs w:val="18"/>
                <w14:textFill>
                  <w14:solidFill>
                    <w14:schemeClr w14:val="tx1"/>
                  </w14:solidFill>
                </w14:textFill>
              </w:rPr>
              <w:t>、氨氮、</w:t>
            </w:r>
            <w:r>
              <w:rPr>
                <w:rFonts w:hint="eastAsia" w:ascii="Times New Roman" w:hAnsi="Times New Roman"/>
                <w:color w:val="000000" w:themeColor="text1"/>
                <w:sz w:val="18"/>
                <w:szCs w:val="18"/>
                <w:lang w:val="en-US" w:eastAsia="zh-CN"/>
                <w14:textFill>
                  <w14:solidFill>
                    <w14:schemeClr w14:val="tx1"/>
                  </w14:solidFill>
                </w14:textFill>
              </w:rPr>
              <w:t>TN、</w:t>
            </w:r>
            <w:r>
              <w:rPr>
                <w:rFonts w:hint="eastAsia" w:ascii="Times New Roman" w:hAnsi="Times New Roman"/>
                <w:color w:val="000000" w:themeColor="text1"/>
                <w:sz w:val="18"/>
                <w:szCs w:val="18"/>
                <w14:textFill>
                  <w14:solidFill>
                    <w14:schemeClr w14:val="tx1"/>
                  </w14:solidFill>
                </w14:textFill>
              </w:rPr>
              <w:t>TP、石油类</w:t>
            </w:r>
            <w:r>
              <w:rPr>
                <w:rFonts w:hint="eastAsia" w:ascii="Times New Roman" w:hAnsi="Times New Roman"/>
                <w:color w:val="000000" w:themeColor="text1"/>
                <w:sz w:val="18"/>
                <w:szCs w:val="18"/>
                <w:lang w:eastAsia="zh-CN"/>
                <w14:textFill>
                  <w14:solidFill>
                    <w14:schemeClr w14:val="tx1"/>
                  </w14:solidFill>
                </w14:textFill>
              </w:rPr>
              <w:t>、</w:t>
            </w:r>
            <w:r>
              <w:rPr>
                <w:rFonts w:hint="eastAsia" w:ascii="Times New Roman" w:hAnsi="Times New Roman"/>
                <w:color w:val="000000" w:themeColor="text1"/>
                <w:sz w:val="18"/>
                <w:szCs w:val="18"/>
                <w:lang w:val="en-US" w:eastAsia="zh-CN"/>
                <w14:textFill>
                  <w14:solidFill>
                    <w14:schemeClr w14:val="tx1"/>
                  </w14:solidFill>
                </w14:textFill>
              </w:rPr>
              <w:t>氟化物、硫化物、挥发酚、六价铬、氰化物、铬、镍、铜、砷、银、粪大肠菌群、二氯甲烷、甲苯</w:t>
            </w:r>
          </w:p>
        </w:tc>
        <w:tc>
          <w:tcPr>
            <w:tcW w:w="15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COD</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NH</w:t>
            </w:r>
            <w:r>
              <w:rPr>
                <w:rFonts w:ascii="Times New Roman" w:hAnsi="Times New Roman"/>
                <w:color w:val="000000" w:themeColor="text1"/>
                <w:sz w:val="18"/>
                <w:szCs w:val="18"/>
                <w:vertAlign w:val="sub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-N</w:t>
            </w:r>
            <w:r>
              <w:rPr>
                <w:rFonts w:ascii="Times New Roman" w:hAnsi="宋体"/>
                <w:color w:val="000000" w:themeColor="text1"/>
                <w:sz w:val="18"/>
                <w:szCs w:val="18"/>
                <w14:textFill>
                  <w14:solidFill>
                    <w14:schemeClr w14:val="tx1"/>
                  </w14:solidFill>
                </w14:textFill>
              </w:rPr>
              <w:t>、</w:t>
            </w:r>
            <w:r>
              <w:rPr>
                <w:rFonts w:hint="eastAsia" w:ascii="Times New Roman" w:hAnsi="宋体"/>
                <w:color w:val="000000" w:themeColor="text1"/>
                <w:sz w:val="18"/>
                <w:szCs w:val="18"/>
                <w14:textFill>
                  <w14:solidFill>
                    <w14:schemeClr w14:val="tx1"/>
                  </w14:solidFill>
                </w14:textFill>
              </w:rPr>
              <w:t>TP</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BOD</w:t>
            </w:r>
            <w:r>
              <w:rPr>
                <w:rFonts w:ascii="Times New Roman" w:hAnsi="Times New Roman"/>
                <w:color w:val="000000" w:themeColor="text1"/>
                <w:sz w:val="18"/>
                <w:szCs w:val="18"/>
                <w:vertAlign w:val="subscript"/>
                <w14:textFill>
                  <w14:solidFill>
                    <w14:schemeClr w14:val="tx1"/>
                  </w14:solidFill>
                </w14:textFill>
              </w:rPr>
              <w:t>5</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SS</w:t>
            </w:r>
          </w:p>
        </w:tc>
        <w:tc>
          <w:tcPr>
            <w:tcW w:w="1984"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COD</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NH</w:t>
            </w:r>
            <w:r>
              <w:rPr>
                <w:rFonts w:ascii="Times New Roman" w:hAnsi="Times New Roman"/>
                <w:color w:val="000000" w:themeColor="text1"/>
                <w:sz w:val="18"/>
                <w:szCs w:val="18"/>
                <w:vertAlign w:val="sub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-N</w:t>
            </w:r>
            <w:r>
              <w:rPr>
                <w:rFonts w:ascii="Times New Roman" w:hAnsi="宋体"/>
                <w:color w:val="000000" w:themeColor="text1"/>
                <w:sz w:val="18"/>
                <w:szCs w:val="18"/>
                <w14:textFill>
                  <w14:solidFill>
                    <w14:schemeClr w14:val="tx1"/>
                  </w14:solidFill>
                </w14:textFill>
              </w:rPr>
              <w:t>、</w:t>
            </w:r>
            <w:r>
              <w:rPr>
                <w:rFonts w:hint="eastAsia" w:ascii="Times New Roman" w:hAnsi="宋体"/>
                <w:color w:val="000000" w:themeColor="text1"/>
                <w:sz w:val="18"/>
                <w:szCs w:val="18"/>
                <w14:textFill>
                  <w14:solidFill>
                    <w14:schemeClr w14:val="tx1"/>
                  </w14:solidFill>
                </w14:textFill>
              </w:rPr>
              <w:t>TP</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BOD</w:t>
            </w:r>
            <w:r>
              <w:rPr>
                <w:rFonts w:ascii="Times New Roman" w:hAnsi="Times New Roman"/>
                <w:color w:val="000000" w:themeColor="text1"/>
                <w:sz w:val="18"/>
                <w:szCs w:val="18"/>
                <w:vertAlign w:val="subscript"/>
                <w14:textFill>
                  <w14:solidFill>
                    <w14:schemeClr w14:val="tx1"/>
                  </w14:solidFill>
                </w14:textFill>
              </w:rPr>
              <w:t>5</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SS</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COD</w:t>
            </w:r>
            <w:r>
              <w:rPr>
                <w:rFonts w:ascii="Times New Roman" w:hAnsi="宋体"/>
                <w:color w:val="000000" w:themeColor="text1"/>
                <w:sz w:val="18"/>
                <w:szCs w:val="18"/>
                <w14:textFill>
                  <w14:solidFill>
                    <w14:schemeClr w14:val="tx1"/>
                  </w14:solidFill>
                </w14:textFill>
              </w:rPr>
              <w:t>、氨氮、总磷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地下水</w:t>
            </w:r>
          </w:p>
        </w:tc>
        <w:tc>
          <w:tcPr>
            <w:tcW w:w="3402"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K</w:t>
            </w:r>
            <w:r>
              <w:rPr>
                <w:rFonts w:ascii="Times New Roman" w:hAnsi="Times New Roman"/>
                <w:color w:val="000000" w:themeColor="text1"/>
                <w:sz w:val="18"/>
                <w:szCs w:val="18"/>
                <w:vertAlign w:val="superscript"/>
                <w14:textFill>
                  <w14:solidFill>
                    <w14:schemeClr w14:val="tx1"/>
                  </w14:solidFill>
                </w14:textFill>
              </w:rPr>
              <w:t>+</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Na</w:t>
            </w:r>
            <w:r>
              <w:rPr>
                <w:rFonts w:ascii="Times New Roman" w:hAnsi="Times New Roman"/>
                <w:color w:val="000000" w:themeColor="text1"/>
                <w:sz w:val="18"/>
                <w:szCs w:val="18"/>
                <w:vertAlign w:val="superscript"/>
                <w14:textFill>
                  <w14:solidFill>
                    <w14:schemeClr w14:val="tx1"/>
                  </w14:solidFill>
                </w14:textFill>
              </w:rPr>
              <w:t>+</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Ca</w:t>
            </w:r>
            <w:r>
              <w:rPr>
                <w:rFonts w:ascii="Times New Roman" w:hAnsi="Times New Roman"/>
                <w:color w:val="000000" w:themeColor="text1"/>
                <w:sz w:val="18"/>
                <w:szCs w:val="18"/>
                <w:vertAlign w:val="superscript"/>
                <w14:textFill>
                  <w14:solidFill>
                    <w14:schemeClr w14:val="tx1"/>
                  </w14:solidFill>
                </w14:textFill>
              </w:rPr>
              <w:t>2+</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Mg</w:t>
            </w:r>
            <w:r>
              <w:rPr>
                <w:rFonts w:ascii="Times New Roman" w:hAnsi="Times New Roman"/>
                <w:color w:val="000000" w:themeColor="text1"/>
                <w:sz w:val="18"/>
                <w:szCs w:val="18"/>
                <w:vertAlign w:val="superscript"/>
                <w14:textFill>
                  <w14:solidFill>
                    <w14:schemeClr w14:val="tx1"/>
                  </w14:solidFill>
                </w14:textFill>
              </w:rPr>
              <w:t>2+</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CO</w:t>
            </w:r>
            <w:r>
              <w:rPr>
                <w:rFonts w:ascii="Times New Roman" w:hAnsi="Times New Roman"/>
                <w:color w:val="000000" w:themeColor="text1"/>
                <w:sz w:val="18"/>
                <w:szCs w:val="18"/>
                <w:vertAlign w:val="subscript"/>
                <w14:textFill>
                  <w14:solidFill>
                    <w14:schemeClr w14:val="tx1"/>
                  </w14:solidFill>
                </w14:textFill>
              </w:rPr>
              <w:t>3</w:t>
            </w:r>
            <w:r>
              <w:rPr>
                <w:rFonts w:ascii="Times New Roman" w:hAnsi="Times New Roman"/>
                <w:color w:val="000000" w:themeColor="text1"/>
                <w:sz w:val="18"/>
                <w:szCs w:val="18"/>
                <w:vertAlign w:val="superscript"/>
                <w14:textFill>
                  <w14:solidFill>
                    <w14:schemeClr w14:val="tx1"/>
                  </w14:solidFill>
                </w14:textFill>
              </w:rPr>
              <w:t>2-</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HCO</w:t>
            </w:r>
            <w:r>
              <w:rPr>
                <w:rFonts w:ascii="Times New Roman" w:hAnsi="Times New Roman"/>
                <w:color w:val="000000" w:themeColor="text1"/>
                <w:sz w:val="18"/>
                <w:szCs w:val="18"/>
                <w:vertAlign w:val="subscript"/>
                <w14:textFill>
                  <w14:solidFill>
                    <w14:schemeClr w14:val="tx1"/>
                  </w14:solidFill>
                </w14:textFill>
              </w:rPr>
              <w:t>3</w:t>
            </w:r>
            <w:r>
              <w:rPr>
                <w:rFonts w:ascii="Times New Roman" w:hAnsi="Times New Roman"/>
                <w:color w:val="000000" w:themeColor="text1"/>
                <w:sz w:val="18"/>
                <w:szCs w:val="18"/>
                <w:vertAlign w:val="superscript"/>
                <w14:textFill>
                  <w14:solidFill>
                    <w14:schemeClr w14:val="tx1"/>
                  </w14:solidFill>
                </w14:textFill>
              </w:rPr>
              <w:t>-</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Cl</w:t>
            </w:r>
            <w:r>
              <w:rPr>
                <w:rFonts w:ascii="Times New Roman" w:hAnsi="Times New Roman"/>
                <w:color w:val="000000" w:themeColor="text1"/>
                <w:sz w:val="18"/>
                <w:szCs w:val="18"/>
                <w:vertAlign w:val="superscript"/>
                <w14:textFill>
                  <w14:solidFill>
                    <w14:schemeClr w14:val="tx1"/>
                  </w14:solidFill>
                </w14:textFill>
              </w:rPr>
              <w:t>-</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SO</w:t>
            </w:r>
            <w:r>
              <w:rPr>
                <w:rFonts w:ascii="Times New Roman" w:hAnsi="Times New Roman"/>
                <w:color w:val="000000" w:themeColor="text1"/>
                <w:sz w:val="18"/>
                <w:szCs w:val="18"/>
                <w:vertAlign w:val="subscript"/>
                <w14:textFill>
                  <w14:solidFill>
                    <w14:schemeClr w14:val="tx1"/>
                  </w14:solidFill>
                </w14:textFill>
              </w:rPr>
              <w:t>4</w:t>
            </w:r>
            <w:r>
              <w:rPr>
                <w:rFonts w:ascii="Times New Roman" w:hAnsi="Times New Roman"/>
                <w:color w:val="000000" w:themeColor="text1"/>
                <w:sz w:val="18"/>
                <w:szCs w:val="18"/>
                <w:vertAlign w:val="superscript"/>
                <w14:textFill>
                  <w14:solidFill>
                    <w14:schemeClr w14:val="tx1"/>
                  </w14:solidFill>
                </w14:textFill>
              </w:rPr>
              <w:t>2-</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pH</w:t>
            </w:r>
            <w:r>
              <w:rPr>
                <w:rFonts w:ascii="Times New Roman" w:hAnsi="宋体"/>
                <w:color w:val="000000" w:themeColor="text1"/>
                <w:sz w:val="18"/>
                <w:szCs w:val="18"/>
                <w14:textFill>
                  <w14:solidFill>
                    <w14:schemeClr w14:val="tx1"/>
                  </w14:solidFill>
                </w14:textFill>
              </w:rPr>
              <w:t>、氨氮、</w:t>
            </w:r>
            <w:r>
              <w:rPr>
                <w:rFonts w:hint="eastAsia" w:ascii="Times New Roman" w:hAnsi="宋体"/>
                <w:color w:val="000000" w:themeColor="text1"/>
                <w:sz w:val="18"/>
                <w:szCs w:val="18"/>
                <w14:textFill>
                  <w14:solidFill>
                    <w14:schemeClr w14:val="tx1"/>
                  </w14:solidFill>
                </w14:textFill>
              </w:rPr>
              <w:t>总溶解性固体、总硬度、氟化物、硝酸盐、亚硝酸盐、挥发酚、氰化物、铬（六价）、耗氧量（以高锰酸盐指数法测定）、砷、汞、铅、镉、铁、锰、总大肠菌群、菌落总数、二氯甲烷</w:t>
            </w:r>
            <w:r>
              <w:rPr>
                <w:rFonts w:ascii="Times New Roman" w:hAnsi="宋体"/>
                <w:color w:val="000000" w:themeColor="text1"/>
                <w:sz w:val="18"/>
                <w:szCs w:val="18"/>
                <w14:textFill>
                  <w14:solidFill>
                    <w14:schemeClr w14:val="tx1"/>
                  </w14:solidFill>
                </w14:textFill>
              </w:rPr>
              <w:t>。</w:t>
            </w:r>
          </w:p>
        </w:tc>
        <w:tc>
          <w:tcPr>
            <w:tcW w:w="15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984" w:type="dxa"/>
            <w:vAlign w:val="center"/>
          </w:tcPr>
          <w:p>
            <w:pPr>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氟化物</w:t>
            </w:r>
            <w:r>
              <w:rPr>
                <w:rFonts w:hint="eastAsia" w:ascii="Times New Roman" w:hAnsi="Times New Roman"/>
                <w:color w:val="000000" w:themeColor="text1"/>
                <w:sz w:val="18"/>
                <w:szCs w:val="18"/>
                <w:lang w:eastAsia="zh-CN"/>
                <w14:textFill>
                  <w14:solidFill>
                    <w14:schemeClr w14:val="tx1"/>
                  </w14:solidFill>
                </w14:textFill>
              </w:rPr>
              <w:t>、COD</w:t>
            </w:r>
            <w:r>
              <w:rPr>
                <w:rFonts w:hint="eastAsia" w:ascii="Times New Roman" w:hAnsi="Times New Roman"/>
                <w:color w:val="000000" w:themeColor="text1"/>
                <w:sz w:val="18"/>
                <w:szCs w:val="18"/>
                <w:vertAlign w:val="subscript"/>
                <w:lang w:val="en-US" w:eastAsia="zh-CN"/>
                <w14:textFill>
                  <w14:solidFill>
                    <w14:schemeClr w14:val="tx1"/>
                  </w14:solidFill>
                </w14:textFill>
              </w:rPr>
              <w:t>M</w:t>
            </w:r>
            <w:r>
              <w:rPr>
                <w:rFonts w:hint="eastAsia" w:ascii="Times New Roman" w:hAnsi="Times New Roman"/>
                <w:color w:val="000000" w:themeColor="text1"/>
                <w:sz w:val="18"/>
                <w:szCs w:val="18"/>
                <w:vertAlign w:val="subscript"/>
                <w:lang w:eastAsia="zh-CN"/>
                <w14:textFill>
                  <w14:solidFill>
                    <w14:schemeClr w14:val="tx1"/>
                  </w14:solidFill>
                </w14:textFill>
              </w:rPr>
              <w:t>n</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固体废物</w:t>
            </w:r>
          </w:p>
        </w:tc>
        <w:tc>
          <w:tcPr>
            <w:tcW w:w="340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5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建筑垃圾、生活垃圾</w:t>
            </w:r>
          </w:p>
        </w:tc>
        <w:tc>
          <w:tcPr>
            <w:tcW w:w="1984"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工业固废及生活垃圾</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土壤环境</w:t>
            </w:r>
          </w:p>
        </w:tc>
        <w:tc>
          <w:tcPr>
            <w:tcW w:w="3402" w:type="dxa"/>
            <w:vAlign w:val="center"/>
          </w:tcPr>
          <w:p>
            <w:pPr>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pH、</w:t>
            </w:r>
            <w:r>
              <w:rPr>
                <w:rFonts w:ascii="Times New Roman" w:hAnsi="宋体"/>
                <w:color w:val="000000" w:themeColor="text1"/>
                <w:sz w:val="18"/>
                <w:szCs w:val="18"/>
                <w14:textFill>
                  <w14:solidFill>
                    <w14:schemeClr w14:val="tx1"/>
                  </w14:solidFill>
                </w14:textFill>
              </w:rPr>
              <w:t>砷、镉、铬（六价）、铜、铅、汞、镍、四氯化碳、氯仿、氯甲烷、</w:t>
            </w:r>
            <w:r>
              <w:rPr>
                <w:rFonts w:ascii="Times New Roman" w:hAnsi="Times New Roman"/>
                <w:color w:val="000000" w:themeColor="text1"/>
                <w:sz w:val="18"/>
                <w:szCs w:val="18"/>
                <w14:textFill>
                  <w14:solidFill>
                    <w14:schemeClr w14:val="tx1"/>
                  </w14:solidFill>
                </w14:textFill>
              </w:rPr>
              <w:t>1,1-</w:t>
            </w:r>
            <w:r>
              <w:rPr>
                <w:rFonts w:ascii="Times New Roman" w:hAnsi="宋体"/>
                <w:color w:val="000000" w:themeColor="text1"/>
                <w:sz w:val="18"/>
                <w:szCs w:val="18"/>
                <w14:textFill>
                  <w14:solidFill>
                    <w14:schemeClr w14:val="tx1"/>
                  </w14:solidFill>
                </w14:textFill>
              </w:rPr>
              <w:t>二氯乙烷、</w:t>
            </w: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二氯乙烷、</w:t>
            </w:r>
            <w:r>
              <w:rPr>
                <w:rFonts w:ascii="Times New Roman" w:hAnsi="Times New Roman"/>
                <w:color w:val="000000" w:themeColor="text1"/>
                <w:sz w:val="18"/>
                <w:szCs w:val="18"/>
                <w14:textFill>
                  <w14:solidFill>
                    <w14:schemeClr w14:val="tx1"/>
                  </w14:solidFill>
                </w14:textFill>
              </w:rPr>
              <w:t>1,1-</w:t>
            </w:r>
            <w:r>
              <w:rPr>
                <w:rFonts w:ascii="Times New Roman" w:hAnsi="宋体"/>
                <w:color w:val="000000" w:themeColor="text1"/>
                <w:sz w:val="18"/>
                <w:szCs w:val="18"/>
                <w14:textFill>
                  <w14:solidFill>
                    <w14:schemeClr w14:val="tx1"/>
                  </w14:solidFill>
                </w14:textFill>
              </w:rPr>
              <w:t>二氯乙烯、顺</w:t>
            </w: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二氯乙烯、反</w:t>
            </w: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二氯乙烯、二氯甲烷、</w:t>
            </w: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二氯丙烷、</w:t>
            </w:r>
            <w:r>
              <w:rPr>
                <w:rFonts w:ascii="Times New Roman" w:hAnsi="Times New Roman"/>
                <w:color w:val="000000" w:themeColor="text1"/>
                <w:sz w:val="18"/>
                <w:szCs w:val="18"/>
                <w14:textFill>
                  <w14:solidFill>
                    <w14:schemeClr w14:val="tx1"/>
                  </w14:solidFill>
                </w14:textFill>
              </w:rPr>
              <w:t>1,1,1,2-</w:t>
            </w:r>
            <w:r>
              <w:rPr>
                <w:rFonts w:ascii="Times New Roman" w:hAnsi="宋体"/>
                <w:color w:val="000000" w:themeColor="text1"/>
                <w:sz w:val="18"/>
                <w:szCs w:val="18"/>
                <w14:textFill>
                  <w14:solidFill>
                    <w14:schemeClr w14:val="tx1"/>
                  </w14:solidFill>
                </w14:textFill>
              </w:rPr>
              <w:t>四氯乙烷、</w:t>
            </w:r>
            <w:r>
              <w:rPr>
                <w:rFonts w:ascii="Times New Roman" w:hAnsi="Times New Roman"/>
                <w:color w:val="000000" w:themeColor="text1"/>
                <w:sz w:val="18"/>
                <w:szCs w:val="18"/>
                <w14:textFill>
                  <w14:solidFill>
                    <w14:schemeClr w14:val="tx1"/>
                  </w14:solidFill>
                </w14:textFill>
              </w:rPr>
              <w:t>1,1,2,2-</w:t>
            </w:r>
            <w:r>
              <w:rPr>
                <w:rFonts w:ascii="Times New Roman" w:hAnsi="宋体"/>
                <w:color w:val="000000" w:themeColor="text1"/>
                <w:sz w:val="18"/>
                <w:szCs w:val="18"/>
                <w14:textFill>
                  <w14:solidFill>
                    <w14:schemeClr w14:val="tx1"/>
                  </w14:solidFill>
                </w14:textFill>
              </w:rPr>
              <w:t>四氯乙烷、四氯乙烯、</w:t>
            </w:r>
            <w:r>
              <w:rPr>
                <w:rFonts w:ascii="Times New Roman" w:hAnsi="Times New Roman"/>
                <w:color w:val="000000" w:themeColor="text1"/>
                <w:sz w:val="18"/>
                <w:szCs w:val="18"/>
                <w14:textFill>
                  <w14:solidFill>
                    <w14:schemeClr w14:val="tx1"/>
                  </w14:solidFill>
                </w14:textFill>
              </w:rPr>
              <w:t>1,1,1-</w:t>
            </w:r>
            <w:r>
              <w:rPr>
                <w:rFonts w:ascii="Times New Roman" w:hAnsi="宋体"/>
                <w:color w:val="000000" w:themeColor="text1"/>
                <w:sz w:val="18"/>
                <w:szCs w:val="18"/>
                <w14:textFill>
                  <w14:solidFill>
                    <w14:schemeClr w14:val="tx1"/>
                  </w14:solidFill>
                </w14:textFill>
              </w:rPr>
              <w:t>三氯乙烷、</w:t>
            </w:r>
            <w:r>
              <w:rPr>
                <w:rFonts w:ascii="Times New Roman" w:hAnsi="Times New Roman"/>
                <w:color w:val="000000" w:themeColor="text1"/>
                <w:sz w:val="18"/>
                <w:szCs w:val="18"/>
                <w14:textFill>
                  <w14:solidFill>
                    <w14:schemeClr w14:val="tx1"/>
                  </w14:solidFill>
                </w14:textFill>
              </w:rPr>
              <w:t>1,1,2-</w:t>
            </w:r>
            <w:r>
              <w:rPr>
                <w:rFonts w:ascii="Times New Roman" w:hAnsi="宋体"/>
                <w:color w:val="000000" w:themeColor="text1"/>
                <w:sz w:val="18"/>
                <w:szCs w:val="18"/>
                <w14:textFill>
                  <w14:solidFill>
                    <w14:schemeClr w14:val="tx1"/>
                  </w14:solidFill>
                </w14:textFill>
              </w:rPr>
              <w:t>三氯乙烷、三氯乙烯、</w:t>
            </w:r>
            <w:r>
              <w:rPr>
                <w:rFonts w:ascii="Times New Roman" w:hAnsi="Times New Roman"/>
                <w:color w:val="000000" w:themeColor="text1"/>
                <w:sz w:val="18"/>
                <w:szCs w:val="18"/>
                <w14:textFill>
                  <w14:solidFill>
                    <w14:schemeClr w14:val="tx1"/>
                  </w14:solidFill>
                </w14:textFill>
              </w:rPr>
              <w:t>1,2,3-</w:t>
            </w:r>
            <w:r>
              <w:rPr>
                <w:rFonts w:ascii="Times New Roman" w:hAnsi="宋体"/>
                <w:color w:val="000000" w:themeColor="text1"/>
                <w:sz w:val="18"/>
                <w:szCs w:val="18"/>
                <w14:textFill>
                  <w14:solidFill>
                    <w14:schemeClr w14:val="tx1"/>
                  </w14:solidFill>
                </w14:textFill>
              </w:rPr>
              <w:t>三氯丙烷、氯乙烯、苯、氯苯、</w:t>
            </w: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二氯苯、</w:t>
            </w:r>
            <w:r>
              <w:rPr>
                <w:rFonts w:ascii="Times New Roman" w:hAnsi="Times New Roman"/>
                <w:color w:val="000000" w:themeColor="text1"/>
                <w:sz w:val="18"/>
                <w:szCs w:val="18"/>
                <w14:textFill>
                  <w14:solidFill>
                    <w14:schemeClr w14:val="tx1"/>
                  </w14:solidFill>
                </w14:textFill>
              </w:rPr>
              <w:t>1,4-</w:t>
            </w:r>
            <w:r>
              <w:rPr>
                <w:rFonts w:ascii="Times New Roman" w:hAnsi="宋体"/>
                <w:color w:val="000000" w:themeColor="text1"/>
                <w:sz w:val="18"/>
                <w:szCs w:val="18"/>
                <w14:textFill>
                  <w14:solidFill>
                    <w14:schemeClr w14:val="tx1"/>
                  </w14:solidFill>
                </w14:textFill>
              </w:rPr>
              <w:t>二氯苯、乙苯、苯乙烯、甲苯、间二甲苯</w:t>
            </w:r>
            <w:r>
              <w:rPr>
                <w:rFonts w:ascii="Times New Roman" w:hAnsi="Times New Roman"/>
                <w:color w:val="000000" w:themeColor="text1"/>
                <w:sz w:val="18"/>
                <w:szCs w:val="18"/>
                <w14:textFill>
                  <w14:solidFill>
                    <w14:schemeClr w14:val="tx1"/>
                  </w14:solidFill>
                </w14:textFill>
              </w:rPr>
              <w:t>+</w:t>
            </w:r>
            <w:r>
              <w:rPr>
                <w:rFonts w:ascii="Times New Roman" w:hAnsi="宋体"/>
                <w:color w:val="000000" w:themeColor="text1"/>
                <w:sz w:val="18"/>
                <w:szCs w:val="18"/>
                <w14:textFill>
                  <w14:solidFill>
                    <w14:schemeClr w14:val="tx1"/>
                  </w14:solidFill>
                </w14:textFill>
              </w:rPr>
              <w:t>对二甲苯、邻二甲苯、硝基苯、苯胺、</w:t>
            </w:r>
            <w:r>
              <w:rPr>
                <w:rFonts w:ascii="Times New Roman" w:hAnsi="Times New Roman"/>
                <w:color w:val="000000" w:themeColor="text1"/>
                <w:sz w:val="18"/>
                <w:szCs w:val="18"/>
                <w14:textFill>
                  <w14:solidFill>
                    <w14:schemeClr w14:val="tx1"/>
                  </w14:solidFill>
                </w14:textFill>
              </w:rPr>
              <w:t>2-</w:t>
            </w:r>
            <w:r>
              <w:rPr>
                <w:rFonts w:ascii="Times New Roman" w:hAnsi="宋体"/>
                <w:color w:val="000000" w:themeColor="text1"/>
                <w:sz w:val="18"/>
                <w:szCs w:val="18"/>
                <w14:textFill>
                  <w14:solidFill>
                    <w14:schemeClr w14:val="tx1"/>
                  </w14:solidFill>
                </w14:textFill>
              </w:rPr>
              <w:t>氯酚、苯并</w:t>
            </w:r>
            <w:r>
              <w:rPr>
                <w:rFonts w:ascii="Times New Roman" w:hAnsi="Times New Roman"/>
                <w:color w:val="000000" w:themeColor="text1"/>
                <w:sz w:val="18"/>
                <w:szCs w:val="18"/>
                <w14:textFill>
                  <w14:solidFill>
                    <w14:schemeClr w14:val="tx1"/>
                  </w14:solidFill>
                </w14:textFill>
              </w:rPr>
              <w:t>(a)</w:t>
            </w:r>
            <w:r>
              <w:rPr>
                <w:rFonts w:ascii="Times New Roman" w:hAnsi="宋体"/>
                <w:color w:val="000000" w:themeColor="text1"/>
                <w:sz w:val="18"/>
                <w:szCs w:val="18"/>
                <w14:textFill>
                  <w14:solidFill>
                    <w14:schemeClr w14:val="tx1"/>
                  </w14:solidFill>
                </w14:textFill>
              </w:rPr>
              <w:t>蒽、苯并</w:t>
            </w:r>
            <w:r>
              <w:rPr>
                <w:rFonts w:ascii="Times New Roman" w:hAnsi="Times New Roman"/>
                <w:color w:val="000000" w:themeColor="text1"/>
                <w:sz w:val="18"/>
                <w:szCs w:val="18"/>
                <w14:textFill>
                  <w14:solidFill>
                    <w14:schemeClr w14:val="tx1"/>
                  </w14:solidFill>
                </w14:textFill>
              </w:rPr>
              <w:t>(a)</w:t>
            </w:r>
            <w:r>
              <w:rPr>
                <w:rFonts w:ascii="Times New Roman" w:hAnsi="宋体"/>
                <w:color w:val="000000" w:themeColor="text1"/>
                <w:sz w:val="18"/>
                <w:szCs w:val="18"/>
                <w14:textFill>
                  <w14:solidFill>
                    <w14:schemeClr w14:val="tx1"/>
                  </w14:solidFill>
                </w14:textFill>
              </w:rPr>
              <w:t>芘、苯并</w:t>
            </w:r>
            <w:r>
              <w:rPr>
                <w:rFonts w:ascii="Times New Roman" w:hAnsi="Times New Roman"/>
                <w:color w:val="000000" w:themeColor="text1"/>
                <w:sz w:val="18"/>
                <w:szCs w:val="18"/>
                <w14:textFill>
                  <w14:solidFill>
                    <w14:schemeClr w14:val="tx1"/>
                  </w14:solidFill>
                </w14:textFill>
              </w:rPr>
              <w:t>(b)</w:t>
            </w:r>
            <w:r>
              <w:rPr>
                <w:rFonts w:ascii="Times New Roman" w:hAnsi="宋体"/>
                <w:color w:val="000000" w:themeColor="text1"/>
                <w:sz w:val="18"/>
                <w:szCs w:val="18"/>
                <w14:textFill>
                  <w14:solidFill>
                    <w14:schemeClr w14:val="tx1"/>
                  </w14:solidFill>
                </w14:textFill>
              </w:rPr>
              <w:t>荧蒽、苯并</w:t>
            </w:r>
            <w:r>
              <w:rPr>
                <w:rFonts w:ascii="Times New Roman" w:hAnsi="Times New Roman"/>
                <w:color w:val="000000" w:themeColor="text1"/>
                <w:sz w:val="18"/>
                <w:szCs w:val="18"/>
                <w14:textFill>
                  <w14:solidFill>
                    <w14:schemeClr w14:val="tx1"/>
                  </w14:solidFill>
                </w14:textFill>
              </w:rPr>
              <w:t>(k)</w:t>
            </w:r>
            <w:r>
              <w:rPr>
                <w:rFonts w:ascii="Times New Roman" w:hAnsi="宋体"/>
                <w:color w:val="000000" w:themeColor="text1"/>
                <w:sz w:val="18"/>
                <w:szCs w:val="18"/>
                <w14:textFill>
                  <w14:solidFill>
                    <w14:schemeClr w14:val="tx1"/>
                  </w14:solidFill>
                </w14:textFill>
              </w:rPr>
              <w:t>荧蒽、䓛、二苯并</w:t>
            </w:r>
            <w:r>
              <w:rPr>
                <w:rFonts w:ascii="Times New Roman" w:hAnsi="Times New Roman"/>
                <w:color w:val="000000" w:themeColor="text1"/>
                <w:sz w:val="18"/>
                <w:szCs w:val="18"/>
                <w14:textFill>
                  <w14:solidFill>
                    <w14:schemeClr w14:val="tx1"/>
                  </w14:solidFill>
                </w14:textFill>
              </w:rPr>
              <w:t>(a,h)</w:t>
            </w:r>
            <w:r>
              <w:rPr>
                <w:rFonts w:ascii="Times New Roman" w:hAnsi="宋体"/>
                <w:color w:val="000000" w:themeColor="text1"/>
                <w:sz w:val="18"/>
                <w:szCs w:val="18"/>
                <w14:textFill>
                  <w14:solidFill>
                    <w14:schemeClr w14:val="tx1"/>
                  </w14:solidFill>
                </w14:textFill>
              </w:rPr>
              <w:t>蒽、茚并</w:t>
            </w:r>
            <w:r>
              <w:rPr>
                <w:rFonts w:ascii="Times New Roman" w:hAnsi="Times New Roman"/>
                <w:color w:val="000000" w:themeColor="text1"/>
                <w:sz w:val="18"/>
                <w:szCs w:val="18"/>
                <w14:textFill>
                  <w14:solidFill>
                    <w14:schemeClr w14:val="tx1"/>
                  </w14:solidFill>
                </w14:textFill>
              </w:rPr>
              <w:t>(1,2,3-cd)</w:t>
            </w:r>
            <w:r>
              <w:rPr>
                <w:rFonts w:ascii="Times New Roman" w:hAnsi="宋体"/>
                <w:color w:val="000000" w:themeColor="text1"/>
                <w:sz w:val="18"/>
                <w:szCs w:val="18"/>
                <w14:textFill>
                  <w14:solidFill>
                    <w14:schemeClr w14:val="tx1"/>
                  </w14:solidFill>
                </w14:textFill>
              </w:rPr>
              <w:t>芘、萘；</w:t>
            </w:r>
          </w:p>
        </w:tc>
        <w:tc>
          <w:tcPr>
            <w:tcW w:w="15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984" w:type="dxa"/>
            <w:vAlign w:val="center"/>
          </w:tcPr>
          <w:p>
            <w:pPr>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氟化物</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bl>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13" w:name="_Toc11285"/>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2.6</w:t>
      </w:r>
      <w:r>
        <w:rPr>
          <w:rFonts w:ascii="黑体" w:hAnsi="黑体" w:eastAsia="黑体"/>
          <w:b/>
          <w:color w:val="000000" w:themeColor="text1"/>
          <w:sz w:val="32"/>
          <w:szCs w:val="32"/>
          <w14:textFill>
            <w14:solidFill>
              <w14:schemeClr w14:val="tx1"/>
            </w14:solidFill>
          </w14:textFill>
        </w:rPr>
        <w:t>项目所在区域环境功能区划</w:t>
      </w:r>
      <w:bookmarkEnd w:id="113"/>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bookmarkStart w:id="114" w:name="_Toc365838146"/>
      <w:r>
        <w:rPr>
          <w:rFonts w:hint="eastAsia" w:ascii="Times New Roman" w:hAnsiTheme="minorEastAsia" w:eastAsiaTheme="minorEastAsia"/>
          <w:snapToGrid w:val="0"/>
          <w:color w:val="000000" w:themeColor="text1"/>
          <w:kern w:val="0"/>
          <w:sz w:val="24"/>
          <w:szCs w:val="24"/>
          <w14:textFill>
            <w14:solidFill>
              <w14:schemeClr w14:val="tx1"/>
            </w14:solidFill>
          </w14:textFill>
        </w:rPr>
        <w:t>氟硅酸钠生产加工项目一期</w:t>
      </w:r>
      <w:r>
        <w:rPr>
          <w:rFonts w:ascii="Times New Roman" w:hAnsiTheme="minorEastAsia" w:eastAsiaTheme="minorEastAsia"/>
          <w:snapToGrid w:val="0"/>
          <w:color w:val="000000" w:themeColor="text1"/>
          <w:kern w:val="0"/>
          <w:sz w:val="24"/>
          <w:szCs w:val="24"/>
          <w14:textFill>
            <w14:solidFill>
              <w14:schemeClr w14:val="tx1"/>
            </w14:solidFill>
          </w14:textFill>
        </w:rPr>
        <w:t>位于宜昌</w:t>
      </w:r>
      <w:r>
        <w:rPr>
          <w:rFonts w:hint="eastAsia" w:ascii="Times New Roman" w:hAnsiTheme="minorEastAsia" w:eastAsiaTheme="minorEastAsia"/>
          <w:snapToGrid w:val="0"/>
          <w:color w:val="000000" w:themeColor="text1"/>
          <w:kern w:val="0"/>
          <w:sz w:val="24"/>
          <w:szCs w:val="24"/>
          <w14:textFill>
            <w14:solidFill>
              <w14:schemeClr w14:val="tx1"/>
            </w14:solidFill>
          </w14:textFill>
        </w:rPr>
        <w:t>化工园宜都园区</w:t>
      </w:r>
      <w:r>
        <w:rPr>
          <w:rFonts w:ascii="Times New Roman" w:hAnsiTheme="minorEastAsia" w:eastAsiaTheme="minorEastAsia"/>
          <w:snapToGrid w:val="0"/>
          <w:color w:val="000000" w:themeColor="text1"/>
          <w:kern w:val="0"/>
          <w:sz w:val="24"/>
          <w:szCs w:val="24"/>
          <w14:textFill>
            <w14:solidFill>
              <w14:schemeClr w14:val="tx1"/>
            </w14:solidFill>
          </w14:textFill>
        </w:rPr>
        <w:t>（</w:t>
      </w:r>
      <w:r>
        <w:rPr>
          <w:rFonts w:hint="eastAsia" w:ascii="Times New Roman" w:hAnsiTheme="minorEastAsia" w:eastAsiaTheme="minorEastAsia"/>
          <w:snapToGrid w:val="0"/>
          <w:color w:val="000000" w:themeColor="text1"/>
          <w:kern w:val="0"/>
          <w:sz w:val="24"/>
          <w:szCs w:val="24"/>
          <w14:textFill>
            <w14:solidFill>
              <w14:schemeClr w14:val="tx1"/>
            </w14:solidFill>
          </w14:textFill>
        </w:rPr>
        <w:t>宜都市枝城镇官坪村</w:t>
      </w:r>
      <w:r>
        <w:rPr>
          <w:rFonts w:ascii="Times New Roman" w:hAnsiTheme="minorEastAsia" w:eastAsiaTheme="minorEastAsia"/>
          <w:snapToGrid w:val="0"/>
          <w:color w:val="000000" w:themeColor="text1"/>
          <w:kern w:val="0"/>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，根据《宜昌市环境功能区划分方案》，</w:t>
      </w:r>
      <w:bookmarkEnd w:id="114"/>
      <w:r>
        <w:rPr>
          <w:rFonts w:ascii="Times New Roman" w:hAnsiTheme="minorEastAsia" w:eastAsiaTheme="minorEastAsia"/>
          <w:color w:val="000000" w:themeColor="text1"/>
          <w:sz w:val="24"/>
          <w:szCs w:val="24"/>
          <w14:textFill>
            <w14:solidFill>
              <w14:schemeClr w14:val="tx1"/>
            </w14:solidFill>
          </w14:textFill>
        </w:rPr>
        <w:t>该项目所属的各类功能区区划范围见表</w:t>
      </w:r>
      <w:r>
        <w:rPr>
          <w:rFonts w:hint="eastAsia" w:ascii="Times New Roman" w:hAnsi="Times New Roman" w:eastAsiaTheme="minorEastAsia"/>
          <w:color w:val="000000" w:themeColor="text1"/>
          <w:sz w:val="24"/>
          <w:szCs w:val="24"/>
          <w:lang w:val="en-US" w:eastAsia="zh-CN"/>
          <w14:textFill>
            <w14:solidFill>
              <w14:schemeClr w14:val="tx1"/>
            </w14:solidFill>
          </w14:textFill>
        </w:rPr>
        <w:t>2.6</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w:t>
      </w:r>
    </w:p>
    <w:p>
      <w:pPr>
        <w:pStyle w:val="384"/>
        <w:adjustRightInd w:val="0"/>
        <w:snapToGrid w:val="0"/>
        <w:spacing w:line="520" w:lineRule="exact"/>
        <w:ind w:firstLine="0" w:firstLineChars="0"/>
        <w:jc w:val="center"/>
        <w:rPr>
          <w:rFonts w:ascii="Times New Roman" w:hAnsi="Times New Roman" w:cs="Times New Roman" w:eastAsiaTheme="minorEastAsia"/>
          <w:b/>
          <w:bCs/>
          <w:color w:val="000000" w:themeColor="text1"/>
          <w:szCs w:val="24"/>
          <w:lang w:val="zh-CN"/>
          <w14:textFill>
            <w14:solidFill>
              <w14:schemeClr w14:val="tx1"/>
            </w14:solidFill>
          </w14:textFill>
        </w:rPr>
      </w:pPr>
      <w:r>
        <w:rPr>
          <w:rFonts w:ascii="Times New Roman" w:cs="Times New Roman" w:hAnsiTheme="minorEastAsia" w:eastAsiaTheme="minorEastAsia"/>
          <w:b/>
          <w:bCs/>
          <w:color w:val="000000" w:themeColor="text1"/>
          <w:szCs w:val="24"/>
          <w:lang w:val="zh-CN"/>
          <w14:textFill>
            <w14:solidFill>
              <w14:schemeClr w14:val="tx1"/>
            </w14:solidFill>
          </w14:textFill>
        </w:rPr>
        <w:t>表</w:t>
      </w:r>
      <w:r>
        <w:rPr>
          <w:rFonts w:hint="eastAsia" w:ascii="Times New Roman" w:hAnsi="Times New Roman" w:cs="Times New Roman" w:eastAsiaTheme="minorEastAsia"/>
          <w:b/>
          <w:bCs/>
          <w:color w:val="000000" w:themeColor="text1"/>
          <w:szCs w:val="24"/>
          <w:lang w:val="en-US" w:eastAsia="zh-CN"/>
          <w14:textFill>
            <w14:solidFill>
              <w14:schemeClr w14:val="tx1"/>
            </w14:solidFill>
          </w14:textFill>
        </w:rPr>
        <w:t>2.6</w:t>
      </w:r>
      <w:r>
        <w:rPr>
          <w:rFonts w:ascii="Times New Roman" w:hAnsi="Times New Roman" w:cs="Times New Roman" w:eastAsiaTheme="minorEastAsia"/>
          <w:b/>
          <w:bCs/>
          <w:color w:val="000000" w:themeColor="text1"/>
          <w:szCs w:val="24"/>
          <w14:textFill>
            <w14:solidFill>
              <w14:schemeClr w14:val="tx1"/>
            </w14:solidFill>
          </w14:textFill>
        </w:rPr>
        <w:t>-1</w:t>
      </w:r>
      <w:r>
        <w:rPr>
          <w:rFonts w:hint="eastAsia" w:ascii="Times New Roman" w:hAnsi="Times New Roman" w:cs="Times New Roman" w:eastAsiaTheme="minorEastAsia"/>
          <w:b/>
          <w:bCs/>
          <w:color w:val="000000" w:themeColor="text1"/>
          <w:szCs w:val="24"/>
          <w:lang w:val="zh-CN"/>
          <w14:textFill>
            <w14:solidFill>
              <w14:schemeClr w14:val="tx1"/>
            </w14:solidFill>
          </w14:textFill>
        </w:rPr>
        <w:t xml:space="preserve">   </w:t>
      </w:r>
      <w:r>
        <w:rPr>
          <w:rFonts w:ascii="Times New Roman" w:cs="Times New Roman" w:hAnsiTheme="minorEastAsia" w:eastAsiaTheme="minorEastAsia"/>
          <w:b/>
          <w:bCs/>
          <w:color w:val="000000" w:themeColor="text1"/>
          <w:szCs w:val="24"/>
          <w:lang w:val="zh-CN"/>
          <w14:textFill>
            <w14:solidFill>
              <w14:schemeClr w14:val="tx1"/>
            </w14:solidFill>
          </w14:textFill>
        </w:rPr>
        <w:t>项目所在区域环境功能区划一览表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904"/>
        <w:gridCol w:w="3028"/>
        <w:gridCol w:w="41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0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序号</w:t>
            </w:r>
          </w:p>
        </w:tc>
        <w:tc>
          <w:tcPr>
            <w:tcW w:w="3028"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项目</w:t>
            </w:r>
          </w:p>
        </w:tc>
        <w:tc>
          <w:tcPr>
            <w:tcW w:w="4163"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0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3028"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地表水环境功能区划</w:t>
            </w:r>
          </w:p>
        </w:tc>
        <w:tc>
          <w:tcPr>
            <w:tcW w:w="4163"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Ⅲ</w:t>
            </w:r>
            <w:r>
              <w:rPr>
                <w:rFonts w:ascii="Times New Roman" w:hAnsiTheme="minorEastAsia" w:eastAsiaTheme="minorEastAsia"/>
                <w:color w:val="000000" w:themeColor="text1"/>
                <w:szCs w:val="21"/>
                <w14:textFill>
                  <w14:solidFill>
                    <w14:schemeClr w14:val="tx1"/>
                  </w14:solidFill>
                </w14:textFill>
              </w:rPr>
              <w:t>类</w:t>
            </w:r>
            <w:r>
              <w:rPr>
                <w:rFonts w:ascii="Times New Roman" w:hAnsi="Times New Roman" w:eastAsiaTheme="minorEastAsia"/>
                <w:color w:val="000000" w:themeColor="text1"/>
                <w:szCs w:val="21"/>
                <w14:textFill>
                  <w14:solidFill>
                    <w14:schemeClr w14:val="tx1"/>
                  </w14:solidFill>
                </w14:textFill>
              </w:rPr>
              <w:t>(</w:t>
            </w:r>
            <w:r>
              <w:rPr>
                <w:rFonts w:ascii="Times New Roman" w:hAnsiTheme="minorEastAsia" w:eastAsiaTheme="minorEastAsia"/>
                <w:color w:val="000000" w:themeColor="text1"/>
                <w:szCs w:val="21"/>
                <w14:textFill>
                  <w14:solidFill>
                    <w14:schemeClr w14:val="tx1"/>
                  </w14:solidFill>
                </w14:textFill>
              </w:rPr>
              <w:t>长江</w:t>
            </w:r>
            <w:r>
              <w:rPr>
                <w:rFonts w:ascii="Times New Roman" w:hAnsi="Times New Roman" w:eastAsiaTheme="minorEastAsia"/>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0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w:t>
            </w:r>
          </w:p>
        </w:tc>
        <w:tc>
          <w:tcPr>
            <w:tcW w:w="3028"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环境空气质量功能区划</w:t>
            </w:r>
          </w:p>
        </w:tc>
        <w:tc>
          <w:tcPr>
            <w:tcW w:w="4163"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0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p>
        </w:tc>
        <w:tc>
          <w:tcPr>
            <w:tcW w:w="3028"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声环境功能区划</w:t>
            </w:r>
          </w:p>
        </w:tc>
        <w:tc>
          <w:tcPr>
            <w:tcW w:w="4163"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r>
              <w:rPr>
                <w:rFonts w:ascii="Times New Roman" w:hAnsiTheme="minorEastAsia" w:eastAsiaTheme="minorEastAsia"/>
                <w:color w:val="000000" w:themeColor="text1"/>
                <w:szCs w:val="21"/>
                <w14:textFill>
                  <w14:solidFill>
                    <w14:schemeClr w14:val="tx1"/>
                  </w14:solidFill>
                </w14:textFill>
              </w:rPr>
              <w:t>类区</w:t>
            </w:r>
          </w:p>
        </w:tc>
      </w:tr>
    </w:tbl>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15" w:name="_Toc13808"/>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2.7</w:t>
      </w:r>
      <w:r>
        <w:rPr>
          <w:rFonts w:ascii="黑体" w:hAnsi="黑体" w:eastAsia="黑体"/>
          <w:b/>
          <w:color w:val="000000" w:themeColor="text1"/>
          <w:sz w:val="32"/>
          <w:szCs w:val="32"/>
          <w14:textFill>
            <w14:solidFill>
              <w14:schemeClr w14:val="tx1"/>
            </w14:solidFill>
          </w14:textFill>
        </w:rPr>
        <w:t>评价工作等级</w:t>
      </w:r>
      <w:r>
        <w:rPr>
          <w:rFonts w:hint="eastAsia" w:ascii="黑体" w:hAnsi="黑体" w:eastAsia="黑体"/>
          <w:b/>
          <w:color w:val="000000" w:themeColor="text1"/>
          <w:sz w:val="32"/>
          <w:szCs w:val="32"/>
          <w14:textFill>
            <w14:solidFill>
              <w14:schemeClr w14:val="tx1"/>
            </w14:solidFill>
          </w14:textFill>
        </w:rPr>
        <w:t>及评价范围</w:t>
      </w:r>
      <w:bookmarkEnd w:id="115"/>
    </w:p>
    <w:p>
      <w:pPr>
        <w:pStyle w:val="262"/>
        <w:adjustRightInd w:val="0"/>
        <w:snapToGrid w:val="0"/>
        <w:spacing w:line="520" w:lineRule="exact"/>
        <w:ind w:firstLine="48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根据项目污染物的排放特征、所在区域环境功能区划分及污染现状，按照《环境影响评价导则》要求，评价工作等级划分如下：</w:t>
      </w: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bookmarkStart w:id="116" w:name="_Toc9650"/>
      <w:bookmarkStart w:id="117" w:name="_Toc14416"/>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2.7.1</w:t>
      </w:r>
      <w:r>
        <w:rPr>
          <w:rFonts w:ascii="黑体" w:hAnsi="黑体" w:eastAsia="黑体" w:cs="Times New Roman"/>
          <w:b/>
          <w:color w:val="000000" w:themeColor="text1"/>
          <w:szCs w:val="28"/>
          <w14:textFill>
            <w14:solidFill>
              <w14:schemeClr w14:val="tx1"/>
            </w14:solidFill>
          </w14:textFill>
        </w:rPr>
        <w:t>环境空气</w:t>
      </w:r>
      <w:bookmarkEnd w:id="116"/>
      <w:bookmarkEnd w:id="117"/>
    </w:p>
    <w:p>
      <w:pPr>
        <w:pStyle w:val="431"/>
        <w:spacing w:line="500" w:lineRule="exact"/>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项目所排放的废气主要包括</w:t>
      </w:r>
      <w:r>
        <w:rPr>
          <w:rFonts w:hint="eastAsia" w:ascii="Times New Roman" w:hAnsi="Times New Roman" w:eastAsia="宋体"/>
          <w:snapToGrid w:val="0"/>
          <w:color w:val="000000" w:themeColor="text1"/>
          <w14:textFill>
            <w14:solidFill>
              <w14:schemeClr w14:val="tx1"/>
            </w14:solidFill>
          </w14:textFill>
        </w:rPr>
        <w:t>有组织废气（</w:t>
      </w:r>
      <w:r>
        <w:rPr>
          <w:rFonts w:hint="eastAsia" w:ascii="Times New Roman" w:hAnsi="Times New Roman" w:eastAsia="宋体"/>
          <w:color w:val="000000" w:themeColor="text1"/>
          <w14:textFill>
            <w14:solidFill>
              <w14:schemeClr w14:val="tx1"/>
            </w14:solidFill>
          </w14:textFill>
        </w:rPr>
        <w:t>酸性废气吸收塔收集处理后排放的酸性废气、中性废气吸收塔收集处理后排放的中性废气）和无组织废气（</w:t>
      </w:r>
      <w:r>
        <w:rPr>
          <w:rFonts w:hint="eastAsia" w:ascii="Times New Roman" w:hAnsi="Times New Roman" w:eastAsia="宋体"/>
          <w:color w:val="000000" w:themeColor="text1"/>
          <w:lang w:val="en-US" w:eastAsia="zh-CN"/>
          <w14:textFill>
            <w14:solidFill>
              <w14:schemeClr w14:val="tx1"/>
            </w14:solidFill>
          </w14:textFill>
        </w:rPr>
        <w:t>未收集的少量溶盐、调浆过程中产生的投料粉尘</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snapToGrid w:val="0"/>
          <w:color w:val="000000" w:themeColor="text1"/>
          <w14:textFill>
            <w14:solidFill>
              <w14:schemeClr w14:val="tx1"/>
            </w14:solidFill>
          </w14:textFill>
        </w:rPr>
        <w:t>根据</w:t>
      </w:r>
      <w:r>
        <w:rPr>
          <w:rFonts w:ascii="Times New Roman" w:hAnsi="Times New Roman" w:eastAsia="宋体"/>
          <w:snapToGrid w:val="0"/>
          <w:color w:val="000000" w:themeColor="text1"/>
          <w14:textFill>
            <w14:solidFill>
              <w14:schemeClr w14:val="tx1"/>
            </w14:solidFill>
          </w14:textFill>
        </w:rPr>
        <w:t>《环境影响评价技术导则  大气环境》（HJ2.2－2018）中规定工作等级分级依据（见表</w:t>
      </w:r>
      <w:r>
        <w:rPr>
          <w:rFonts w:hint="eastAsia" w:ascii="Times New Roman" w:hAnsi="Times New Roman" w:eastAsia="宋体"/>
          <w:snapToGrid w:val="0"/>
          <w:color w:val="000000" w:themeColor="text1"/>
          <w:lang w:val="en-US" w:eastAsia="zh-CN"/>
          <w14:textFill>
            <w14:solidFill>
              <w14:schemeClr w14:val="tx1"/>
            </w14:solidFill>
          </w14:textFill>
        </w:rPr>
        <w:t>2.7</w:t>
      </w:r>
      <w:r>
        <w:rPr>
          <w:rFonts w:ascii="Times New Roman" w:hAnsi="Times New Roman" w:eastAsia="宋体"/>
          <w:snapToGrid w:val="0"/>
          <w:color w:val="000000" w:themeColor="text1"/>
          <w14:textFill>
            <w14:solidFill>
              <w14:schemeClr w14:val="tx1"/>
            </w14:solidFill>
          </w14:textFill>
        </w:rPr>
        <w:t>-1），以本项目</w:t>
      </w:r>
      <w:r>
        <w:rPr>
          <w:rFonts w:hint="eastAsia" w:ascii="Times New Roman" w:hAnsi="Times New Roman" w:eastAsia="宋体"/>
          <w:snapToGrid w:val="0"/>
          <w:color w:val="000000" w:themeColor="text1"/>
          <w14:textFill>
            <w14:solidFill>
              <w14:schemeClr w14:val="tx1"/>
            </w14:solidFill>
          </w14:textFill>
        </w:rPr>
        <w:t>排放源</w:t>
      </w:r>
      <w:r>
        <w:rPr>
          <w:rFonts w:ascii="Times New Roman" w:hAnsi="Times New Roman" w:eastAsia="宋体"/>
          <w:snapToGrid w:val="0"/>
          <w:color w:val="000000" w:themeColor="text1"/>
          <w14:textFill>
            <w14:solidFill>
              <w14:schemeClr w14:val="tx1"/>
            </w14:solidFill>
          </w14:textFill>
        </w:rPr>
        <w:t>主要污染物</w:t>
      </w:r>
      <w:r>
        <w:rPr>
          <w:rFonts w:hint="eastAsia" w:ascii="Times New Roman" w:hAnsi="Times New Roman" w:eastAsia="宋体"/>
          <w:snapToGrid w:val="0"/>
          <w:color w:val="000000" w:themeColor="text1"/>
          <w14:textFill>
            <w14:solidFill>
              <w14:schemeClr w14:val="tx1"/>
            </w14:solidFill>
          </w14:textFill>
        </w:rPr>
        <w:t>颗粒物、氯化氢、氟化物</w:t>
      </w:r>
      <w:r>
        <w:rPr>
          <w:rFonts w:hint="eastAsia" w:ascii="Times New Roman" w:hAnsi="Times New Roman" w:eastAsia="宋体"/>
          <w:snapToGrid w:val="0"/>
          <w:color w:val="000000" w:themeColor="text1"/>
          <w:lang w:val="en-US" w:eastAsia="zh-CN"/>
          <w14:textFill>
            <w14:solidFill>
              <w14:schemeClr w14:val="tx1"/>
            </w14:solidFill>
          </w14:textFill>
        </w:rPr>
        <w:t>最大落地浓度</w:t>
      </w:r>
      <w:r>
        <w:rPr>
          <w:rFonts w:ascii="Times New Roman" w:hAnsi="Times New Roman" w:eastAsia="宋体"/>
          <w:snapToGrid w:val="0"/>
          <w:color w:val="000000" w:themeColor="text1"/>
          <w14:textFill>
            <w14:solidFill>
              <w14:schemeClr w14:val="tx1"/>
            </w14:solidFill>
          </w14:textFill>
        </w:rPr>
        <w:t>占标率来确定其评价工作等级。</w:t>
      </w:r>
    </w:p>
    <w:p>
      <w:pPr>
        <w:pStyle w:val="24"/>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w:t>
      </w:r>
      <w:r>
        <w:rPr>
          <w:rFonts w:hint="eastAsia" w:ascii="Times New Roman" w:hAnsi="Times New Roman" w:eastAsia="宋体"/>
          <w:b/>
          <w:color w:val="000000" w:themeColor="text1"/>
          <w:szCs w:val="24"/>
          <w:lang w:val="en-US" w:eastAsia="zh-CN"/>
          <w14:textFill>
            <w14:solidFill>
              <w14:schemeClr w14:val="tx1"/>
            </w14:solidFill>
          </w14:textFill>
        </w:rPr>
        <w:t>2.7</w:t>
      </w:r>
      <w:r>
        <w:rPr>
          <w:rFonts w:ascii="Times New Roman" w:hAnsi="Times New Roman" w:eastAsia="宋体"/>
          <w:b/>
          <w:color w:val="000000" w:themeColor="text1"/>
          <w:szCs w:val="24"/>
          <w14:textFill>
            <w14:solidFill>
              <w14:schemeClr w14:val="tx1"/>
            </w14:solidFill>
          </w14:textFill>
        </w:rPr>
        <w:t>-1</w:t>
      </w:r>
      <w:r>
        <w:rPr>
          <w:rFonts w:hint="eastAsia" w:ascii="Times New Roman" w:hAnsi="Times New Roman" w:eastAsia="宋体"/>
          <w:b/>
          <w:color w:val="000000" w:themeColor="text1"/>
          <w:szCs w:val="24"/>
          <w14:textFill>
            <w14:solidFill>
              <w14:schemeClr w14:val="tx1"/>
            </w14:solidFill>
          </w14:textFill>
        </w:rPr>
        <w:t xml:space="preserve">  </w:t>
      </w:r>
      <w:r>
        <w:rPr>
          <w:rFonts w:ascii="Times New Roman" w:hAnsi="Times New Roman" w:eastAsia="宋体"/>
          <w:b/>
          <w:color w:val="000000" w:themeColor="text1"/>
          <w:szCs w:val="24"/>
          <w14:textFill>
            <w14:solidFill>
              <w14:schemeClr w14:val="tx1"/>
            </w14:solidFill>
          </w14:textFill>
        </w:rPr>
        <w:t>大气环境影响评价工作等级分级依据</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1"/>
        <w:gridCol w:w="61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91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评价工作等级</w:t>
            </w:r>
          </w:p>
        </w:tc>
        <w:tc>
          <w:tcPr>
            <w:tcW w:w="618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评价工作分级依据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91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一级评价</w:t>
            </w:r>
          </w:p>
        </w:tc>
        <w:tc>
          <w:tcPr>
            <w:tcW w:w="618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Pmax≥10%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91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二级评价</w:t>
            </w:r>
          </w:p>
        </w:tc>
        <w:tc>
          <w:tcPr>
            <w:tcW w:w="618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1%≤Pmax＜10%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911"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三级评价</w:t>
            </w:r>
          </w:p>
        </w:tc>
        <w:tc>
          <w:tcPr>
            <w:tcW w:w="6184"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Pmax＜1%</w:t>
            </w:r>
          </w:p>
        </w:tc>
      </w:tr>
    </w:tbl>
    <w:p>
      <w:pPr>
        <w:pStyle w:val="433"/>
        <w:spacing w:before="48"/>
        <w:jc w:val="left"/>
        <w:rPr>
          <w:color w:val="000000" w:themeColor="text1"/>
          <w14:textFill>
            <w14:solidFill>
              <w14:schemeClr w14:val="tx1"/>
            </w14:solidFill>
          </w14:textFill>
        </w:rPr>
      </w:pPr>
      <w:r>
        <w:rPr>
          <w:rFonts w:ascii="Times New Roman" w:hAnsi="Times New Roman" w:eastAsia="宋体" w:cstheme="minorBidi"/>
          <w:snapToGrid w:val="0"/>
          <w:color w:val="000000" w:themeColor="text1"/>
          <w:kern w:val="0"/>
          <w:sz w:val="24"/>
          <w:szCs w:val="24"/>
          <w:lang w:val="en-US" w:eastAsia="zh-CN" w:bidi="ar-SA"/>
          <w14:textFill>
            <w14:solidFill>
              <w14:schemeClr w14:val="tx1"/>
            </w14:solidFill>
          </w14:textFill>
        </w:rPr>
        <w:t>按照《环境影响评价技术导则 大气环境》（HJ2.2-2018）规定，分别计算每一种污染物的最大地面质量浓度占标率Pi（第i个污染物），及第i个污染物的地面质量浓度达标准限值 10%时所对应的最远距离 D10%，其中Pi定义为</w:t>
      </w:r>
      <w:r>
        <w:rPr>
          <w:color w:val="000000" w:themeColor="text1"/>
          <w14:textFill>
            <w14:solidFill>
              <w14:schemeClr w14:val="tx1"/>
            </w14:solidFill>
          </w14:textFill>
        </w:rPr>
        <w:t>：</w:t>
      </w:r>
    </w:p>
    <w:p>
      <w:pPr>
        <w:pStyle w:val="433"/>
        <w:spacing w:before="48"/>
        <w:ind w:firstLine="3600" w:firstLineChars="15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Pi＝(C</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/C</w:t>
      </w:r>
      <w:r>
        <w:rPr>
          <w:rFonts w:ascii="Times New Roman" w:hAnsi="Times New Roman"/>
          <w:color w:val="000000" w:themeColor="text1"/>
          <w:vertAlign w:val="subscript"/>
          <w14:textFill>
            <w14:solidFill>
              <w14:schemeClr w14:val="tx1"/>
            </w14:solidFill>
          </w14:textFill>
        </w:rPr>
        <w:t>0i</w:t>
      </w:r>
      <w:r>
        <w:rPr>
          <w:rFonts w:ascii="Times New Roman" w:hAnsi="Times New Roman"/>
          <w:color w:val="000000" w:themeColor="text1"/>
          <w14:textFill>
            <w14:solidFill>
              <w14:schemeClr w14:val="tx1"/>
            </w14:solidFill>
          </w14:textFill>
        </w:rPr>
        <w:t>)×100%</w:t>
      </w:r>
    </w:p>
    <w:p>
      <w:pPr>
        <w:pStyle w:val="433"/>
        <w:spacing w:before="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 P</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——第i个污染物最大地面浓度占标率，%；</w:t>
      </w:r>
    </w:p>
    <w:p>
      <w:pPr>
        <w:pStyle w:val="433"/>
        <w:spacing w:before="48"/>
        <w:ind w:firstLine="1200" w:firstLineChars="5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C</w:t>
      </w:r>
      <w:r>
        <w:rPr>
          <w:rFonts w:ascii="Times New Roman" w:hAnsi="Times New Roman"/>
          <w:color w:val="000000" w:themeColor="text1"/>
          <w:szCs w:val="24"/>
          <w:vertAlign w:val="subscript"/>
          <w14:textFill>
            <w14:solidFill>
              <w14:schemeClr w14:val="tx1"/>
            </w14:solidFill>
          </w14:textFill>
        </w:rPr>
        <w:t>i</w:t>
      </w:r>
      <w:r>
        <w:rPr>
          <w:rFonts w:ascii="Times New Roman" w:hAnsi="Times New Roman"/>
          <w:color w:val="000000" w:themeColor="text1"/>
          <w:szCs w:val="24"/>
          <w14:textFill>
            <w14:solidFill>
              <w14:schemeClr w14:val="tx1"/>
            </w14:solidFill>
          </w14:textFill>
        </w:rPr>
        <w:t>——采用估算模式计算出的第i个污染物的最大地面浓度，ug/m</w:t>
      </w:r>
      <w:r>
        <w:rPr>
          <w:rFonts w:ascii="Times New Roman" w:hAnsi="Times New Roman"/>
          <w:color w:val="000000" w:themeColor="text1"/>
          <w:szCs w:val="24"/>
          <w:vertAlign w:val="super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w:t>
      </w:r>
    </w:p>
    <w:p>
      <w:pPr>
        <w:pStyle w:val="433"/>
        <w:spacing w:before="48"/>
        <w:ind w:firstLine="1200" w:firstLineChars="50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C</w:t>
      </w:r>
      <w:r>
        <w:rPr>
          <w:rFonts w:ascii="Times New Roman" w:hAnsi="Times New Roman"/>
          <w:color w:val="000000" w:themeColor="text1"/>
          <w:szCs w:val="24"/>
          <w:vertAlign w:val="subscript"/>
          <w14:textFill>
            <w14:solidFill>
              <w14:schemeClr w14:val="tx1"/>
            </w14:solidFill>
          </w14:textFill>
        </w:rPr>
        <w:t>oi</w:t>
      </w:r>
      <w:r>
        <w:rPr>
          <w:rFonts w:ascii="Times New Roman" w:hAnsi="Times New Roman"/>
          <w:color w:val="000000" w:themeColor="text1"/>
          <w:szCs w:val="24"/>
          <w14:textFill>
            <w14:solidFill>
              <w14:schemeClr w14:val="tx1"/>
            </w14:solidFill>
          </w14:textFill>
        </w:rPr>
        <w:t>——第i个污染物环境空气质量标准，ug/m</w:t>
      </w:r>
      <w:r>
        <w:rPr>
          <w:rFonts w:ascii="Times New Roman" w:hAnsi="Times New Roman"/>
          <w:color w:val="000000" w:themeColor="text1"/>
          <w:szCs w:val="24"/>
          <w:vertAlign w:val="super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w:t>
      </w:r>
    </w:p>
    <w:p>
      <w:pPr>
        <w:pStyle w:val="433"/>
        <w:spacing w:before="48"/>
        <w:rPr>
          <w:rFonts w:hint="eastAsia" w:ascii="Times New Roman" w:hAnsi="Times New Roman"/>
          <w:color w:val="000000" w:themeColor="text1"/>
          <w14:textFill>
            <w14:solidFill>
              <w14:schemeClr w14:val="tx1"/>
            </w14:solidFill>
          </w14:textFill>
        </w:rPr>
      </w:pPr>
      <w:r>
        <w:rPr>
          <w:rFonts w:ascii="Times New Roman" w:eastAsia="Times New Roman"/>
          <w:color w:val="000000" w:themeColor="text1"/>
          <w:position w:val="2"/>
          <w14:textFill>
            <w14:solidFill>
              <w14:schemeClr w14:val="tx1"/>
            </w14:solidFill>
          </w14:textFill>
        </w:rPr>
        <w:t>C</w:t>
      </w:r>
      <w:r>
        <w:rPr>
          <w:rFonts w:ascii="Times New Roman" w:eastAsia="Times New Roman"/>
          <w:color w:val="000000" w:themeColor="text1"/>
          <w:position w:val="2"/>
          <w:vertAlign w:val="subscript"/>
          <w14:textFill>
            <w14:solidFill>
              <w14:schemeClr w14:val="tx1"/>
            </w14:solidFill>
          </w14:textFill>
        </w:rPr>
        <w:t>0i</w:t>
      </w:r>
      <w:r>
        <w:rPr>
          <w:color w:val="000000" w:themeColor="text1"/>
          <w:spacing w:val="-10"/>
          <w:position w:val="2"/>
          <w:vertAlign w:val="baseline"/>
          <w14:textFill>
            <w14:solidFill>
              <w14:schemeClr w14:val="tx1"/>
            </w14:solidFill>
          </w14:textFill>
        </w:rPr>
        <w:t>－一般选用</w:t>
      </w:r>
      <w:r>
        <w:rPr>
          <w:rFonts w:ascii="Times New Roman" w:eastAsia="Times New Roman"/>
          <w:color w:val="000000" w:themeColor="text1"/>
          <w:position w:val="2"/>
          <w:vertAlign w:val="baseline"/>
          <w14:textFill>
            <w14:solidFill>
              <w14:schemeClr w14:val="tx1"/>
            </w14:solidFill>
          </w14:textFill>
        </w:rPr>
        <w:t>GB3095</w:t>
      </w:r>
      <w:r>
        <w:rPr>
          <w:color w:val="000000" w:themeColor="text1"/>
          <w:spacing w:val="-30"/>
          <w:position w:val="2"/>
          <w:vertAlign w:val="baseline"/>
          <w14:textFill>
            <w14:solidFill>
              <w14:schemeClr w14:val="tx1"/>
            </w14:solidFill>
          </w14:textFill>
        </w:rPr>
        <w:t xml:space="preserve">中 </w:t>
      </w:r>
      <w:r>
        <w:rPr>
          <w:rFonts w:ascii="Times New Roman" w:eastAsia="Times New Roman"/>
          <w:color w:val="000000" w:themeColor="text1"/>
          <w:position w:val="2"/>
          <w:vertAlign w:val="baseline"/>
          <w14:textFill>
            <w14:solidFill>
              <w14:schemeClr w14:val="tx1"/>
            </w14:solidFill>
          </w14:textFill>
        </w:rPr>
        <w:t>1h</w:t>
      </w:r>
      <w:r>
        <w:rPr>
          <w:color w:val="000000" w:themeColor="text1"/>
          <w:spacing w:val="-10"/>
          <w:position w:val="2"/>
          <w:vertAlign w:val="baseline"/>
          <w14:textFill>
            <w14:solidFill>
              <w14:schemeClr w14:val="tx1"/>
            </w14:solidFill>
          </w14:textFill>
        </w:rPr>
        <w:t>平均质量浓度的二级浓度限值，如项目位于一类环境</w:t>
      </w:r>
      <w:r>
        <w:rPr>
          <w:color w:val="000000" w:themeColor="text1"/>
          <w:spacing w:val="-1"/>
          <w:vertAlign w:val="baseline"/>
          <w14:textFill>
            <w14:solidFill>
              <w14:schemeClr w14:val="tx1"/>
            </w14:solidFill>
          </w14:textFill>
        </w:rPr>
        <w:t>空气功能区，应选择相应的一级浓度限值；对该标准中未包含的污染物，使用</w:t>
      </w:r>
      <w:r>
        <w:rPr>
          <w:rFonts w:ascii="Times New Roman" w:eastAsia="Times New Roman"/>
          <w:color w:val="000000" w:themeColor="text1"/>
          <w:vertAlign w:val="baseline"/>
          <w14:textFill>
            <w14:solidFill>
              <w14:schemeClr w14:val="tx1"/>
            </w14:solidFill>
          </w14:textFill>
        </w:rPr>
        <w:t>5.2</w:t>
      </w:r>
      <w:r>
        <w:rPr>
          <w:color w:val="000000" w:themeColor="text1"/>
          <w:vertAlign w:val="baseline"/>
          <w14:textFill>
            <w14:solidFill>
              <w14:schemeClr w14:val="tx1"/>
            </w14:solidFill>
          </w14:textFill>
        </w:rPr>
        <w:t>确</w:t>
      </w:r>
      <w:r>
        <w:rPr>
          <w:color w:val="000000" w:themeColor="text1"/>
          <w:spacing w:val="-8"/>
          <w:vertAlign w:val="baseline"/>
          <w14:textFill>
            <w14:solidFill>
              <w14:schemeClr w14:val="tx1"/>
            </w14:solidFill>
          </w14:textFill>
        </w:rPr>
        <w:t>定的各评价因子</w:t>
      </w:r>
      <w:r>
        <w:rPr>
          <w:rFonts w:ascii="Times New Roman" w:eastAsia="Times New Roman"/>
          <w:color w:val="000000" w:themeColor="text1"/>
          <w:vertAlign w:val="baseline"/>
          <w14:textFill>
            <w14:solidFill>
              <w14:schemeClr w14:val="tx1"/>
            </w14:solidFill>
          </w14:textFill>
        </w:rPr>
        <w:t>1h</w:t>
      </w:r>
      <w:r>
        <w:rPr>
          <w:color w:val="000000" w:themeColor="text1"/>
          <w:spacing w:val="-5"/>
          <w:vertAlign w:val="baseline"/>
          <w14:textFill>
            <w14:solidFill>
              <w14:schemeClr w14:val="tx1"/>
            </w14:solidFill>
          </w14:textFill>
        </w:rPr>
        <w:t>平均质量浓度限值。对仅有</w:t>
      </w:r>
      <w:r>
        <w:rPr>
          <w:rFonts w:ascii="Times New Roman" w:eastAsia="Times New Roman"/>
          <w:color w:val="000000" w:themeColor="text1"/>
          <w:vertAlign w:val="baseline"/>
          <w14:textFill>
            <w14:solidFill>
              <w14:schemeClr w14:val="tx1"/>
            </w14:solidFill>
          </w14:textFill>
        </w:rPr>
        <w:t>8h</w:t>
      </w:r>
      <w:r>
        <w:rPr>
          <w:color w:val="000000" w:themeColor="text1"/>
          <w:vertAlign w:val="baseline"/>
          <w14:textFill>
            <w14:solidFill>
              <w14:schemeClr w14:val="tx1"/>
            </w14:solidFill>
          </w14:textFill>
        </w:rPr>
        <w:t>平均质量浓度限值、日平均质量浓</w:t>
      </w:r>
      <w:r>
        <w:rPr>
          <w:color w:val="000000" w:themeColor="text1"/>
          <w:spacing w:val="-3"/>
          <w:vertAlign w:val="baseline"/>
          <w14:textFill>
            <w14:solidFill>
              <w14:schemeClr w14:val="tx1"/>
            </w14:solidFill>
          </w14:textFill>
        </w:rPr>
        <w:t xml:space="preserve">度限值或年平均质量浓度限值的，可分别按 </w:t>
      </w:r>
      <w:r>
        <w:rPr>
          <w:rFonts w:ascii="Times New Roman" w:eastAsia="Times New Roman"/>
          <w:color w:val="000000" w:themeColor="text1"/>
          <w:vertAlign w:val="baseline"/>
          <w14:textFill>
            <w14:solidFill>
              <w14:schemeClr w14:val="tx1"/>
            </w14:solidFill>
          </w14:textFill>
        </w:rPr>
        <w:t xml:space="preserve">2 </w:t>
      </w:r>
      <w:r>
        <w:rPr>
          <w:color w:val="000000" w:themeColor="text1"/>
          <w:vertAlign w:val="baseline"/>
          <w14:textFill>
            <w14:solidFill>
              <w14:schemeClr w14:val="tx1"/>
            </w14:solidFill>
          </w14:textFill>
        </w:rPr>
        <w:t>倍、</w:t>
      </w:r>
      <w:r>
        <w:rPr>
          <w:rFonts w:ascii="Times New Roman" w:eastAsia="Times New Roman"/>
          <w:color w:val="000000" w:themeColor="text1"/>
          <w:vertAlign w:val="baseline"/>
          <w14:textFill>
            <w14:solidFill>
              <w14:schemeClr w14:val="tx1"/>
            </w14:solidFill>
          </w14:textFill>
        </w:rPr>
        <w:t xml:space="preserve">3 </w:t>
      </w:r>
      <w:r>
        <w:rPr>
          <w:color w:val="000000" w:themeColor="text1"/>
          <w:vertAlign w:val="baseline"/>
          <w14:textFill>
            <w14:solidFill>
              <w14:schemeClr w14:val="tx1"/>
            </w14:solidFill>
          </w14:textFill>
        </w:rPr>
        <w:t>倍、</w:t>
      </w:r>
      <w:r>
        <w:rPr>
          <w:rFonts w:ascii="Times New Roman" w:eastAsia="Times New Roman"/>
          <w:color w:val="000000" w:themeColor="text1"/>
          <w:vertAlign w:val="baseline"/>
          <w14:textFill>
            <w14:solidFill>
              <w14:schemeClr w14:val="tx1"/>
            </w14:solidFill>
          </w14:textFill>
        </w:rPr>
        <w:t xml:space="preserve">6 </w:t>
      </w:r>
      <w:r>
        <w:rPr>
          <w:color w:val="000000" w:themeColor="text1"/>
          <w:spacing w:val="-12"/>
          <w:vertAlign w:val="baseline"/>
          <w14:textFill>
            <w14:solidFill>
              <w14:schemeClr w14:val="tx1"/>
            </w14:solidFill>
          </w14:textFill>
        </w:rPr>
        <w:t>倍折算为</w:t>
      </w:r>
      <w:r>
        <w:rPr>
          <w:rFonts w:ascii="Times New Roman" w:eastAsia="Times New Roman"/>
          <w:color w:val="000000" w:themeColor="text1"/>
          <w:vertAlign w:val="baseline"/>
          <w14:textFill>
            <w14:solidFill>
              <w14:schemeClr w14:val="tx1"/>
            </w14:solidFill>
          </w14:textFill>
        </w:rPr>
        <w:t>1h</w:t>
      </w:r>
      <w:r>
        <w:rPr>
          <w:color w:val="000000" w:themeColor="text1"/>
          <w:vertAlign w:val="baseline"/>
          <w14:textFill>
            <w14:solidFill>
              <w14:schemeClr w14:val="tx1"/>
            </w14:solidFill>
          </w14:textFill>
        </w:rPr>
        <w:t>平均质量浓度</w:t>
      </w:r>
      <w:r>
        <w:rPr>
          <w:color w:val="000000" w:themeColor="text1"/>
          <w:spacing w:val="-5"/>
          <w:vertAlign w:val="baseline"/>
          <w14:textFill>
            <w14:solidFill>
              <w14:schemeClr w14:val="tx1"/>
            </w14:solidFill>
          </w14:textFill>
        </w:rPr>
        <w:t>限值。</w:t>
      </w:r>
    </w:p>
    <w:p>
      <w:pPr>
        <w:pStyle w:val="433"/>
        <w:spacing w:before="4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1、估算模型及参数</w:t>
      </w:r>
    </w:p>
    <w:p>
      <w:pPr>
        <w:pStyle w:val="433"/>
        <w:spacing w:before="48"/>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本次评价采用了导则推荐的</w:t>
      </w:r>
      <w:r>
        <w:rPr>
          <w:rFonts w:ascii="Times New Roman" w:hAnsi="Times New Roman"/>
          <w:color w:val="000000" w:themeColor="text1"/>
          <w14:textFill>
            <w14:solidFill>
              <w14:schemeClr w14:val="tx1"/>
            </w14:solidFill>
          </w14:textFill>
        </w:rPr>
        <w:t>AERSCREEN</w:t>
      </w:r>
      <w:r>
        <w:rPr>
          <w:rFonts w:ascii="Times New Roman"/>
          <w:color w:val="000000" w:themeColor="text1"/>
          <w14:textFill>
            <w14:solidFill>
              <w14:schemeClr w14:val="tx1"/>
            </w14:solidFill>
          </w14:textFill>
        </w:rPr>
        <w:t>估算模式对各污染源排放情况进行了估算，估算模式的结果作为大气环境影响评价等级判定的依据，估算模型参数如下：</w:t>
      </w:r>
    </w:p>
    <w:p>
      <w:pPr>
        <w:spacing w:before="120" w:beforeLines="5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 xml:space="preserve">表 </w:t>
      </w:r>
      <w:r>
        <w:rPr>
          <w:rFonts w:hint="eastAsia" w:ascii="Times New Roman" w:hAnsi="Times New Roman"/>
          <w:b/>
          <w:color w:val="000000" w:themeColor="text1"/>
          <w:sz w:val="24"/>
          <w:szCs w:val="24"/>
          <w:lang w:val="en-US" w:eastAsia="zh-CN"/>
          <w14:textFill>
            <w14:solidFill>
              <w14:schemeClr w14:val="tx1"/>
            </w14:solidFill>
          </w14:textFill>
        </w:rPr>
        <w:t>2.7</w:t>
      </w:r>
      <w:r>
        <w:rPr>
          <w:rFonts w:ascii="Times New Roman" w:hAnsi="Times New Roman"/>
          <w:b/>
          <w:color w:val="000000" w:themeColor="text1"/>
          <w:sz w:val="24"/>
          <w:szCs w:val="24"/>
          <w14:textFill>
            <w14:solidFill>
              <w14:schemeClr w14:val="tx1"/>
            </w14:solidFill>
          </w14:textFill>
        </w:rPr>
        <w:noBreakHyphen/>
      </w:r>
      <w:r>
        <w:rPr>
          <w:rFonts w:ascii="Times New Roman" w:hAnsi="Times New Roman"/>
          <w:b/>
          <w:color w:val="000000" w:themeColor="text1"/>
          <w:sz w:val="24"/>
          <w:szCs w:val="24"/>
          <w14:textFill>
            <w14:solidFill>
              <w14:schemeClr w14:val="tx1"/>
            </w14:solidFill>
          </w14:textFill>
        </w:rPr>
        <w:t>2  AERSCREEN估算模型基本参数表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419"/>
        <w:gridCol w:w="2480"/>
        <w:gridCol w:w="4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99" w:type="dxa"/>
            <w:gridSpan w:val="2"/>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参数</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19"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城市农村</w:t>
            </w:r>
            <w:r>
              <w:rPr>
                <w:rFonts w:ascii="Times New Roman" w:hAns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选项</w:t>
            </w:r>
          </w:p>
        </w:tc>
        <w:tc>
          <w:tcPr>
            <w:tcW w:w="248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城市</w:t>
            </w:r>
            <w:r>
              <w:rPr>
                <w:rFonts w:ascii="Times New Roman" w:hAns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农村</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1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248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人口数（城市人口数）</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89266人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99" w:type="dxa"/>
            <w:gridSpan w:val="2"/>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最高环境温度</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r>
              <w:rPr>
                <w:rFonts w:hint="eastAsia" w:ascii="Times New Roman" w:hAnsi="Times New Roman"/>
                <w:color w:val="000000" w:themeColor="text1"/>
                <w:szCs w:val="21"/>
                <w14:textFill>
                  <w14:solidFill>
                    <w14:schemeClr w14:val="tx1"/>
                  </w14:solidFill>
                </w14:textFill>
              </w:rPr>
              <w:t>0.8</w:t>
            </w:r>
            <w:r>
              <w:rPr>
                <w:rFonts w:ascii="Times New Roman" w:hAnsi="Times New Roman"/>
                <w:color w:val="000000" w:themeColor="text1"/>
                <w:szCs w:val="21"/>
                <w14:textFill>
                  <w14:solidFill>
                    <w14:schemeClr w14:val="tx1"/>
                  </w14:solidFill>
                </w14:textFill>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99" w:type="dxa"/>
            <w:gridSpan w:val="2"/>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最低环境温度</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13.8</w:t>
            </w:r>
            <w:r>
              <w:rPr>
                <w:rFonts w:ascii="Times New Roman" w:hAnsi="Times New Roman"/>
                <w:color w:val="000000" w:themeColor="text1"/>
                <w:szCs w:val="21"/>
                <w14:textFill>
                  <w14:solidFill>
                    <w14:schemeClr w14:val="tx1"/>
                  </w14:solidFill>
                </w14:textFill>
              </w:rPr>
              <w:t xml:space="preserve"> °C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99" w:type="dxa"/>
            <w:gridSpan w:val="2"/>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土地利用类型</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工业用地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899" w:type="dxa"/>
            <w:gridSpan w:val="2"/>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区域湿度条件</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潮湿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19"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是否考虑地形</w:t>
            </w:r>
          </w:p>
        </w:tc>
        <w:tc>
          <w:tcPr>
            <w:tcW w:w="248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考虑地形</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1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248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地形数据分辨率（</w:t>
            </w:r>
            <w:r>
              <w:rPr>
                <w:rFonts w:ascii="Times New Roman" w:hAnsi="Times New Roman"/>
                <w:color w:val="000000" w:themeColor="text1"/>
                <w:szCs w:val="21"/>
                <w14:textFill>
                  <w14:solidFill>
                    <w14:schemeClr w14:val="tx1"/>
                  </w14:solidFill>
                </w14:textFill>
              </w:rPr>
              <w:t>m</w:t>
            </w:r>
            <w:r>
              <w:rPr>
                <w:rFonts w:ascii="Times New Roman"/>
                <w:color w:val="000000" w:themeColor="text1"/>
                <w:szCs w:val="21"/>
                <w14:textFill>
                  <w14:solidFill>
                    <w14:schemeClr w14:val="tx1"/>
                  </w14:solidFill>
                </w14:textFill>
              </w:rPr>
              <w:t>）</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19" w:type="dxa"/>
            <w:vMerge w:val="restart"/>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是否考虑海岸线熏烟</w:t>
            </w:r>
          </w:p>
        </w:tc>
        <w:tc>
          <w:tcPr>
            <w:tcW w:w="248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考虑海岸线熏烟</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1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248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海岸线距离</w:t>
            </w:r>
            <w:r>
              <w:rPr>
                <w:rFonts w:ascii="Times New Roman" w:hAnsi="Times New Roman"/>
                <w:color w:val="000000" w:themeColor="text1"/>
                <w:szCs w:val="21"/>
                <w14:textFill>
                  <w14:solidFill>
                    <w14:schemeClr w14:val="tx1"/>
                  </w14:solidFill>
                </w14:textFill>
              </w:rPr>
              <w:t>/m</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19" w:type="dxa"/>
            <w:vMerge w:val="continue"/>
            <w:vAlign w:val="center"/>
          </w:tcPr>
          <w:p>
            <w:pPr>
              <w:jc w:val="center"/>
              <w:rPr>
                <w:rFonts w:ascii="Times New Roman" w:hAnsi="Times New Roman"/>
                <w:color w:val="000000" w:themeColor="text1"/>
                <w:szCs w:val="21"/>
                <w14:textFill>
                  <w14:solidFill>
                    <w14:schemeClr w14:val="tx1"/>
                  </w14:solidFill>
                </w14:textFill>
              </w:rPr>
            </w:pPr>
          </w:p>
        </w:tc>
        <w:tc>
          <w:tcPr>
            <w:tcW w:w="248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海岸线方向</w:t>
            </w:r>
            <w:r>
              <w:rPr>
                <w:rFonts w:ascii="Times New Roman" w:hAnsi="Times New Roman"/>
                <w:color w:val="000000" w:themeColor="text1"/>
                <w:szCs w:val="21"/>
                <w14:textFill>
                  <w14:solidFill>
                    <w14:schemeClr w14:val="tx1"/>
                  </w14:solidFill>
                </w14:textFill>
              </w:rPr>
              <w:t>/o</w:t>
            </w:r>
          </w:p>
        </w:tc>
        <w:tc>
          <w:tcPr>
            <w:tcW w:w="4060"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bl>
    <w:p>
      <w:pPr>
        <w:pStyle w:val="433"/>
        <w:spacing w:before="4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2、主要污染源参数</w:t>
      </w:r>
    </w:p>
    <w:p>
      <w:pPr>
        <w:pStyle w:val="431"/>
        <w:spacing w:line="500" w:lineRule="exact"/>
        <w:rPr>
          <w:rFonts w:ascii="Times New Roman" w:hAnsi="Times New Roman" w:eastAsia="宋体"/>
          <w:snapToGrid w:val="0"/>
          <w:color w:val="000000" w:themeColor="text1"/>
          <w14:textFill>
            <w14:solidFill>
              <w14:schemeClr w14:val="tx1"/>
            </w14:solidFill>
          </w14:textFill>
        </w:rPr>
      </w:pPr>
      <w:r>
        <w:rPr>
          <w:rFonts w:ascii="Times New Roman"/>
          <w:color w:val="000000" w:themeColor="text1"/>
          <w14:textFill>
            <w14:solidFill>
              <w14:schemeClr w14:val="tx1"/>
            </w14:solidFill>
          </w14:textFill>
        </w:rPr>
        <w:t>根据《环境影响评价评价技术导则</w:t>
      </w:r>
      <w:r>
        <w:rPr>
          <w:rFonts w:ascii="Times New Roman" w:hAns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大气环境》</w:t>
      </w:r>
      <w:r>
        <w:rPr>
          <w:rFonts w:ascii="Times New Roman" w:hAnsi="Times New Roman"/>
          <w:color w:val="000000" w:themeColor="text1"/>
          <w14:textFill>
            <w14:solidFill>
              <w14:schemeClr w14:val="tx1"/>
            </w14:solidFill>
          </w14:textFill>
        </w:rPr>
        <w:t>(HJ2.2-2018)</w:t>
      </w:r>
      <w:r>
        <w:rPr>
          <w:rFonts w:ascii="Times New Roman"/>
          <w:color w:val="000000" w:themeColor="text1"/>
          <w14:textFill>
            <w14:solidFill>
              <w14:schemeClr w14:val="tx1"/>
            </w14:solidFill>
          </w14:textFill>
        </w:rPr>
        <w:t>的要求，对项目主要污染源采用推荐的估算模式进行估算，项目污染源计算参数设置情况详见</w:t>
      </w:r>
      <w:r>
        <w:rPr>
          <w:rFonts w:hint="eastAsia" w:ascii="Times New Roman"/>
          <w:color w:val="000000" w:themeColor="text1"/>
          <w14:textFill>
            <w14:solidFill>
              <w14:schemeClr w14:val="tx1"/>
            </w14:solidFill>
          </w14:textFill>
        </w:rPr>
        <w:t>下</w:t>
      </w:r>
      <w:r>
        <w:rPr>
          <w:rFonts w:ascii="Times New Roman"/>
          <w:color w:val="000000" w:themeColor="text1"/>
          <w14:textFill>
            <w14:solidFill>
              <w14:schemeClr w14:val="tx1"/>
            </w14:solidFill>
          </w14:textFill>
        </w:rPr>
        <w:t>表。</w:t>
      </w:r>
      <w:r>
        <w:rPr>
          <w:rFonts w:ascii="Times New Roman" w:hAnsi="Times New Roman" w:eastAsia="宋体"/>
          <w:snapToGrid w:val="0"/>
          <w:color w:val="000000" w:themeColor="text1"/>
          <w14:textFill>
            <w14:solidFill>
              <w14:schemeClr w14:val="tx1"/>
            </w14:solidFill>
          </w14:textFill>
        </w:rPr>
        <w:t>根据《环境影响评价技术导则-大气环境》（HJ/T2.2-2018）中评价工作等级确定的有关方法，估算模式参数取值见表</w:t>
      </w:r>
      <w:r>
        <w:rPr>
          <w:rFonts w:hint="eastAsia" w:ascii="Times New Roman" w:hAnsi="Times New Roman" w:eastAsia="宋体"/>
          <w:snapToGrid w:val="0"/>
          <w:color w:val="000000" w:themeColor="text1"/>
          <w:lang w:val="en-US" w:eastAsia="zh-CN"/>
          <w14:textFill>
            <w14:solidFill>
              <w14:schemeClr w14:val="tx1"/>
            </w14:solidFill>
          </w14:textFill>
        </w:rPr>
        <w:t>2.7</w:t>
      </w:r>
      <w:r>
        <w:rPr>
          <w:rFonts w:hint="eastAsia" w:ascii="Times New Roman" w:hAnsi="Times New Roman" w:eastAsia="宋体"/>
          <w:snapToGrid w:val="0"/>
          <w:color w:val="000000" w:themeColor="text1"/>
          <w14:textFill>
            <w14:solidFill>
              <w14:schemeClr w14:val="tx1"/>
            </w14:solidFill>
          </w14:textFill>
        </w:rPr>
        <w:t>-3</w:t>
      </w:r>
      <w:r>
        <w:rPr>
          <w:rFonts w:ascii="Times New Roman" w:hAnsi="Times New Roman" w:eastAsia="宋体"/>
          <w:snapToGrid w:val="0"/>
          <w:color w:val="000000" w:themeColor="text1"/>
          <w14:textFill>
            <w14:solidFill>
              <w14:schemeClr w14:val="tx1"/>
            </w14:solidFill>
          </w14:textFill>
        </w:rPr>
        <w:t>。</w:t>
      </w:r>
    </w:p>
    <w:p>
      <w:pPr>
        <w:spacing w:line="520" w:lineRule="exact"/>
        <w:ind w:left="459"/>
        <w:jc w:val="center"/>
        <w:rPr>
          <w:rFonts w:ascii="Times New Roman" w:hAnsi="Times New Roman"/>
          <w:b/>
          <w:color w:val="000000" w:themeColor="text1"/>
          <w:sz w:val="24"/>
          <w14:textFill>
            <w14:solidFill>
              <w14:schemeClr w14:val="tx1"/>
            </w14:solidFill>
          </w14:textFill>
        </w:rPr>
      </w:pPr>
    </w:p>
    <w:p>
      <w:pPr>
        <w:spacing w:line="520" w:lineRule="exact"/>
        <w:ind w:left="459"/>
        <w:jc w:val="center"/>
        <w:rPr>
          <w:rFonts w:ascii="Times New Roman" w:hAnsi="Times New Roman"/>
          <w:b/>
          <w:color w:val="000000" w:themeColor="text1"/>
          <w:sz w:val="24"/>
          <w14:textFill>
            <w14:solidFill>
              <w14:schemeClr w14:val="tx1"/>
            </w14:solidFill>
          </w14:textFill>
        </w:rPr>
      </w:pPr>
    </w:p>
    <w:p>
      <w:pPr>
        <w:spacing w:line="520" w:lineRule="exact"/>
        <w:ind w:left="459"/>
        <w:jc w:val="center"/>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表</w:t>
      </w:r>
      <w:r>
        <w:rPr>
          <w:rFonts w:hint="eastAsia" w:ascii="Times New Roman" w:hAnsi="Times New Roman"/>
          <w:b/>
          <w:color w:val="000000" w:themeColor="text1"/>
          <w:sz w:val="24"/>
          <w:lang w:val="en-US" w:eastAsia="zh-CN"/>
          <w14:textFill>
            <w14:solidFill>
              <w14:schemeClr w14:val="tx1"/>
            </w14:solidFill>
          </w14:textFill>
        </w:rPr>
        <w:t>2.7</w:t>
      </w:r>
      <w:r>
        <w:rPr>
          <w:rFonts w:ascii="Times New Roman" w:hAnsi="Times New Roman"/>
          <w:b/>
          <w:color w:val="000000" w:themeColor="text1"/>
          <w:sz w:val="24"/>
          <w14:textFill>
            <w14:solidFill>
              <w14:schemeClr w14:val="tx1"/>
            </w14:solidFill>
          </w14:textFill>
        </w:rPr>
        <w:t>-</w:t>
      </w:r>
      <w:r>
        <w:rPr>
          <w:rFonts w:hint="eastAsia" w:ascii="Times New Roman" w:hAnsi="Times New Roman"/>
          <w:b/>
          <w:color w:val="000000" w:themeColor="text1"/>
          <w:sz w:val="24"/>
          <w14:textFill>
            <w14:solidFill>
              <w14:schemeClr w14:val="tx1"/>
            </w14:solidFill>
          </w14:textFill>
        </w:rPr>
        <w:t>3</w:t>
      </w:r>
      <w:r>
        <w:rPr>
          <w:rFonts w:ascii="Times New Roman" w:hAnsi="Times New Roman"/>
          <w:b/>
          <w:color w:val="000000" w:themeColor="text1"/>
          <w:sz w:val="24"/>
          <w14:textFill>
            <w14:solidFill>
              <w14:schemeClr w14:val="tx1"/>
            </w14:solidFill>
          </w14:textFill>
        </w:rPr>
        <w:t xml:space="preserve"> </w:t>
      </w:r>
      <w:r>
        <w:rPr>
          <w:rFonts w:hint="eastAsia" w:ascii="Times New Roman" w:hAnsi="Times New Roman"/>
          <w:b/>
          <w:color w:val="000000" w:themeColor="text1"/>
          <w:sz w:val="24"/>
          <w14:textFill>
            <w14:solidFill>
              <w14:schemeClr w14:val="tx1"/>
            </w14:solidFill>
          </w14:textFill>
        </w:rPr>
        <w:t xml:space="preserve">  AERSCREEN模型估算结果一览表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73"/>
        <w:gridCol w:w="955"/>
        <w:gridCol w:w="1070"/>
        <w:gridCol w:w="1070"/>
        <w:gridCol w:w="1917"/>
        <w:gridCol w:w="1070"/>
        <w:gridCol w:w="1070"/>
        <w:gridCol w:w="1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排放源</w:t>
            </w:r>
          </w:p>
        </w:tc>
        <w:tc>
          <w:tcPr>
            <w:tcW w:w="9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评价因子</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排放速率</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评价标准（ug/m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c>
          <w:tcPr>
            <w:tcW w:w="19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最大地面浓度（ug/m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最大地面浓度出现距离（m）</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最大地面浓度占标率Pi（%）</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73" w:type="dxa"/>
            <w:vMerge w:val="restart"/>
            <w:shd w:val="clear" w:color="auto" w:fill="auto"/>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呼吸废气排气筒DA001</w:t>
            </w:r>
          </w:p>
        </w:tc>
        <w:tc>
          <w:tcPr>
            <w:tcW w:w="9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氟化物</w:t>
            </w:r>
          </w:p>
        </w:tc>
        <w:tc>
          <w:tcPr>
            <w:tcW w:w="1070" w:type="dxa"/>
            <w:shd w:val="clear" w:color="auto" w:fill="auto"/>
            <w:vAlign w:val="center"/>
          </w:tcPr>
          <w:p>
            <w:pPr>
              <w:widowControl/>
              <w:jc w:val="center"/>
              <w:rPr>
                <w:rFonts w:ascii="Times New Roman" w:hAnsi="Times New Roman"/>
                <w:color w:val="000000" w:themeColor="text1"/>
                <w:kern w:val="0"/>
                <w:sz w:val="18"/>
                <w:szCs w:val="18"/>
                <w:highlight w:val="yellow"/>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0.0012</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w:t>
            </w:r>
          </w:p>
        </w:tc>
        <w:tc>
          <w:tcPr>
            <w:tcW w:w="19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0.2701</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73</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0.8635</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73" w:type="dxa"/>
            <w:vMerge w:val="continue"/>
            <w:vAlign w:val="center"/>
          </w:tcPr>
          <w:p>
            <w:pPr>
              <w:widowControl/>
              <w:jc w:val="left"/>
              <w:rPr>
                <w:rFonts w:ascii="Times New Roman" w:hAnsi="Times New Roman"/>
                <w:b/>
                <w:bCs/>
                <w:color w:val="000000" w:themeColor="text1"/>
                <w:kern w:val="0"/>
                <w:sz w:val="18"/>
                <w:szCs w:val="18"/>
                <w14:textFill>
                  <w14:solidFill>
                    <w14:schemeClr w14:val="tx1"/>
                  </w14:solidFill>
                </w14:textFill>
              </w:rPr>
            </w:pPr>
          </w:p>
        </w:tc>
        <w:tc>
          <w:tcPr>
            <w:tcW w:w="9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HC</w:t>
            </w:r>
            <w:r>
              <w:rPr>
                <w:rFonts w:hint="eastAsia" w:ascii="Times New Roman" w:hAnsi="Times New Roman"/>
                <w:color w:val="000000" w:themeColor="text1"/>
                <w:kern w:val="0"/>
                <w:sz w:val="18"/>
                <w:szCs w:val="18"/>
                <w14:textFill>
                  <w14:solidFill>
                    <w14:schemeClr w14:val="tx1"/>
                  </w14:solidFill>
                </w14:textFill>
              </w:rPr>
              <w:t>l</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0.000004</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50</w:t>
            </w:r>
          </w:p>
        </w:tc>
        <w:tc>
          <w:tcPr>
            <w:tcW w:w="19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0.0009</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73</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0.0018</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三</w:t>
            </w:r>
            <w:r>
              <w:rPr>
                <w:rFonts w:ascii="Times New Roman" w:hAnsi="Times New Roman"/>
                <w:color w:val="000000" w:themeColor="text1"/>
                <w:kern w:val="0"/>
                <w:sz w:val="18"/>
                <w:szCs w:val="18"/>
                <w14:textFill>
                  <w14:solidFill>
                    <w14:schemeClr w14:val="tx1"/>
                  </w14:solidFill>
                </w14:textFill>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73" w:type="dxa"/>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投料废气排气筒DA002</w:t>
            </w:r>
          </w:p>
        </w:tc>
        <w:tc>
          <w:tcPr>
            <w:tcW w:w="9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PM</w:t>
            </w:r>
            <w:r>
              <w:rPr>
                <w:rFonts w:hint="eastAsia" w:ascii="Times New Roman" w:hAnsi="Times New Roman"/>
                <w:color w:val="000000" w:themeColor="text1"/>
                <w:kern w:val="0"/>
                <w:sz w:val="18"/>
                <w:szCs w:val="18"/>
                <w:vertAlign w:val="subscript"/>
                <w14:textFill>
                  <w14:solidFill>
                    <w14:schemeClr w14:val="tx1"/>
                  </w14:solidFill>
                </w14:textFill>
              </w:rPr>
              <w:t>10</w:t>
            </w:r>
          </w:p>
        </w:tc>
        <w:tc>
          <w:tcPr>
            <w:tcW w:w="1070" w:type="dxa"/>
            <w:shd w:val="clear" w:color="auto" w:fill="auto"/>
            <w:vAlign w:val="center"/>
          </w:tcPr>
          <w:p>
            <w:pPr>
              <w:widowControl/>
              <w:jc w:val="center"/>
              <w:rPr>
                <w:rFonts w:ascii="Times New Roman" w:hAnsi="Times New Roman"/>
                <w:color w:val="000000" w:themeColor="text1"/>
                <w:kern w:val="0"/>
                <w:sz w:val="18"/>
                <w:szCs w:val="18"/>
                <w:highlight w:val="yellow"/>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0.029</w:t>
            </w:r>
          </w:p>
        </w:tc>
        <w:tc>
          <w:tcPr>
            <w:tcW w:w="1070" w:type="dxa"/>
            <w:shd w:val="clear" w:color="auto" w:fill="auto"/>
            <w:vAlign w:val="center"/>
          </w:tcPr>
          <w:p>
            <w:pPr>
              <w:widowControl/>
              <w:jc w:val="center"/>
              <w:rPr>
                <w:rFonts w:ascii="Times New Roman" w:hAnsi="Times New Roman"/>
                <w:color w:val="000000" w:themeColor="text1"/>
                <w:kern w:val="0"/>
                <w:sz w:val="18"/>
                <w:szCs w:val="18"/>
                <w:highlight w:val="yellow"/>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450</w:t>
            </w:r>
          </w:p>
        </w:tc>
        <w:tc>
          <w:tcPr>
            <w:tcW w:w="19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0.6753</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73</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0.1501</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三</w:t>
            </w:r>
            <w:r>
              <w:rPr>
                <w:rFonts w:ascii="Times New Roman" w:hAnsi="Times New Roman"/>
                <w:color w:val="000000" w:themeColor="text1"/>
                <w:kern w:val="0"/>
                <w:sz w:val="18"/>
                <w:szCs w:val="18"/>
                <w14:textFill>
                  <w14:solidFill>
                    <w14:schemeClr w14:val="tx1"/>
                  </w14:solidFill>
                </w14:textFill>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73"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烘干废气排气筒DA003</w:t>
            </w:r>
          </w:p>
        </w:tc>
        <w:tc>
          <w:tcPr>
            <w:tcW w:w="9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PM</w:t>
            </w:r>
            <w:r>
              <w:rPr>
                <w:rFonts w:hint="eastAsia" w:ascii="Times New Roman" w:hAnsi="Times New Roman"/>
                <w:color w:val="000000" w:themeColor="text1"/>
                <w:kern w:val="0"/>
                <w:sz w:val="18"/>
                <w:szCs w:val="18"/>
                <w:vertAlign w:val="subscript"/>
                <w14:textFill>
                  <w14:solidFill>
                    <w14:schemeClr w14:val="tx1"/>
                  </w14:solidFill>
                </w14:textFill>
              </w:rPr>
              <w:t>10</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0.0104</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450</w:t>
            </w:r>
          </w:p>
        </w:tc>
        <w:tc>
          <w:tcPr>
            <w:tcW w:w="19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0.4633</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21</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0.1029</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三</w:t>
            </w:r>
            <w:r>
              <w:rPr>
                <w:rFonts w:ascii="Times New Roman" w:hAnsi="Times New Roman"/>
                <w:color w:val="000000" w:themeColor="text1"/>
                <w:kern w:val="0"/>
                <w:sz w:val="18"/>
                <w:szCs w:val="18"/>
                <w14:textFill>
                  <w14:solidFill>
                    <w14:schemeClr w14:val="tx1"/>
                  </w14:solidFill>
                </w14:textFill>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73" w:type="dxa"/>
            <w:vAlign w:val="center"/>
          </w:tcPr>
          <w:p>
            <w:pPr>
              <w:widowControl/>
              <w:jc w:val="left"/>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生产厂区</w:t>
            </w:r>
          </w:p>
        </w:tc>
        <w:tc>
          <w:tcPr>
            <w:tcW w:w="95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TSP</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0.064</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900</w:t>
            </w:r>
          </w:p>
        </w:tc>
        <w:tc>
          <w:tcPr>
            <w:tcW w:w="19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7.0902</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126</w:t>
            </w:r>
          </w:p>
        </w:tc>
        <w:tc>
          <w:tcPr>
            <w:tcW w:w="1070" w:type="dxa"/>
            <w:shd w:val="clear" w:color="auto" w:fill="auto"/>
            <w:vAlign w:val="center"/>
          </w:tcPr>
          <w:p>
            <w:pPr>
              <w:widowControl/>
              <w:jc w:val="center"/>
              <w:rPr>
                <w:rFonts w:ascii="Times New Roman" w:hAnsi="Times New Roman"/>
                <w:color w:val="000000" w:themeColor="text1"/>
                <w:kern w:val="0"/>
                <w:sz w:val="18"/>
                <w:szCs w:val="18"/>
                <w:highlight w:val="yellow"/>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0.7878</w:t>
            </w:r>
          </w:p>
        </w:tc>
        <w:tc>
          <w:tcPr>
            <w:tcW w:w="10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三级</w:t>
            </w:r>
          </w:p>
        </w:tc>
      </w:tr>
    </w:tbl>
    <w:p>
      <w:pPr>
        <w:pStyle w:val="431"/>
        <w:spacing w:line="500" w:lineRule="exact"/>
        <w:rPr>
          <w:rFonts w:ascii="Times New Roman" w:hAnsiTheme="minorEastAsia"/>
          <w:color w:val="000000" w:themeColor="text1"/>
          <w14:textFill>
            <w14:solidFill>
              <w14:schemeClr w14:val="tx1"/>
            </w14:solidFill>
          </w14:textFill>
        </w:rPr>
      </w:pPr>
      <w:r>
        <w:rPr>
          <w:rFonts w:ascii="Times New Roman" w:hAnsiTheme="minorEastAsia"/>
          <w:color w:val="000000" w:themeColor="text1"/>
          <w14:textFill>
            <w14:solidFill>
              <w14:schemeClr w14:val="tx1"/>
            </w14:solidFill>
          </w14:textFill>
        </w:rPr>
        <w:t>根据《环境影响评价技术导则－大气环境》</w:t>
      </w:r>
      <w:r>
        <w:rPr>
          <w:rFonts w:ascii="Times New Roman" w:hAnsi="Times New Roman"/>
          <w:color w:val="000000" w:themeColor="text1"/>
          <w14:textFill>
            <w14:solidFill>
              <w14:schemeClr w14:val="tx1"/>
            </w14:solidFill>
          </w14:textFill>
        </w:rPr>
        <w:t>(HJ2.2-2008)</w:t>
      </w:r>
      <w:r>
        <w:rPr>
          <w:rFonts w:ascii="Times New Roman" w:hAnsiTheme="minorEastAsia"/>
          <w:color w:val="000000" w:themeColor="text1"/>
          <w14:textFill>
            <w14:solidFill>
              <w14:schemeClr w14:val="tx1"/>
            </w14:solidFill>
          </w14:textFill>
        </w:rPr>
        <w:t>中评价工作等级判</w:t>
      </w:r>
      <w:r>
        <w:rPr>
          <w:rFonts w:hint="eastAsia" w:ascii="Times New Roman" w:hAnsiTheme="minorEastAsia"/>
          <w:color w:val="000000" w:themeColor="text1"/>
          <w14:textFill>
            <w14:solidFill>
              <w14:schemeClr w14:val="tx1"/>
            </w14:solidFill>
          </w14:textFill>
        </w:rPr>
        <w:t>据，</w:t>
      </w:r>
      <w:r>
        <w:rPr>
          <w:rFonts w:ascii="Times New Roman" w:hAnsiTheme="minorEastAsia"/>
          <w:color w:val="000000" w:themeColor="text1"/>
          <w14:textFill>
            <w14:solidFill>
              <w14:schemeClr w14:val="tx1"/>
            </w14:solidFill>
          </w14:textFill>
        </w:rPr>
        <w:t>见表</w:t>
      </w:r>
      <w:r>
        <w:rPr>
          <w:rFonts w:hint="eastAsia" w:ascii="Times New Roman" w:hAnsi="Times New Roman"/>
          <w:color w:val="000000" w:themeColor="text1"/>
          <w:lang w:val="en-US" w:eastAsia="zh-CN"/>
          <w14:textFill>
            <w14:solidFill>
              <w14:schemeClr w14:val="tx1"/>
            </w14:solidFill>
          </w14:textFill>
        </w:rPr>
        <w:t>2.7</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3</w:t>
      </w:r>
      <w:r>
        <w:rPr>
          <w:rFonts w:ascii="Times New Roman" w:hAnsiTheme="minorEastAsia"/>
          <w:color w:val="000000" w:themeColor="text1"/>
          <w14:textFill>
            <w14:solidFill>
              <w14:schemeClr w14:val="tx1"/>
            </w14:solidFill>
          </w14:textFill>
        </w:rPr>
        <w:t>，</w:t>
      </w:r>
      <w:r>
        <w:rPr>
          <w:rFonts w:hint="eastAsia" w:ascii="Times New Roman" w:hAnsiTheme="minorEastAsia"/>
          <w:color w:val="000000" w:themeColor="text1"/>
          <w14:textFill>
            <w14:solidFill>
              <w14:schemeClr w14:val="tx1"/>
            </w14:solidFill>
          </w14:textFill>
        </w:rPr>
        <w:t>同时结合导则5.3.3.2中要求，本项目属于化工行业需编制报告书的多源项目，大气评价等级需提高一级，因此最终</w:t>
      </w:r>
      <w:r>
        <w:rPr>
          <w:rFonts w:ascii="Times New Roman" w:hAnsiTheme="minorEastAsia"/>
          <w:color w:val="000000" w:themeColor="text1"/>
          <w14:textFill>
            <w14:solidFill>
              <w14:schemeClr w14:val="tx1"/>
            </w14:solidFill>
          </w14:textFill>
        </w:rPr>
        <w:t>确定</w:t>
      </w:r>
      <w:r>
        <w:rPr>
          <w:rFonts w:hint="eastAsia" w:ascii="Times New Roman" w:hAnsiTheme="minorEastAsia"/>
          <w:color w:val="000000" w:themeColor="text1"/>
          <w14:textFill>
            <w14:solidFill>
              <w14:schemeClr w14:val="tx1"/>
            </w14:solidFill>
          </w14:textFill>
        </w:rPr>
        <w:t>本项目</w:t>
      </w:r>
      <w:r>
        <w:rPr>
          <w:rFonts w:ascii="Times New Roman" w:hAnsiTheme="minorEastAsia"/>
          <w:color w:val="000000" w:themeColor="text1"/>
          <w14:textFill>
            <w14:solidFill>
              <w14:schemeClr w14:val="tx1"/>
            </w14:solidFill>
          </w14:textFill>
        </w:rPr>
        <w:t>大气评价等级为</w:t>
      </w:r>
      <w:r>
        <w:rPr>
          <w:rFonts w:hint="eastAsia" w:ascii="Times New Roman" w:hAnsiTheme="minorEastAsia"/>
          <w:color w:val="000000" w:themeColor="text1"/>
          <w14:textFill>
            <w14:solidFill>
              <w14:schemeClr w14:val="tx1"/>
            </w14:solidFill>
          </w14:textFill>
        </w:rPr>
        <w:t>二</w:t>
      </w:r>
      <w:r>
        <w:rPr>
          <w:rFonts w:ascii="Times New Roman" w:hAnsiTheme="minorEastAsia"/>
          <w:color w:val="000000" w:themeColor="text1"/>
          <w14:textFill>
            <w14:solidFill>
              <w14:schemeClr w14:val="tx1"/>
            </w14:solidFill>
          </w14:textFill>
        </w:rPr>
        <w:t>级。</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18" w:name="_Toc28849"/>
      <w:bookmarkStart w:id="119" w:name="_Toc19120"/>
      <w:r>
        <w:rPr>
          <w:rFonts w:hint="default" w:ascii="Times New Roman" w:hAnsi="Times New Roman" w:eastAsia="黑体" w:cs="Times New Roman"/>
          <w:b/>
          <w:color w:val="000000" w:themeColor="text1"/>
          <w:szCs w:val="28"/>
          <w:lang w:val="en-US" w:eastAsia="zh-CN"/>
          <w14:textFill>
            <w14:solidFill>
              <w14:schemeClr w14:val="tx1"/>
            </w14:solidFill>
          </w14:textFill>
        </w:rPr>
        <w:t>2.7.2</w:t>
      </w:r>
      <w:r>
        <w:rPr>
          <w:rFonts w:ascii="黑体" w:hAnsi="黑体" w:eastAsia="黑体" w:cs="Times New Roman"/>
          <w:b/>
          <w:color w:val="000000" w:themeColor="text1"/>
          <w:szCs w:val="28"/>
          <w14:textFill>
            <w14:solidFill>
              <w14:schemeClr w14:val="tx1"/>
            </w14:solidFill>
          </w14:textFill>
        </w:rPr>
        <w:t>地表水</w:t>
      </w:r>
      <w:bookmarkEnd w:id="118"/>
      <w:bookmarkEnd w:id="119"/>
    </w:p>
    <w:p>
      <w:pPr>
        <w:pStyle w:val="431"/>
        <w:spacing w:line="500" w:lineRule="exact"/>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水环境影响评价工作等级依据建设项目的影响类型、排放方式、排放量或影响情况、受纳水体环境质量现状、水环境保护目标等综合确定。根据《环境影响评价技术导则-地表水环境》（HJ2.3-2018）中表1水污染影响型建设项目评价等级判定，项目地表水环境影响评价工作等级</w:t>
      </w:r>
      <w:r>
        <w:rPr>
          <w:rFonts w:hint="eastAsia" w:ascii="Times New Roman" w:hAnsi="Times New Roman" w:eastAsia="宋体"/>
          <w:snapToGrid w:val="0"/>
          <w:color w:val="000000" w:themeColor="text1"/>
          <w14:textFill>
            <w14:solidFill>
              <w14:schemeClr w14:val="tx1"/>
            </w14:solidFill>
          </w14:textFill>
        </w:rPr>
        <w:t>判定依据</w:t>
      </w:r>
      <w:r>
        <w:rPr>
          <w:rFonts w:ascii="Times New Roman" w:hAnsi="Times New Roman" w:eastAsia="宋体"/>
          <w:snapToGrid w:val="0"/>
          <w:color w:val="000000" w:themeColor="text1"/>
          <w14:textFill>
            <w14:solidFill>
              <w14:schemeClr w14:val="tx1"/>
            </w14:solidFill>
          </w14:textFill>
        </w:rPr>
        <w:t>见</w:t>
      </w:r>
      <w:r>
        <w:rPr>
          <w:rFonts w:hint="eastAsia" w:ascii="Times New Roman" w:hAnsi="Times New Roman" w:eastAsia="宋体"/>
          <w:snapToGrid w:val="0"/>
          <w:color w:val="000000" w:themeColor="text1"/>
          <w14:textFill>
            <w14:solidFill>
              <w14:schemeClr w14:val="tx1"/>
            </w14:solidFill>
          </w14:textFill>
        </w:rPr>
        <w:t>下</w:t>
      </w:r>
      <w:r>
        <w:rPr>
          <w:rFonts w:ascii="Times New Roman" w:hAnsi="Times New Roman" w:eastAsia="宋体"/>
          <w:snapToGrid w:val="0"/>
          <w:color w:val="000000" w:themeColor="text1"/>
          <w14:textFill>
            <w14:solidFill>
              <w14:schemeClr w14:val="tx1"/>
            </w14:solidFill>
          </w14:textFill>
        </w:rPr>
        <w:t>表</w:t>
      </w:r>
      <w:r>
        <w:rPr>
          <w:rFonts w:hint="eastAsia" w:ascii="Times New Roman" w:hAnsi="Times New Roman" w:eastAsia="宋体"/>
          <w:snapToGrid w:val="0"/>
          <w:color w:val="000000" w:themeColor="text1"/>
          <w:lang w:val="en-US" w:eastAsia="zh-CN"/>
          <w14:textFill>
            <w14:solidFill>
              <w14:schemeClr w14:val="tx1"/>
            </w14:solidFill>
          </w14:textFill>
        </w:rPr>
        <w:t>2.7</w:t>
      </w:r>
      <w:r>
        <w:rPr>
          <w:rFonts w:hint="eastAsia" w:ascii="Times New Roman" w:hAnsi="Times New Roman" w:eastAsia="宋体"/>
          <w:snapToGrid w:val="0"/>
          <w:color w:val="000000" w:themeColor="text1"/>
          <w14:textFill>
            <w14:solidFill>
              <w14:schemeClr w14:val="tx1"/>
            </w14:solidFill>
          </w14:textFill>
        </w:rPr>
        <w:t>-4</w:t>
      </w:r>
      <w:r>
        <w:rPr>
          <w:rFonts w:ascii="Times New Roman" w:hAnsi="Times New Roman" w:eastAsia="宋体"/>
          <w:snapToGrid w:val="0"/>
          <w:color w:val="000000" w:themeColor="text1"/>
          <w14:textFill>
            <w14:solidFill>
              <w14:schemeClr w14:val="tx1"/>
            </w14:solidFill>
          </w14:textFill>
        </w:rPr>
        <w:t>。</w:t>
      </w:r>
    </w:p>
    <w:p>
      <w:pPr>
        <w:pStyle w:val="24"/>
        <w:spacing w:line="500" w:lineRule="exact"/>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w:t>
      </w:r>
      <w:r>
        <w:rPr>
          <w:rFonts w:hint="eastAsia" w:ascii="Times New Roman" w:hAnsi="Times New Roman" w:eastAsia="宋体"/>
          <w:b/>
          <w:color w:val="000000" w:themeColor="text1"/>
          <w:szCs w:val="24"/>
          <w:lang w:val="en-US" w:eastAsia="zh-CN"/>
          <w14:textFill>
            <w14:solidFill>
              <w14:schemeClr w14:val="tx1"/>
            </w14:solidFill>
          </w14:textFill>
        </w:rPr>
        <w:t>2.7</w:t>
      </w:r>
      <w:r>
        <w:rPr>
          <w:rFonts w:ascii="Times New Roman" w:hAnsi="Times New Roman" w:eastAsia="宋体"/>
          <w:b/>
          <w:color w:val="000000" w:themeColor="text1"/>
          <w:szCs w:val="24"/>
          <w14:textFill>
            <w14:solidFill>
              <w14:schemeClr w14:val="tx1"/>
            </w14:solidFill>
          </w14:textFill>
        </w:rPr>
        <w:t>-</w:t>
      </w:r>
      <w:r>
        <w:rPr>
          <w:rFonts w:hint="eastAsia" w:ascii="Times New Roman" w:hAnsi="Times New Roman" w:eastAsia="宋体"/>
          <w:b/>
          <w:color w:val="000000" w:themeColor="text1"/>
          <w:szCs w:val="24"/>
          <w14:textFill>
            <w14:solidFill>
              <w14:schemeClr w14:val="tx1"/>
            </w14:solidFill>
          </w14:textFill>
        </w:rPr>
        <w:t xml:space="preserve">4  </w:t>
      </w:r>
      <w:r>
        <w:rPr>
          <w:rFonts w:ascii="Times New Roman" w:hAnsi="Times New Roman" w:eastAsia="宋体"/>
          <w:b/>
          <w:color w:val="000000" w:themeColor="text1"/>
          <w:szCs w:val="24"/>
          <w14:textFill>
            <w14:solidFill>
              <w14:schemeClr w14:val="tx1"/>
            </w14:solidFill>
          </w14:textFill>
        </w:rPr>
        <w:t>水污染影响型建设项目评价等级判定表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30"/>
        <w:gridCol w:w="3002"/>
        <w:gridCol w:w="34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630"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评价等级</w:t>
            </w:r>
          </w:p>
        </w:tc>
        <w:tc>
          <w:tcPr>
            <w:tcW w:w="6465" w:type="dxa"/>
            <w:gridSpan w:val="2"/>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630"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300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排放方式</w:t>
            </w:r>
          </w:p>
        </w:tc>
        <w:tc>
          <w:tcPr>
            <w:tcW w:w="34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废水排放量Q/（m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/d）</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一级</w:t>
            </w:r>
          </w:p>
        </w:tc>
        <w:tc>
          <w:tcPr>
            <w:tcW w:w="300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直接排放</w:t>
            </w:r>
          </w:p>
        </w:tc>
        <w:tc>
          <w:tcPr>
            <w:tcW w:w="34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二级</w:t>
            </w:r>
          </w:p>
        </w:tc>
        <w:tc>
          <w:tcPr>
            <w:tcW w:w="300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直接排放</w:t>
            </w:r>
          </w:p>
        </w:tc>
        <w:tc>
          <w:tcPr>
            <w:tcW w:w="34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三级A</w:t>
            </w:r>
          </w:p>
        </w:tc>
        <w:tc>
          <w:tcPr>
            <w:tcW w:w="300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直接排放</w:t>
            </w:r>
          </w:p>
        </w:tc>
        <w:tc>
          <w:tcPr>
            <w:tcW w:w="34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Q＜200且W＜6000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三级B</w:t>
            </w:r>
          </w:p>
        </w:tc>
        <w:tc>
          <w:tcPr>
            <w:tcW w:w="300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间接排放</w:t>
            </w:r>
          </w:p>
        </w:tc>
        <w:tc>
          <w:tcPr>
            <w:tcW w:w="34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bl>
    <w:p>
      <w:pPr>
        <w:pStyle w:val="431"/>
        <w:spacing w:line="500" w:lineRule="exact"/>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本项目营运期</w:t>
      </w:r>
      <w:r>
        <w:rPr>
          <w:rFonts w:hint="eastAsia" w:ascii="Times New Roman" w:hAnsi="Times New Roman" w:eastAsia="宋体"/>
          <w:snapToGrid w:val="0"/>
          <w:color w:val="000000" w:themeColor="text1"/>
          <w14:textFill>
            <w14:solidFill>
              <w14:schemeClr w14:val="tx1"/>
            </w14:solidFill>
          </w14:textFill>
        </w:rPr>
        <w:t>全厂废水总排放量为1.92</w:t>
      </w:r>
      <w:r>
        <w:rPr>
          <w:rFonts w:ascii="Times New Roman" w:hAnsi="Times New Roman" w:eastAsia="宋体"/>
          <w:snapToGrid w:val="0"/>
          <w:color w:val="000000" w:themeColor="text1"/>
          <w14:textFill>
            <w14:solidFill>
              <w14:schemeClr w14:val="tx1"/>
            </w14:solidFill>
          </w14:textFill>
        </w:rPr>
        <w:t>m</w:t>
      </w:r>
      <w:r>
        <w:rPr>
          <w:rFonts w:ascii="Times New Roman" w:hAnsi="Times New Roman" w:eastAsia="宋体"/>
          <w:snapToGrid w:val="0"/>
          <w:color w:val="000000" w:themeColor="text1"/>
          <w:vertAlign w:val="superscript"/>
          <w14:textFill>
            <w14:solidFill>
              <w14:schemeClr w14:val="tx1"/>
            </w14:solidFill>
          </w14:textFill>
        </w:rPr>
        <w:t>3</w:t>
      </w:r>
      <w:r>
        <w:rPr>
          <w:rFonts w:ascii="Times New Roman" w:hAnsi="Times New Roman" w:eastAsia="宋体"/>
          <w:snapToGrid w:val="0"/>
          <w:color w:val="000000" w:themeColor="text1"/>
          <w14:textFill>
            <w14:solidFill>
              <w14:schemeClr w14:val="tx1"/>
            </w14:solidFill>
          </w14:textFill>
        </w:rPr>
        <w:t>/d</w:t>
      </w:r>
      <w:r>
        <w:rPr>
          <w:rFonts w:hint="eastAsia" w:ascii="Times New Roman" w:hAnsi="Times New Roman" w:eastAsia="宋体"/>
          <w:snapToGrid w:val="0"/>
          <w:color w:val="000000" w:themeColor="text1"/>
          <w14:textFill>
            <w14:solidFill>
              <w14:schemeClr w14:val="tx1"/>
            </w14:solidFill>
          </w14:textFill>
        </w:rPr>
        <w:t>（576</w:t>
      </w:r>
      <w:r>
        <w:rPr>
          <w:rFonts w:ascii="Times New Roman" w:hAnsi="Times New Roman" w:eastAsia="宋体"/>
          <w:snapToGrid w:val="0"/>
          <w:color w:val="000000" w:themeColor="text1"/>
          <w14:textFill>
            <w14:solidFill>
              <w14:schemeClr w14:val="tx1"/>
            </w14:solidFill>
          </w14:textFill>
        </w:rPr>
        <w:t>m</w:t>
      </w:r>
      <w:r>
        <w:rPr>
          <w:rFonts w:ascii="Times New Roman" w:hAnsi="Times New Roman" w:eastAsia="宋体"/>
          <w:snapToGrid w:val="0"/>
          <w:color w:val="000000" w:themeColor="text1"/>
          <w:vertAlign w:val="superscript"/>
          <w14:textFill>
            <w14:solidFill>
              <w14:schemeClr w14:val="tx1"/>
            </w14:solidFill>
          </w14:textFill>
        </w:rPr>
        <w:t>3</w:t>
      </w:r>
      <w:r>
        <w:rPr>
          <w:rFonts w:ascii="Times New Roman" w:hAnsi="Times New Roman" w:eastAsia="宋体"/>
          <w:snapToGrid w:val="0"/>
          <w:color w:val="000000" w:themeColor="text1"/>
          <w14:textFill>
            <w14:solidFill>
              <w14:schemeClr w14:val="tx1"/>
            </w14:solidFill>
          </w14:textFill>
        </w:rPr>
        <w:t>/</w:t>
      </w:r>
      <w:r>
        <w:rPr>
          <w:rFonts w:hint="eastAsia" w:ascii="Times New Roman" w:hAnsi="Times New Roman" w:eastAsia="宋体"/>
          <w:snapToGrid w:val="0"/>
          <w:color w:val="000000" w:themeColor="text1"/>
          <w14:textFill>
            <w14:solidFill>
              <w14:schemeClr w14:val="tx1"/>
            </w14:solidFill>
          </w14:textFill>
        </w:rPr>
        <w:t>a），本项目废水主要包括循环冷却水排水、污蒸汽冷凝液排水、蒸汽冷凝液排水、尾气吸收洗涤废液、离心洗涤废水、生活污水；循环冷却水作为清净下水经雨水管网排放；污蒸汽冷凝液部分回用于溶盐槽溶盐及离心洗涤，多余部分作为清净下水经雨水管网排放；蒸汽冷凝液部分回用于厂区绿化洒水，多余部分作为清净下水经雨水管网排放；尾气吸收洗涤废液定期泵送至中和槽回用于生产，离心洗涤废水</w:t>
      </w:r>
      <w:r>
        <w:rPr>
          <w:rFonts w:hint="eastAsia" w:ascii="Times New Roman" w:cs="Times New Roman" w:hAnsiTheme="minorEastAsia"/>
          <w:color w:val="000000" w:themeColor="text1"/>
          <w:kern w:val="2"/>
          <w14:textFill>
            <w14:solidFill>
              <w14:schemeClr w14:val="tx1"/>
            </w14:solidFill>
          </w14:textFill>
        </w:rPr>
        <w:t>经母液槽最终进入中和槽回用于生产，不外排；</w:t>
      </w:r>
      <w:r>
        <w:rPr>
          <w:rFonts w:hint="eastAsia" w:ascii="Times New Roman" w:hAnsi="Times New Roman" w:eastAsia="宋体"/>
          <w:snapToGrid w:val="0"/>
          <w:color w:val="000000" w:themeColor="text1"/>
          <w14:textFill>
            <w14:solidFill>
              <w14:schemeClr w14:val="tx1"/>
            </w14:solidFill>
          </w14:textFill>
        </w:rPr>
        <w:t>生活污水经厂区化粪池收集处理后排入园区污水管网最终进入三板湖污水处理厂深度处理。综上，本</w:t>
      </w:r>
      <w:r>
        <w:rPr>
          <w:rFonts w:ascii="Times New Roman" w:hAnsi="Times New Roman" w:eastAsia="宋体"/>
          <w:snapToGrid w:val="0"/>
          <w:color w:val="000000" w:themeColor="text1"/>
          <w14:textFill>
            <w14:solidFill>
              <w14:schemeClr w14:val="tx1"/>
            </w14:solidFill>
          </w14:textFill>
        </w:rPr>
        <w:t>项目废水排放方式为间接排放，确定本项目地表水评价等级为三级B。</w:t>
      </w:r>
    </w:p>
    <w:p>
      <w:pPr>
        <w:pStyle w:val="2"/>
        <w:snapToGrid w:val="0"/>
        <w:spacing w:after="0" w:line="520" w:lineRule="exact"/>
        <w:ind w:firstLine="480" w:firstLineChars="200"/>
        <w:rPr>
          <w:rFonts w:ascii="Times New Roman" w:cs="Times New Roman" w:hAnsiTheme="minorEastAsia"/>
          <w:color w:val="000000" w:themeColor="text1"/>
          <w:sz w:val="24"/>
          <w:szCs w:val="20"/>
          <w14:textFill>
            <w14:solidFill>
              <w14:schemeClr w14:val="tx1"/>
            </w14:solidFill>
          </w14:textFill>
        </w:rPr>
      </w:pPr>
      <w:r>
        <w:rPr>
          <w:rFonts w:ascii="Times New Roman" w:cs="Times New Roman" w:hAnsiTheme="minorEastAsia"/>
          <w:color w:val="000000" w:themeColor="text1"/>
          <w:sz w:val="24"/>
          <w:szCs w:val="20"/>
          <w14:textFill>
            <w14:solidFill>
              <w14:schemeClr w14:val="tx1"/>
            </w14:solidFill>
          </w14:textFill>
        </w:rPr>
        <w:t>根据导则5.3.2.2，三级B其评价范围应符合：a）应满足其依托污水处理设施环境可行性分析的要求；b）涉及地表水环境风险的，应覆盖环境风险影响范围所及的水环境保护目标水域。根据调查要求：可不开展区域污染源调查，主要调查依托污水处理设施的处理工艺、设计进水水质、处理后的废水稳定达标排放情况，同时应调查依托污水设施执行排放标准是否涵盖监测项目排放的有毒有害的特征水污染物。</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20" w:name="_Toc27106"/>
      <w:bookmarkStart w:id="121" w:name="_Toc25361"/>
      <w:r>
        <w:rPr>
          <w:rFonts w:hint="default" w:ascii="Times New Roman" w:hAnsi="Times New Roman" w:eastAsia="黑体" w:cs="Times New Roman"/>
          <w:b/>
          <w:color w:val="000000" w:themeColor="text1"/>
          <w:szCs w:val="28"/>
          <w:lang w:val="en-US" w:eastAsia="zh-CN"/>
          <w14:textFill>
            <w14:solidFill>
              <w14:schemeClr w14:val="tx1"/>
            </w14:solidFill>
          </w14:textFill>
        </w:rPr>
        <w:t>2.7.3</w:t>
      </w:r>
      <w:r>
        <w:rPr>
          <w:rFonts w:ascii="黑体" w:hAnsi="黑体" w:eastAsia="黑体" w:cs="Times New Roman"/>
          <w:b/>
          <w:color w:val="000000" w:themeColor="text1"/>
          <w:szCs w:val="28"/>
          <w14:textFill>
            <w14:solidFill>
              <w14:schemeClr w14:val="tx1"/>
            </w14:solidFill>
          </w14:textFill>
        </w:rPr>
        <w:t>地下水</w:t>
      </w:r>
      <w:bookmarkEnd w:id="120"/>
      <w:bookmarkEnd w:id="121"/>
    </w:p>
    <w:p>
      <w:pPr>
        <w:pStyle w:val="433"/>
        <w:spacing w:before="48"/>
        <w:rPr>
          <w:b/>
          <w:bCs/>
          <w:color w:val="000000" w:themeColor="text1"/>
          <w14:textFill>
            <w14:solidFill>
              <w14:schemeClr w14:val="tx1"/>
            </w14:solidFill>
          </w14:textFill>
        </w:rPr>
      </w:pPr>
      <w:r>
        <w:rPr>
          <w:color w:val="000000" w:themeColor="text1"/>
          <w14:textFill>
            <w14:solidFill>
              <w14:schemeClr w14:val="tx1"/>
            </w14:solidFill>
          </w14:textFill>
        </w:rPr>
        <w:t>根据《环境影响评价技术导则</w:t>
      </w:r>
      <w:r>
        <w:rPr>
          <w:rFonts w:hAnsi="Times New Roman"/>
          <w:color w:val="000000" w:themeColor="text1"/>
          <w14:textFill>
            <w14:solidFill>
              <w14:schemeClr w14:val="tx1"/>
            </w14:solidFill>
          </w14:textFill>
        </w:rPr>
        <w:t>-</w:t>
      </w:r>
      <w:r>
        <w:rPr>
          <w:color w:val="000000" w:themeColor="text1"/>
          <w14:textFill>
            <w14:solidFill>
              <w14:schemeClr w14:val="tx1"/>
            </w14:solidFill>
          </w14:textFill>
        </w:rPr>
        <w:t>地下水环境》</w:t>
      </w:r>
      <w:r>
        <w:rPr>
          <w:rFonts w:ascii="Times New Roman" w:hAnsi="Times New Roman" w:cs="Times New Roman"/>
          <w:color w:val="000000" w:themeColor="text1"/>
          <w14:textFill>
            <w14:solidFill>
              <w14:schemeClr w14:val="tx1"/>
            </w14:solidFill>
          </w14:textFill>
        </w:rPr>
        <w:t>（HJ610-2016）</w:t>
      </w:r>
      <w:r>
        <w:rPr>
          <w:rFonts w:ascii="Times New Roman"/>
          <w:color w:val="000000" w:themeColor="text1"/>
          <w14:textFill>
            <w14:solidFill>
              <w14:schemeClr w14:val="tx1"/>
            </w14:solidFill>
          </w14:textFill>
        </w:rPr>
        <w:t>附录</w:t>
      </w:r>
      <w:r>
        <w:rPr>
          <w:rFonts w:ascii="Times New Roman" w:hAnsi="Times New Roman"/>
          <w:color w:val="000000" w:themeColor="text1"/>
          <w14:textFill>
            <w14:solidFill>
              <w14:schemeClr w14:val="tx1"/>
            </w14:solidFill>
          </w14:textFill>
        </w:rPr>
        <w:t>A</w:t>
      </w:r>
      <w:r>
        <w:rPr>
          <w:rFonts w:hint="eastAsia" w:ascii="Times New Roman"/>
          <w:color w:val="000000" w:themeColor="text1"/>
          <w14:textFill>
            <w14:solidFill>
              <w14:schemeClr w14:val="tx1"/>
            </w14:solidFill>
          </w14:textFill>
        </w:rPr>
        <w:t>地下水</w:t>
      </w:r>
      <w:r>
        <w:rPr>
          <w:rFonts w:ascii="Times New Roman"/>
          <w:color w:val="000000" w:themeColor="text1"/>
          <w14:textFill>
            <w14:solidFill>
              <w14:schemeClr w14:val="tx1"/>
            </w14:solidFill>
          </w14:textFill>
        </w:rPr>
        <w:t>环境影响评价</w:t>
      </w:r>
      <w:r>
        <w:rPr>
          <w:rFonts w:hint="eastAsia" w:ascii="Times New Roman"/>
          <w:color w:val="000000" w:themeColor="text1"/>
          <w14:textFill>
            <w14:solidFill>
              <w14:schemeClr w14:val="tx1"/>
            </w14:solidFill>
          </w14:textFill>
        </w:rPr>
        <w:t>行业分类表</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本</w:t>
      </w:r>
      <w:r>
        <w:rPr>
          <w:rFonts w:ascii="Times New Roman"/>
          <w:color w:val="000000" w:themeColor="text1"/>
          <w14:textFill>
            <w14:solidFill>
              <w14:schemeClr w14:val="tx1"/>
            </w14:solidFill>
          </w14:textFill>
        </w:rPr>
        <w:t>项目</w:t>
      </w:r>
      <w:r>
        <w:rPr>
          <w:rFonts w:hint="eastAsia" w:ascii="Times New Roman"/>
          <w:color w:val="000000" w:themeColor="text1"/>
          <w14:textFill>
            <w14:solidFill>
              <w14:schemeClr w14:val="tx1"/>
            </w14:solidFill>
          </w14:textFill>
        </w:rPr>
        <w:t>属“L石化、化工”“85、基本化学原料制造”，编制报告书的项目，</w:t>
      </w:r>
      <w:r>
        <w:rPr>
          <w:rFonts w:ascii="Times New Roman"/>
          <w:color w:val="000000" w:themeColor="text1"/>
          <w14:textFill>
            <w14:solidFill>
              <w14:schemeClr w14:val="tx1"/>
            </w14:solidFill>
          </w14:textFill>
        </w:rPr>
        <w:t>为</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w:instrText>
      </w:r>
      <w:r>
        <w:rPr>
          <w:rFonts w:hint="eastAsia" w:ascii="Times New Roman" w:hAnsi="Times New Roman"/>
          <w:color w:val="000000" w:themeColor="text1"/>
          <w14:textFill>
            <w14:solidFill>
              <w14:schemeClr w14:val="tx1"/>
            </w14:solidFill>
          </w14:textFill>
        </w:rPr>
        <w:instrText xml:space="preserve">= 1 \* ROMAN</w:instrText>
      </w:r>
      <w:r>
        <w:rPr>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I</w:t>
      </w:r>
      <w:r>
        <w:rPr>
          <w:rFonts w:ascii="Times New Roman" w:hAnsi="Times New Roman"/>
          <w:color w:val="000000" w:themeColor="text1"/>
          <w14:textFill>
            <w14:solidFill>
              <w14:schemeClr w14:val="tx1"/>
            </w14:solidFill>
          </w14:textFill>
        </w:rPr>
        <w:fldChar w:fldCharType="end"/>
      </w:r>
      <w:r>
        <w:rPr>
          <w:rFonts w:ascii="Times New Roman"/>
          <w:color w:val="000000" w:themeColor="text1"/>
          <w14:textFill>
            <w14:solidFill>
              <w14:schemeClr w14:val="tx1"/>
            </w14:solidFill>
          </w14:textFill>
        </w:rPr>
        <w:t>类</w:t>
      </w:r>
      <w:r>
        <w:rPr>
          <w:rFonts w:hint="eastAsia" w:ascii="Times New Roman"/>
          <w:color w:val="000000" w:themeColor="text1"/>
          <w14:textFill>
            <w14:solidFill>
              <w14:schemeClr w14:val="tx1"/>
            </w14:solidFill>
          </w14:textFill>
        </w:rPr>
        <w:t>地下水环境影响评价</w:t>
      </w:r>
      <w:r>
        <w:rPr>
          <w:rFonts w:ascii="Times New Roman"/>
          <w:color w:val="000000" w:themeColor="text1"/>
          <w14:textFill>
            <w14:solidFill>
              <w14:schemeClr w14:val="tx1"/>
            </w14:solidFill>
          </w14:textFill>
        </w:rPr>
        <w:t>项目</w:t>
      </w:r>
      <w:r>
        <w:rPr>
          <w:rFonts w:hint="eastAsia" w:ascii="Times New Roman"/>
          <w:color w:val="000000" w:themeColor="text1"/>
          <w14:textFill>
            <w14:solidFill>
              <w14:schemeClr w14:val="tx1"/>
            </w14:solidFill>
          </w14:textFill>
        </w:rPr>
        <w:t>类别</w:t>
      </w:r>
      <w:r>
        <w:rPr>
          <w:rFonts w:hint="eastAsia"/>
          <w:color w:val="000000" w:themeColor="text1"/>
          <w14:textFill>
            <w14:solidFill>
              <w14:schemeClr w14:val="tx1"/>
            </w14:solidFill>
          </w14:textFill>
        </w:rPr>
        <w:t>。</w:t>
      </w:r>
    </w:p>
    <w:p>
      <w:pPr>
        <w:spacing w:before="240" w:beforeLines="10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2.7</w:t>
      </w:r>
      <w:r>
        <w:rPr>
          <w:rFonts w:ascii="Times New Roman" w:hAnsi="Times New Roman"/>
          <w:b/>
          <w:color w:val="000000" w:themeColor="text1"/>
          <w:sz w:val="24"/>
          <w:szCs w:val="24"/>
          <w14:textFill>
            <w14:solidFill>
              <w14:schemeClr w14:val="tx1"/>
            </w14:solidFill>
          </w14:textFill>
        </w:rPr>
        <w:t xml:space="preserve">-5  </w:t>
      </w:r>
      <w:r>
        <w:rPr>
          <w:rFonts w:ascii="Times New Roman" w:hAnsi="Times New Roman"/>
          <w:b/>
          <w:bCs/>
          <w:color w:val="000000" w:themeColor="text1"/>
          <w:sz w:val="24"/>
          <w:szCs w:val="24"/>
          <w14:textFill>
            <w14:solidFill>
              <w14:schemeClr w14:val="tx1"/>
            </w14:solidFill>
          </w14:textFill>
        </w:rPr>
        <w:t>地下水环境敏感程度分级表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0"/>
        <w:gridCol w:w="74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53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敏感程度</w:t>
            </w:r>
          </w:p>
        </w:tc>
        <w:tc>
          <w:tcPr>
            <w:tcW w:w="742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敏感</w:t>
            </w:r>
          </w:p>
        </w:tc>
        <w:tc>
          <w:tcPr>
            <w:tcW w:w="7429" w:type="dxa"/>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集中式饮用水水源（包括已建成的在用、备用、应急水源，在建和规划的饮用水水源）准保护区；除集中式饮用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较敏感</w:t>
            </w:r>
          </w:p>
        </w:tc>
        <w:tc>
          <w:tcPr>
            <w:tcW w:w="7429" w:type="dxa"/>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集中式饮用水水源（包括已建成的在用、备用、应急水源，在建和规划的饮用水水源）准保护区以外的补给径流区；未划定准保护区的集中式饮用水源，其保护区以外的补给径流区；分散式饮用水源地；特殊地下水资源（如矿泉水、温泉等）保护区以外的分布区等其他未列入上述敏感分析的环境敏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不敏感</w:t>
            </w:r>
          </w:p>
        </w:tc>
        <w:tc>
          <w:tcPr>
            <w:tcW w:w="7429" w:type="dxa"/>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上述地区之外的其他地区。</w:t>
            </w:r>
          </w:p>
        </w:tc>
      </w:tr>
    </w:tbl>
    <w:p>
      <w:pPr>
        <w:autoSpaceDE w:val="0"/>
        <w:autoSpaceDN w:val="0"/>
        <w:snapToGrid w:val="0"/>
        <w:spacing w:before="240" w:beforeLines="10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2.7</w:t>
      </w:r>
      <w:r>
        <w:rPr>
          <w:rFonts w:ascii="Times New Roman" w:hAnsi="Times New Roman"/>
          <w:b/>
          <w:color w:val="000000" w:themeColor="text1"/>
          <w:sz w:val="24"/>
          <w:szCs w:val="24"/>
          <w14:textFill>
            <w14:solidFill>
              <w14:schemeClr w14:val="tx1"/>
            </w14:solidFill>
          </w14:textFill>
        </w:rPr>
        <w:t>-6  地下水评价工作等级</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9"/>
        <w:gridCol w:w="2240"/>
        <w:gridCol w:w="2240"/>
        <w:gridCol w:w="2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239" w:type="dxa"/>
            <w:tcBorders>
              <w:top w:val="single" w:color="auto" w:sz="12" w:space="0"/>
              <w:bottom w:val="single" w:color="auto" w:sz="6" w:space="0"/>
              <w:tl2br w:val="single" w:color="auto" w:sz="4" w:space="0"/>
            </w:tcBorders>
            <w:shd w:val="clear" w:color="auto" w:fill="auto"/>
            <w:vAlign w:val="center"/>
          </w:tcPr>
          <w:p>
            <w:pPr>
              <w:jc w:val="right"/>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项目类别</w:t>
            </w:r>
          </w:p>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环境敏感程度</w:t>
            </w:r>
            <w:r>
              <w:rPr>
                <w:rFonts w:ascii="Times New Roman" w:hAnsi="Times New Roman"/>
                <w:color w:val="000000" w:themeColor="text1"/>
                <w:sz w:val="18"/>
                <w:szCs w:val="18"/>
                <w14:textFill>
                  <w14:solidFill>
                    <w14:schemeClr w14:val="tx1"/>
                  </w14:solidFill>
                </w14:textFill>
              </w:rPr>
              <w:t xml:space="preserve">  </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w:t>
            </w:r>
            <w:r>
              <w:rPr>
                <w:rFonts w:ascii="Times New Roman" w:hAnsi="宋体"/>
                <w:color w:val="000000" w:themeColor="text1"/>
                <w:sz w:val="18"/>
                <w:szCs w:val="18"/>
                <w14:textFill>
                  <w14:solidFill>
                    <w14:schemeClr w14:val="tx1"/>
                  </w14:solidFill>
                </w14:textFill>
              </w:rPr>
              <w:t>类项目</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w:t>
            </w:r>
            <w:r>
              <w:rPr>
                <w:rFonts w:ascii="Times New Roman" w:hAnsi="宋体"/>
                <w:color w:val="000000" w:themeColor="text1"/>
                <w:sz w:val="18"/>
                <w:szCs w:val="18"/>
                <w14:textFill>
                  <w14:solidFill>
                    <w14:schemeClr w14:val="tx1"/>
                  </w14:solidFill>
                </w14:textFill>
              </w:rPr>
              <w:t>类项目</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r>
              <w:rPr>
                <w:rFonts w:ascii="Times New Roman" w:hAnsi="宋体"/>
                <w:color w:val="000000" w:themeColor="text1"/>
                <w:sz w:val="18"/>
                <w:szCs w:val="18"/>
                <w14:textFill>
                  <w14:solidFill>
                    <w14:schemeClr w14:val="tx1"/>
                  </w14:solidFill>
                </w14:textFill>
              </w:rPr>
              <w:t>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9" w:type="dxa"/>
            <w:tcBorders>
              <w:top w:val="single" w:color="auto" w:sz="6" w:space="0"/>
            </w:tcBorders>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敏感</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一</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一</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较敏感</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一</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二</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不敏感</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二</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三</w:t>
            </w:r>
          </w:p>
        </w:tc>
        <w:tc>
          <w:tcPr>
            <w:tcW w:w="224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三</w:t>
            </w:r>
          </w:p>
        </w:tc>
      </w:tr>
    </w:tbl>
    <w:p>
      <w:pPr>
        <w:pStyle w:val="433"/>
        <w:spacing w:before="48"/>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位于宜昌化工园宜都园区，</w:t>
      </w:r>
      <w:r>
        <w:rPr>
          <w:color w:val="000000" w:themeColor="text1"/>
          <w14:textFill>
            <w14:solidFill>
              <w14:schemeClr w14:val="tx1"/>
            </w14:solidFill>
          </w14:textFill>
        </w:rPr>
        <w:t>地下水环境敏感程度属于不敏感区域</w:t>
      </w:r>
      <w:r>
        <w:rPr>
          <w:rFonts w:hint="eastAsia"/>
          <w:color w:val="000000" w:themeColor="text1"/>
          <w14:textFill>
            <w14:solidFill>
              <w14:schemeClr w14:val="tx1"/>
            </w14:solidFill>
          </w14:textFill>
        </w:rPr>
        <w:t>。</w:t>
      </w:r>
    </w:p>
    <w:p>
      <w:pPr>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依据评价工作等级的判定表，确定</w:t>
      </w:r>
      <w:r>
        <w:rPr>
          <w:rFonts w:ascii="Times New Roman" w:hAnsi="Times New Roman" w:eastAsiaTheme="minorEastAsia"/>
          <w:color w:val="000000" w:themeColor="text1"/>
          <w:sz w:val="24"/>
          <w:szCs w:val="24"/>
          <w14:textFill>
            <w14:solidFill>
              <w14:schemeClr w14:val="tx1"/>
            </w14:solidFill>
          </w14:textFill>
        </w:rPr>
        <w:t>项目</w:t>
      </w:r>
      <w:r>
        <w:rPr>
          <w:rFonts w:hint="eastAsia" w:ascii="Times New Roman" w:hAnsi="Times New Roman" w:eastAsiaTheme="minorEastAsia"/>
          <w:color w:val="000000" w:themeColor="text1"/>
          <w:sz w:val="24"/>
          <w:szCs w:val="24"/>
          <w14:textFill>
            <w14:solidFill>
              <w14:schemeClr w14:val="tx1"/>
            </w14:solidFill>
          </w14:textFill>
        </w:rPr>
        <w:t>的评价等级及评价范围：</w:t>
      </w:r>
      <w:r>
        <w:rPr>
          <w:rFonts w:ascii="Times New Roman" w:hAnsi="Times New Roman" w:eastAsiaTheme="minorEastAsia"/>
          <w:color w:val="000000" w:themeColor="text1"/>
          <w:sz w:val="24"/>
          <w:szCs w:val="24"/>
          <w14:textFill>
            <w14:solidFill>
              <w14:schemeClr w14:val="tx1"/>
            </w14:solidFill>
          </w14:textFill>
        </w:rPr>
        <w:t>项目地下水评价等级应为</w:t>
      </w:r>
      <w:r>
        <w:rPr>
          <w:rFonts w:hint="eastAsia" w:ascii="Times New Roman" w:hAnsi="Times New Roman" w:eastAsiaTheme="minorEastAsia"/>
          <w:color w:val="000000" w:themeColor="text1"/>
          <w:sz w:val="24"/>
          <w:szCs w:val="24"/>
          <w14:textFill>
            <w14:solidFill>
              <w14:schemeClr w14:val="tx1"/>
            </w14:solidFill>
          </w14:textFill>
        </w:rPr>
        <w:t>二</w:t>
      </w:r>
      <w:r>
        <w:rPr>
          <w:rFonts w:ascii="Times New Roman" w:hAnsi="Times New Roman" w:eastAsiaTheme="minorEastAsia"/>
          <w:color w:val="000000" w:themeColor="text1"/>
          <w:sz w:val="24"/>
          <w:szCs w:val="24"/>
          <w14:textFill>
            <w14:solidFill>
              <w14:schemeClr w14:val="tx1"/>
            </w14:solidFill>
          </w14:textFill>
        </w:rPr>
        <w:t>级。根据导则的查表法，确定地下水环境影响评价范围为项目场区及其周边6</w:t>
      </w:r>
      <w:r>
        <w:rPr>
          <w:rFonts w:hint="eastAsia" w:ascii="Times New Roman" w:hAnsi="Times New Roman" w:eastAsiaTheme="minorEastAsia"/>
          <w:color w:val="000000" w:themeColor="text1"/>
          <w:sz w:val="24"/>
          <w:szCs w:val="24"/>
          <w14:textFill>
            <w14:solidFill>
              <w14:schemeClr w14:val="tx1"/>
            </w14:solidFill>
          </w14:textFill>
        </w:rPr>
        <w:t>k</w:t>
      </w:r>
      <w:r>
        <w:rPr>
          <w:rFonts w:ascii="Times New Roman" w:hAnsi="Times New Roman" w:eastAsiaTheme="minorEastAsia"/>
          <w:color w:val="000000" w:themeColor="text1"/>
          <w:sz w:val="24"/>
          <w:szCs w:val="24"/>
          <w14:textFill>
            <w14:solidFill>
              <w14:schemeClr w14:val="tx1"/>
            </w14:solidFill>
          </w14:textFill>
        </w:rPr>
        <w:t>m</w:t>
      </w:r>
      <w:r>
        <w:rPr>
          <w:rFonts w:ascii="Times New Roman" w:hAnsi="Times New Roman" w:eastAsiaTheme="minorEastAsia"/>
          <w:color w:val="000000" w:themeColor="text1"/>
          <w:sz w:val="24"/>
          <w:szCs w:val="24"/>
          <w:vertAlign w:val="super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的范围内。</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22" w:name="_Toc6043"/>
      <w:bookmarkStart w:id="123" w:name="_Toc21245"/>
      <w:r>
        <w:rPr>
          <w:rFonts w:hint="default" w:ascii="Times New Roman" w:hAnsi="Times New Roman" w:eastAsia="黑体" w:cs="Times New Roman"/>
          <w:b/>
          <w:color w:val="000000" w:themeColor="text1"/>
          <w:szCs w:val="28"/>
          <w:lang w:val="en-US" w:eastAsia="zh-CN"/>
          <w14:textFill>
            <w14:solidFill>
              <w14:schemeClr w14:val="tx1"/>
            </w14:solidFill>
          </w14:textFill>
        </w:rPr>
        <w:t>2.7.4</w:t>
      </w:r>
      <w:r>
        <w:rPr>
          <w:rFonts w:ascii="黑体" w:hAnsi="黑体" w:eastAsia="黑体" w:cs="Times New Roman"/>
          <w:b/>
          <w:color w:val="000000" w:themeColor="text1"/>
          <w:szCs w:val="28"/>
          <w14:textFill>
            <w14:solidFill>
              <w14:schemeClr w14:val="tx1"/>
            </w14:solidFill>
          </w14:textFill>
        </w:rPr>
        <w:t>声环境</w:t>
      </w:r>
      <w:bookmarkEnd w:id="122"/>
      <w:bookmarkEnd w:id="123"/>
    </w:p>
    <w:p>
      <w:pPr>
        <w:pStyle w:val="433"/>
        <w:spacing w:before="48"/>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项目所在区域噪声功能规划执行《声环境质量标准》(GB3096-2008)中3类区标准，根据《环境影响评价导则-声环境》(HJ2.4-2009)第5.2.3条规定：</w:t>
      </w:r>
      <w:r>
        <w:rPr>
          <w:rFonts w:ascii="Times New Roman" w:cs="Times New Roman"/>
          <w:color w:val="000000" w:themeColor="text1"/>
          <w:szCs w:val="24"/>
          <w14:textFill>
            <w14:solidFill>
              <w14:schemeClr w14:val="tx1"/>
            </w14:solidFill>
          </w14:textFill>
        </w:rPr>
        <w:t>建设项目所处的声环境功能区为</w:t>
      </w:r>
      <w:r>
        <w:rPr>
          <w:rFonts w:ascii="Times New Roman" w:hAnsi="Times New Roman" w:cs="Times New Roman"/>
          <w:color w:val="000000" w:themeColor="text1"/>
          <w:szCs w:val="24"/>
          <w14:textFill>
            <w14:solidFill>
              <w14:schemeClr w14:val="tx1"/>
            </w14:solidFill>
          </w14:textFill>
        </w:rPr>
        <w:t>GB 3096规定的3类、4类地区，或建设项目建设前后评价范</w:t>
      </w:r>
      <w:r>
        <w:rPr>
          <w:rFonts w:ascii="Times New Roman" w:cs="Times New Roman"/>
          <w:color w:val="000000" w:themeColor="text1"/>
          <w:szCs w:val="24"/>
          <w14:textFill>
            <w14:solidFill>
              <w14:schemeClr w14:val="tx1"/>
            </w14:solidFill>
          </w14:textFill>
        </w:rPr>
        <w:t>围内敏感目标噪声级增高量在</w:t>
      </w:r>
      <w:r>
        <w:rPr>
          <w:rFonts w:ascii="Times New Roman" w:hAnsi="Times New Roman" w:cs="Times New Roman"/>
          <w:color w:val="000000" w:themeColor="text1"/>
          <w:szCs w:val="24"/>
          <w14:textFill>
            <w14:solidFill>
              <w14:schemeClr w14:val="tx1"/>
            </w14:solidFill>
          </w14:textFill>
        </w:rPr>
        <w:t>3dB(A)以下[不含3dB(A)]，且受影响人口数量变化不大时，按三级评价。</w:t>
      </w:r>
      <w:r>
        <w:rPr>
          <w:rFonts w:ascii="Times New Roman"/>
          <w:color w:val="000000" w:themeColor="text1"/>
          <w14:textFill>
            <w14:solidFill>
              <w14:schemeClr w14:val="tx1"/>
            </w14:solidFill>
          </w14:textFill>
        </w:rPr>
        <w:t>经预测可知，项目建设前后噪声级有一定程度增加，但建设前后影响的人口变化不大，在采取措施后工程建设前后噪声级增加小于</w:t>
      </w:r>
      <w:r>
        <w:rPr>
          <w:rFonts w:ascii="Times New Roman" w:hAnsi="Times New Roman"/>
          <w:color w:val="000000" w:themeColor="text1"/>
          <w14:textFill>
            <w14:solidFill>
              <w14:schemeClr w14:val="tx1"/>
            </w14:solidFill>
          </w14:textFill>
        </w:rPr>
        <w:t>3dB(A)</w:t>
      </w:r>
      <w:r>
        <w:rPr>
          <w:rFonts w:ascii="Times New Roman"/>
          <w:color w:val="000000" w:themeColor="text1"/>
          <w14:textFill>
            <w14:solidFill>
              <w14:schemeClr w14:val="tx1"/>
            </w14:solidFill>
          </w14:textFill>
        </w:rPr>
        <w:t>，受影响人口未显著增加。厂区周边</w:t>
      </w:r>
      <w:r>
        <w:rPr>
          <w:rFonts w:ascii="Times New Roman" w:hAnsi="Times New Roman"/>
          <w:color w:val="000000" w:themeColor="text1"/>
          <w14:textFill>
            <w14:solidFill>
              <w14:schemeClr w14:val="tx1"/>
            </w14:solidFill>
          </w14:textFill>
        </w:rPr>
        <w:t>200m</w:t>
      </w:r>
      <w:r>
        <w:rPr>
          <w:rFonts w:ascii="Times New Roman"/>
          <w:color w:val="000000" w:themeColor="text1"/>
          <w14:textFill>
            <w14:solidFill>
              <w14:schemeClr w14:val="tx1"/>
            </w14:solidFill>
          </w14:textFill>
        </w:rPr>
        <w:t>内无声环境敏感点，根据《环境影响评价技术导则</w:t>
      </w:r>
      <w:r>
        <w:rPr>
          <w:rFonts w:ascii="Times New Roman" w:hAns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声环境》（</w:t>
      </w:r>
      <w:r>
        <w:rPr>
          <w:rFonts w:ascii="Times New Roman" w:hAnsi="Times New Roman"/>
          <w:color w:val="000000" w:themeColor="text1"/>
          <w14:textFill>
            <w14:solidFill>
              <w14:schemeClr w14:val="tx1"/>
            </w14:solidFill>
          </w14:textFill>
        </w:rPr>
        <w:t>HJ2.4-2009</w:t>
      </w:r>
      <w:r>
        <w:rPr>
          <w:rFonts w:ascii="Times New Roman"/>
          <w:color w:val="000000" w:themeColor="text1"/>
          <w14:textFill>
            <w14:solidFill>
              <w14:schemeClr w14:val="tx1"/>
            </w14:solidFill>
          </w14:textFill>
        </w:rPr>
        <w:t>）</w:t>
      </w:r>
      <w:r>
        <w:rPr>
          <w:rFonts w:ascii="Times New Roman"/>
          <w:color w:val="000000" w:themeColor="text1"/>
          <w:szCs w:val="24"/>
          <w14:textFill>
            <w14:solidFill>
              <w14:schemeClr w14:val="tx1"/>
            </w14:solidFill>
          </w14:textFill>
        </w:rPr>
        <w:t>中声环境影响评价工作等级划分依据，</w:t>
      </w:r>
      <w:r>
        <w:rPr>
          <w:rFonts w:ascii="Times New Roman"/>
          <w:color w:val="000000" w:themeColor="text1"/>
          <w14:textFill>
            <w14:solidFill>
              <w14:schemeClr w14:val="tx1"/>
            </w14:solidFill>
          </w14:textFill>
        </w:rPr>
        <w:t>确定评价等级为三级。项目噪声环境影响评价范围为厂区周界外</w:t>
      </w:r>
      <w:r>
        <w:rPr>
          <w:rFonts w:ascii="Times New Roman" w:hAnsi="Times New Roman"/>
          <w:color w:val="000000" w:themeColor="text1"/>
          <w14:textFill>
            <w14:solidFill>
              <w14:schemeClr w14:val="tx1"/>
            </w14:solidFill>
          </w14:textFill>
        </w:rPr>
        <w:t>200</w:t>
      </w:r>
      <w:r>
        <w:rPr>
          <w:rFonts w:ascii="Times New Roman"/>
          <w:color w:val="000000" w:themeColor="text1"/>
          <w14:textFill>
            <w14:solidFill>
              <w14:schemeClr w14:val="tx1"/>
            </w14:solidFill>
          </w14:textFill>
        </w:rPr>
        <w:t>米范围。</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24" w:name="_Toc31854"/>
      <w:bookmarkStart w:id="125" w:name="_Toc12299"/>
      <w:r>
        <w:rPr>
          <w:rFonts w:hint="default" w:ascii="Times New Roman" w:hAnsi="Times New Roman" w:eastAsia="黑体" w:cs="Times New Roman"/>
          <w:b/>
          <w:color w:val="000000" w:themeColor="text1"/>
          <w:szCs w:val="28"/>
          <w:lang w:val="en-US" w:eastAsia="zh-CN"/>
          <w14:textFill>
            <w14:solidFill>
              <w14:schemeClr w14:val="tx1"/>
            </w14:solidFill>
          </w14:textFill>
        </w:rPr>
        <w:t>2.7.5</w:t>
      </w:r>
      <w:r>
        <w:rPr>
          <w:rFonts w:ascii="黑体" w:hAnsi="黑体" w:eastAsia="黑体" w:cs="Times New Roman"/>
          <w:b/>
          <w:color w:val="000000" w:themeColor="text1"/>
          <w:szCs w:val="28"/>
          <w14:textFill>
            <w14:solidFill>
              <w14:schemeClr w14:val="tx1"/>
            </w14:solidFill>
          </w14:textFill>
        </w:rPr>
        <w:t>生态环境</w:t>
      </w:r>
      <w:bookmarkEnd w:id="124"/>
      <w:bookmarkEnd w:id="125"/>
    </w:p>
    <w:p>
      <w:pPr>
        <w:autoSpaceDE w:val="0"/>
        <w:autoSpaceDN w:val="0"/>
        <w:adjustRightInd w:val="0"/>
        <w:snapToGrid w:val="0"/>
        <w:spacing w:line="520" w:lineRule="exact"/>
        <w:ind w:firstLine="472" w:firstLineChars="200"/>
        <w:jc w:val="left"/>
        <w:rPr>
          <w:rFonts w:ascii="Times New Roman" w:hAnsiTheme="minorEastAsia" w:eastAsiaTheme="minorEastAsia"/>
          <w:color w:val="000000" w:themeColor="text1"/>
          <w:spacing w:val="-2"/>
          <w:sz w:val="24"/>
          <w14:textFill>
            <w14:solidFill>
              <w14:schemeClr w14:val="tx1"/>
            </w14:solidFill>
          </w14:textFill>
        </w:rPr>
      </w:pPr>
      <w:r>
        <w:rPr>
          <w:rFonts w:ascii="Times New Roman" w:hAnsiTheme="minorEastAsia" w:eastAsiaTheme="minorEastAsia"/>
          <w:color w:val="000000" w:themeColor="text1"/>
          <w:spacing w:val="-2"/>
          <w:sz w:val="24"/>
          <w14:textFill>
            <w14:solidFill>
              <w14:schemeClr w14:val="tx1"/>
            </w14:solidFill>
          </w14:textFill>
        </w:rPr>
        <w:t>项目用地为规划的工业用地，无国家级的珍稀濒危物种，占地属于一般区域。项目规划用地面积约</w:t>
      </w:r>
      <w:r>
        <w:rPr>
          <w:rFonts w:hint="eastAsia" w:ascii="Times New Roman" w:hAnsi="Times New Roman" w:eastAsiaTheme="minorEastAsia"/>
          <w:color w:val="000000" w:themeColor="text1"/>
          <w:sz w:val="24"/>
          <w:szCs w:val="24"/>
          <w14:textFill>
            <w14:solidFill>
              <w14:schemeClr w14:val="tx1"/>
            </w14:solidFill>
          </w14:textFill>
        </w:rPr>
        <w:t>13289.28</w:t>
      </w:r>
      <w:r>
        <w:rPr>
          <w:rFonts w:ascii="Times New Roman" w:hAnsi="Times New Roman" w:eastAsiaTheme="minorEastAsia"/>
          <w:color w:val="000000" w:themeColor="text1"/>
          <w:sz w:val="24"/>
          <w:szCs w:val="24"/>
          <w14:textFill>
            <w14:solidFill>
              <w14:schemeClr w14:val="tx1"/>
            </w14:solidFill>
          </w14:textFill>
        </w:rPr>
        <w:t>m</w:t>
      </w:r>
      <w:r>
        <w:rPr>
          <w:rFonts w:ascii="Times New Roman" w:hAnsi="Times New Roman" w:eastAsiaTheme="minorEastAsia"/>
          <w:color w:val="000000" w:themeColor="text1"/>
          <w:sz w:val="24"/>
          <w:szCs w:val="24"/>
          <w:vertAlign w:val="superscript"/>
          <w14:textFill>
            <w14:solidFill>
              <w14:schemeClr w14:val="tx1"/>
            </w14:solidFill>
          </w14:textFill>
        </w:rPr>
        <w:t>2</w:t>
      </w:r>
      <w:r>
        <w:rPr>
          <w:rFonts w:ascii="Times New Roman" w:hAnsiTheme="minorEastAsia" w:eastAsiaTheme="minorEastAsia"/>
          <w:color w:val="000000" w:themeColor="text1"/>
          <w:spacing w:val="-2"/>
          <w:sz w:val="24"/>
          <w14:textFill>
            <w14:solidFill>
              <w14:schemeClr w14:val="tx1"/>
            </w14:solidFill>
          </w14:textFill>
        </w:rPr>
        <w:t>＜</w:t>
      </w:r>
      <w:r>
        <w:rPr>
          <w:rFonts w:ascii="Times New Roman" w:hAnsi="Times New Roman" w:eastAsiaTheme="minorEastAsia"/>
          <w:color w:val="000000" w:themeColor="text1"/>
          <w:spacing w:val="-2"/>
          <w:sz w:val="24"/>
          <w14:textFill>
            <w14:solidFill>
              <w14:schemeClr w14:val="tx1"/>
            </w14:solidFill>
          </w14:textFill>
        </w:rPr>
        <w:t>2km</w:t>
      </w:r>
      <w:r>
        <w:rPr>
          <w:rFonts w:ascii="Times New Roman" w:hAnsi="Times New Roman" w:eastAsiaTheme="minorEastAsia"/>
          <w:color w:val="000000" w:themeColor="text1"/>
          <w:spacing w:val="-2"/>
          <w:sz w:val="24"/>
          <w:vertAlign w:val="superscript"/>
          <w14:textFill>
            <w14:solidFill>
              <w14:schemeClr w14:val="tx1"/>
            </w14:solidFill>
          </w14:textFill>
        </w:rPr>
        <w:t>2</w:t>
      </w:r>
      <w:r>
        <w:rPr>
          <w:rFonts w:ascii="Times New Roman" w:hAnsiTheme="minorEastAsia" w:eastAsiaTheme="minorEastAsia"/>
          <w:color w:val="000000" w:themeColor="text1"/>
          <w:spacing w:val="-2"/>
          <w:sz w:val="24"/>
          <w14:textFill>
            <w14:solidFill>
              <w14:schemeClr w14:val="tx1"/>
            </w14:solidFill>
          </w14:textFill>
        </w:rPr>
        <w:t>。根据《环境影响评价技术导则</w:t>
      </w:r>
      <w:r>
        <w:rPr>
          <w:rFonts w:hint="eastAsia" w:ascii="Times New Roman" w:hAnsi="Times New Roman" w:eastAsiaTheme="minorEastAsia"/>
          <w:color w:val="000000" w:themeColor="text1"/>
          <w:spacing w:val="-2"/>
          <w:sz w:val="24"/>
          <w14:textFill>
            <w14:solidFill>
              <w14:schemeClr w14:val="tx1"/>
            </w14:solidFill>
          </w14:textFill>
        </w:rPr>
        <w:t>-</w:t>
      </w:r>
      <w:r>
        <w:rPr>
          <w:rFonts w:ascii="Times New Roman" w:hAnsiTheme="minorEastAsia" w:eastAsiaTheme="minorEastAsia"/>
          <w:color w:val="000000" w:themeColor="text1"/>
          <w:spacing w:val="-2"/>
          <w:sz w:val="24"/>
          <w14:textFill>
            <w14:solidFill>
              <w14:schemeClr w14:val="tx1"/>
            </w14:solidFill>
          </w14:textFill>
        </w:rPr>
        <w:t>生态影响》</w:t>
      </w:r>
      <w:r>
        <w:rPr>
          <w:rFonts w:ascii="Times New Roman" w:hAnsi="Times New Roman" w:eastAsiaTheme="minorEastAsia"/>
          <w:color w:val="000000" w:themeColor="text1"/>
          <w:spacing w:val="-2"/>
          <w:sz w:val="24"/>
          <w14:textFill>
            <w14:solidFill>
              <w14:schemeClr w14:val="tx1"/>
            </w14:solidFill>
          </w14:textFill>
        </w:rPr>
        <w:t>(HJ19-20</w:t>
      </w:r>
      <w:r>
        <w:rPr>
          <w:rFonts w:ascii="Times New Roman" w:hAnsiTheme="minorEastAsia" w:eastAsiaTheme="minorEastAsia"/>
          <w:color w:val="000000" w:themeColor="text1"/>
          <w:spacing w:val="-2"/>
          <w:sz w:val="24"/>
          <w14:textFill>
            <w14:solidFill>
              <w14:schemeClr w14:val="tx1"/>
            </w14:solidFill>
          </w14:textFill>
        </w:rPr>
        <w:t>11) 的评价等级划分原则，该工程生态环境影响评价为三级，评价仅对生态环境影响作简单分析。详见表</w:t>
      </w:r>
      <w:r>
        <w:rPr>
          <w:rFonts w:hint="eastAsia" w:ascii="Times New Roman" w:hAnsi="Times New Roman" w:eastAsiaTheme="minorEastAsia"/>
          <w:color w:val="000000" w:themeColor="text1"/>
          <w:sz w:val="24"/>
          <w:lang w:val="en-US" w:eastAsia="zh-CN"/>
          <w14:textFill>
            <w14:solidFill>
              <w14:schemeClr w14:val="tx1"/>
            </w14:solidFill>
          </w14:textFill>
        </w:rPr>
        <w:t>2.7</w:t>
      </w:r>
      <w:r>
        <w:rPr>
          <w:rFonts w:ascii="Times New Roman" w:hAnsi="Times New Roman" w:eastAsiaTheme="minorEastAsia"/>
          <w:color w:val="000000" w:themeColor="text1"/>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7</w:t>
      </w:r>
      <w:r>
        <w:rPr>
          <w:rFonts w:ascii="Times New Roman" w:hAnsiTheme="minorEastAsia" w:eastAsiaTheme="minorEastAsia"/>
          <w:color w:val="000000" w:themeColor="text1"/>
          <w:spacing w:val="-2"/>
          <w:sz w:val="24"/>
          <w14:textFill>
            <w14:solidFill>
              <w14:schemeClr w14:val="tx1"/>
            </w14:solidFill>
          </w14:textFill>
        </w:rPr>
        <w:t>。</w:t>
      </w:r>
    </w:p>
    <w:p>
      <w:pPr>
        <w:adjustRightInd w:val="0"/>
        <w:snapToGrid w:val="0"/>
        <w:spacing w:before="120" w:beforeLines="50"/>
        <w:jc w:val="center"/>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heme="minorEastAsia" w:eastAsiaTheme="minorEastAsia"/>
          <w:b/>
          <w:bCs/>
          <w:color w:val="000000" w:themeColor="text1"/>
          <w:sz w:val="24"/>
          <w:szCs w:val="24"/>
          <w14:textFill>
            <w14:solidFill>
              <w14:schemeClr w14:val="tx1"/>
            </w14:solidFill>
          </w14:textFill>
        </w:rPr>
        <w:t>表</w:t>
      </w:r>
      <w:r>
        <w:rPr>
          <w:rFonts w:hint="eastAsia" w:ascii="Times New Roman" w:hAnsiTheme="minorEastAsia" w:eastAsiaTheme="minorEastAsia"/>
          <w:b/>
          <w:bCs/>
          <w:color w:val="000000" w:themeColor="text1"/>
          <w:sz w:val="24"/>
          <w:szCs w:val="24"/>
          <w:lang w:val="en-US" w:eastAsia="zh-CN"/>
          <w14:textFill>
            <w14:solidFill>
              <w14:schemeClr w14:val="tx1"/>
            </w14:solidFill>
          </w14:textFill>
        </w:rPr>
        <w:t>2.7</w:t>
      </w:r>
      <w:r>
        <w:rPr>
          <w:rFonts w:ascii="Times New Roman" w:hAnsiTheme="minorEastAsia" w:eastAsiaTheme="minorEastAsia"/>
          <w:b/>
          <w:bCs/>
          <w:color w:val="000000" w:themeColor="text1"/>
          <w:sz w:val="24"/>
          <w:szCs w:val="24"/>
          <w14:textFill>
            <w14:solidFill>
              <w14:schemeClr w14:val="tx1"/>
            </w14:solidFill>
          </w14:textFill>
        </w:rPr>
        <w:t>-</w:t>
      </w:r>
      <w:r>
        <w:rPr>
          <w:rFonts w:hint="eastAsia" w:ascii="Times New Roman" w:hAnsiTheme="minorEastAsia" w:eastAsiaTheme="minorEastAsia"/>
          <w:b/>
          <w:bCs/>
          <w:color w:val="000000" w:themeColor="text1"/>
          <w:sz w:val="24"/>
          <w:szCs w:val="24"/>
          <w14:textFill>
            <w14:solidFill>
              <w14:schemeClr w14:val="tx1"/>
            </w14:solidFill>
          </w14:textFill>
        </w:rPr>
        <w:t>7</w:t>
      </w:r>
      <w:r>
        <w:rPr>
          <w:rFonts w:ascii="Times New Roman" w:hAnsiTheme="minorEastAsia" w:eastAsiaTheme="minorEastAsia"/>
          <w:b/>
          <w:bCs/>
          <w:color w:val="000000" w:themeColor="text1"/>
          <w:sz w:val="24"/>
          <w:szCs w:val="24"/>
          <w14:textFill>
            <w14:solidFill>
              <w14:schemeClr w14:val="tx1"/>
            </w14:solidFill>
          </w14:textFill>
        </w:rPr>
        <w:t xml:space="preserve"> </w:t>
      </w:r>
      <w:r>
        <w:rPr>
          <w:rFonts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heme="minorEastAsia" w:eastAsiaTheme="minorEastAsia"/>
          <w:b/>
          <w:bCs/>
          <w:color w:val="000000" w:themeColor="text1"/>
          <w:sz w:val="24"/>
          <w:szCs w:val="24"/>
          <w14:textFill>
            <w14:solidFill>
              <w14:schemeClr w14:val="tx1"/>
            </w14:solidFill>
          </w14:textFill>
        </w:rPr>
        <w:t>生态影响评价工作等级划分表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6"/>
        <w:gridCol w:w="2385"/>
        <w:gridCol w:w="2298"/>
        <w:gridCol w:w="2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6" w:type="dxa"/>
            <w:vMerge w:val="restart"/>
            <w:vAlign w:val="center"/>
          </w:tcPr>
          <w:p>
            <w:pPr>
              <w:autoSpaceDE w:val="0"/>
              <w:autoSpaceDN w:val="0"/>
              <w:adjustRightInd w:val="0"/>
              <w:snapToGrid w:val="0"/>
              <w:spacing w:line="300" w:lineRule="exact"/>
              <w:jc w:val="center"/>
              <w:rPr>
                <w:rFonts w:ascii="Times New Roman" w:hAnsi="Times New Roman" w:eastAsiaTheme="minorEastAsia"/>
                <w:snapToGrid w:val="0"/>
                <w:color w:val="000000" w:themeColor="text1"/>
                <w:sz w:val="18"/>
                <w:szCs w:val="18"/>
                <w:lang w:val="zh-CN"/>
                <w14:textFill>
                  <w14:solidFill>
                    <w14:schemeClr w14:val="tx1"/>
                  </w14:solidFill>
                </w14:textFill>
              </w:rPr>
            </w:pPr>
            <w:r>
              <w:rPr>
                <w:rFonts w:ascii="Times New Roman" w:hAnsiTheme="minorEastAsia" w:eastAsiaTheme="minorEastAsia"/>
                <w:snapToGrid w:val="0"/>
                <w:color w:val="000000" w:themeColor="text1"/>
                <w:sz w:val="18"/>
                <w:szCs w:val="18"/>
                <w:lang w:val="zh-CN"/>
                <w14:textFill>
                  <w14:solidFill>
                    <w14:schemeClr w14:val="tx1"/>
                  </w14:solidFill>
                </w14:textFill>
              </w:rPr>
              <w:t>影响区域</w:t>
            </w:r>
          </w:p>
          <w:p>
            <w:pPr>
              <w:autoSpaceDE w:val="0"/>
              <w:autoSpaceDN w:val="0"/>
              <w:adjustRightInd w:val="0"/>
              <w:snapToGrid w:val="0"/>
              <w:spacing w:line="300" w:lineRule="exact"/>
              <w:jc w:val="center"/>
              <w:rPr>
                <w:rFonts w:ascii="Times New Roman" w:hAnsi="Times New Roman" w:eastAsiaTheme="minorEastAsia"/>
                <w:snapToGrid w:val="0"/>
                <w:color w:val="000000" w:themeColor="text1"/>
                <w:sz w:val="18"/>
                <w:szCs w:val="18"/>
                <w:lang w:val="zh-CN"/>
                <w14:textFill>
                  <w14:solidFill>
                    <w14:schemeClr w14:val="tx1"/>
                  </w14:solidFill>
                </w14:textFill>
              </w:rPr>
            </w:pPr>
            <w:r>
              <w:rPr>
                <w:rFonts w:ascii="Times New Roman" w:hAnsiTheme="minorEastAsia" w:eastAsiaTheme="minorEastAsia"/>
                <w:snapToGrid w:val="0"/>
                <w:color w:val="000000" w:themeColor="text1"/>
                <w:sz w:val="18"/>
                <w:szCs w:val="18"/>
                <w:lang w:val="zh-CN"/>
                <w14:textFill>
                  <w14:solidFill>
                    <w14:schemeClr w14:val="tx1"/>
                  </w14:solidFill>
                </w14:textFill>
              </w:rPr>
              <w:t>生态敏感性</w:t>
            </w:r>
          </w:p>
        </w:tc>
        <w:tc>
          <w:tcPr>
            <w:tcW w:w="7329" w:type="dxa"/>
            <w:gridSpan w:val="3"/>
            <w:vAlign w:val="center"/>
          </w:tcPr>
          <w:p>
            <w:pPr>
              <w:autoSpaceDE w:val="0"/>
              <w:autoSpaceDN w:val="0"/>
              <w:adjustRightInd w:val="0"/>
              <w:snapToGrid w:val="0"/>
              <w:spacing w:line="300" w:lineRule="exact"/>
              <w:jc w:val="center"/>
              <w:rPr>
                <w:rFonts w:ascii="Times New Roman" w:hAnsi="Times New Roman" w:eastAsiaTheme="minorEastAsia"/>
                <w:snapToGrid w:val="0"/>
                <w:color w:val="000000" w:themeColor="text1"/>
                <w:sz w:val="18"/>
                <w:szCs w:val="18"/>
                <w:lang w:val="zh-CN"/>
                <w14:textFill>
                  <w14:solidFill>
                    <w14:schemeClr w14:val="tx1"/>
                  </w14:solidFill>
                </w14:textFill>
              </w:rPr>
            </w:pPr>
            <w:r>
              <w:rPr>
                <w:rFonts w:ascii="Times New Roman" w:hAnsiTheme="minorEastAsia" w:eastAsiaTheme="minorEastAsia"/>
                <w:snapToGrid w:val="0"/>
                <w:color w:val="000000" w:themeColor="text1"/>
                <w:sz w:val="18"/>
                <w:szCs w:val="18"/>
                <w:lang w:val="zh-CN"/>
                <w14:textFill>
                  <w14:solidFill>
                    <w14:schemeClr w14:val="tx1"/>
                  </w14:solidFill>
                </w14:textFill>
              </w:rPr>
              <w:t>工程占地</w:t>
            </w:r>
            <w:r>
              <w:rPr>
                <w:rFonts w:ascii="Times New Roman" w:hAnsi="Times New Roman" w:eastAsiaTheme="minorEastAsia"/>
                <w:snapToGrid w:val="0"/>
                <w:color w:val="000000" w:themeColor="text1"/>
                <w:sz w:val="18"/>
                <w:szCs w:val="18"/>
                <w:lang w:val="zh-CN"/>
                <w14:textFill>
                  <w14:solidFill>
                    <w14:schemeClr w14:val="tx1"/>
                  </w14:solidFill>
                </w14:textFill>
              </w:rPr>
              <w:t>(</w:t>
            </w:r>
            <w:r>
              <w:rPr>
                <w:rFonts w:ascii="Times New Roman" w:hAnsiTheme="minorEastAsia" w:eastAsiaTheme="minorEastAsia"/>
                <w:snapToGrid w:val="0"/>
                <w:color w:val="000000" w:themeColor="text1"/>
                <w:sz w:val="18"/>
                <w:szCs w:val="18"/>
                <w:lang w:val="zh-CN"/>
                <w14:textFill>
                  <w14:solidFill>
                    <w14:schemeClr w14:val="tx1"/>
                  </w14:solidFill>
                </w14:textFill>
              </w:rPr>
              <w:t>水域</w:t>
            </w:r>
            <w:r>
              <w:rPr>
                <w:rFonts w:ascii="Times New Roman" w:hAnsi="Times New Roman" w:eastAsiaTheme="minorEastAsia"/>
                <w:snapToGrid w:val="0"/>
                <w:color w:val="000000" w:themeColor="text1"/>
                <w:sz w:val="18"/>
                <w:szCs w:val="18"/>
                <w:lang w:val="zh-CN"/>
                <w14:textFill>
                  <w14:solidFill>
                    <w14:schemeClr w14:val="tx1"/>
                  </w14:solidFill>
                </w14:textFill>
              </w:rPr>
              <w:t>)</w:t>
            </w:r>
            <w:r>
              <w:rPr>
                <w:rFonts w:ascii="Times New Roman" w:hAnsiTheme="minorEastAsia" w:eastAsiaTheme="minorEastAsia"/>
                <w:snapToGrid w:val="0"/>
                <w:color w:val="000000" w:themeColor="text1"/>
                <w:sz w:val="18"/>
                <w:szCs w:val="18"/>
                <w:lang w:val="zh-CN"/>
                <w14:textFill>
                  <w14:solidFill>
                    <w14:schemeClr w14:val="tx1"/>
                  </w14:solidFill>
                </w14:textFill>
              </w:rPr>
              <w:t>范围</w:t>
            </w:r>
            <w:r>
              <w:rPr>
                <w:rFonts w:ascii="Times New Roman" w:hAnsi="Times New Roman" w:eastAsiaTheme="minorEastAsia"/>
                <w:snapToGrid w:val="0"/>
                <w:color w:val="000000" w:themeColor="text1"/>
                <w:sz w:val="18"/>
                <w:szCs w:val="18"/>
                <w:lang w:val="zh-CN"/>
                <w14:textFill>
                  <w14:solidFill>
                    <w14:schemeClr w14:val="tx1"/>
                  </w14:solidFill>
                </w14:textFill>
              </w:rPr>
              <w:t>(</w:t>
            </w:r>
            <w:r>
              <w:rPr>
                <w:rFonts w:ascii="Times New Roman" w:hAnsiTheme="minorEastAsia" w:eastAsiaTheme="minorEastAsia"/>
                <w:snapToGrid w:val="0"/>
                <w:color w:val="000000" w:themeColor="text1"/>
                <w:sz w:val="18"/>
                <w:szCs w:val="18"/>
                <w:lang w:val="zh-CN"/>
                <w14:textFill>
                  <w14:solidFill>
                    <w14:schemeClr w14:val="tx1"/>
                  </w14:solidFill>
                </w14:textFill>
              </w:rPr>
              <w:t>单位：面积</w:t>
            </w:r>
            <w:r>
              <w:rPr>
                <w:rFonts w:ascii="Times New Roman" w:hAnsi="Times New Roman" w:eastAsiaTheme="minorEastAsia"/>
                <w:snapToGrid w:val="0"/>
                <w:color w:val="000000" w:themeColor="text1"/>
                <w:sz w:val="18"/>
                <w:szCs w:val="18"/>
                <w:lang w:val="zh-CN"/>
                <w14:textFill>
                  <w14:solidFill>
                    <w14:schemeClr w14:val="tx1"/>
                  </w14:solidFill>
                </w14:textFill>
              </w:rPr>
              <w:t>km</w:t>
            </w:r>
            <w:r>
              <w:rPr>
                <w:rFonts w:ascii="Times New Roman" w:hAnsi="Times New Roman" w:eastAsiaTheme="minorEastAsia"/>
                <w:snapToGrid w:val="0"/>
                <w:color w:val="000000" w:themeColor="text1"/>
                <w:sz w:val="18"/>
                <w:szCs w:val="18"/>
                <w:vertAlign w:val="superscript"/>
                <w:lang w:val="zh-CN"/>
                <w14:textFill>
                  <w14:solidFill>
                    <w14:schemeClr w14:val="tx1"/>
                  </w14:solidFill>
                </w14:textFill>
              </w:rPr>
              <w:t>2</w:t>
            </w:r>
            <w:r>
              <w:rPr>
                <w:rFonts w:ascii="Times New Roman" w:hAnsiTheme="minorEastAsia" w:eastAsiaTheme="minorEastAsia"/>
                <w:snapToGrid w:val="0"/>
                <w:color w:val="000000" w:themeColor="text1"/>
                <w:sz w:val="18"/>
                <w:szCs w:val="18"/>
                <w:lang w:val="zh-CN"/>
                <w14:textFill>
                  <w14:solidFill>
                    <w14:schemeClr w14:val="tx1"/>
                  </w14:solidFill>
                </w14:textFill>
              </w:rPr>
              <w:t>、长度</w:t>
            </w:r>
            <w:r>
              <w:rPr>
                <w:rFonts w:ascii="Times New Roman" w:hAnsi="Times New Roman" w:eastAsiaTheme="minorEastAsia"/>
                <w:snapToGrid w:val="0"/>
                <w:color w:val="000000" w:themeColor="text1"/>
                <w:sz w:val="18"/>
                <w:szCs w:val="18"/>
                <w:lang w:val="zh-CN"/>
                <w14:textFill>
                  <w14:solidFill>
                    <w14:schemeClr w14:val="tx1"/>
                  </w14:solidFill>
                </w14:textFill>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6" w:type="dxa"/>
            <w:vMerge w:val="continue"/>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p>
        </w:tc>
        <w:tc>
          <w:tcPr>
            <w:tcW w:w="2385" w:type="dxa"/>
            <w:vAlign w:val="center"/>
          </w:tcPr>
          <w:p>
            <w:pPr>
              <w:autoSpaceDE w:val="0"/>
              <w:autoSpaceDN w:val="0"/>
              <w:adjustRightInd w:val="0"/>
              <w:snapToGrid w:val="0"/>
              <w:spacing w:line="300" w:lineRule="exact"/>
              <w:jc w:val="center"/>
              <w:rPr>
                <w:rFonts w:ascii="Times New Roman" w:hAnsi="Times New Roman" w:eastAsiaTheme="minorEastAsia"/>
                <w:snapToGrid w:val="0"/>
                <w:color w:val="000000" w:themeColor="text1"/>
                <w:sz w:val="18"/>
                <w:szCs w:val="18"/>
                <w:lang w:val="zh-CN"/>
                <w14:textFill>
                  <w14:solidFill>
                    <w14:schemeClr w14:val="tx1"/>
                  </w14:solidFill>
                </w14:textFill>
              </w:rPr>
            </w:pPr>
            <w:r>
              <w:rPr>
                <w:rFonts w:ascii="Times New Roman" w:hAnsiTheme="minorEastAsia" w:eastAsiaTheme="minorEastAsia"/>
                <w:snapToGrid w:val="0"/>
                <w:color w:val="000000" w:themeColor="text1"/>
                <w:sz w:val="18"/>
                <w:szCs w:val="18"/>
                <w:lang w:val="zh-CN"/>
                <w14:textFill>
                  <w14:solidFill>
                    <w14:schemeClr w14:val="tx1"/>
                  </w14:solidFill>
                </w14:textFill>
              </w:rPr>
              <w:t>面积</w:t>
            </w:r>
            <w:r>
              <w:rPr>
                <w:rFonts w:ascii="Times New Roman" w:hAnsi="Times New Roman" w:eastAsiaTheme="minorEastAsia"/>
                <w:snapToGrid w:val="0"/>
                <w:color w:val="000000" w:themeColor="text1"/>
                <w:sz w:val="18"/>
                <w:szCs w:val="18"/>
                <w:lang w:val="zh-CN"/>
                <w14:textFill>
                  <w14:solidFill>
                    <w14:schemeClr w14:val="tx1"/>
                  </w14:solidFill>
                </w14:textFill>
              </w:rPr>
              <w:t>≥20</w:t>
            </w:r>
            <w:r>
              <w:rPr>
                <w:rFonts w:ascii="Times New Roman" w:hAnsiTheme="minorEastAsia" w:eastAsiaTheme="minorEastAsia"/>
                <w:snapToGrid w:val="0"/>
                <w:color w:val="000000" w:themeColor="text1"/>
                <w:sz w:val="18"/>
                <w:szCs w:val="18"/>
                <w:lang w:val="zh-CN"/>
                <w14:textFill>
                  <w14:solidFill>
                    <w14:schemeClr w14:val="tx1"/>
                  </w14:solidFill>
                </w14:textFill>
              </w:rPr>
              <w:t>或长度</w:t>
            </w:r>
            <w:r>
              <w:rPr>
                <w:rFonts w:ascii="Times New Roman" w:hAnsi="Times New Roman" w:eastAsiaTheme="minorEastAsia"/>
                <w:snapToGrid w:val="0"/>
                <w:color w:val="000000" w:themeColor="text1"/>
                <w:sz w:val="18"/>
                <w:szCs w:val="18"/>
                <w:lang w:val="zh-CN"/>
                <w14:textFill>
                  <w14:solidFill>
                    <w14:schemeClr w14:val="tx1"/>
                  </w14:solidFill>
                </w14:textFill>
              </w:rPr>
              <w:t>≥100</w:t>
            </w:r>
          </w:p>
        </w:tc>
        <w:tc>
          <w:tcPr>
            <w:tcW w:w="2298" w:type="dxa"/>
            <w:vAlign w:val="center"/>
          </w:tcPr>
          <w:p>
            <w:pPr>
              <w:autoSpaceDE w:val="0"/>
              <w:autoSpaceDN w:val="0"/>
              <w:adjustRightInd w:val="0"/>
              <w:snapToGrid w:val="0"/>
              <w:spacing w:line="300" w:lineRule="exact"/>
              <w:jc w:val="center"/>
              <w:rPr>
                <w:rFonts w:ascii="Times New Roman" w:hAnsi="Times New Roman" w:eastAsiaTheme="minorEastAsia"/>
                <w:snapToGrid w:val="0"/>
                <w:color w:val="000000" w:themeColor="text1"/>
                <w:sz w:val="18"/>
                <w:szCs w:val="18"/>
                <w:lang w:val="zh-CN"/>
                <w14:textFill>
                  <w14:solidFill>
                    <w14:schemeClr w14:val="tx1"/>
                  </w14:solidFill>
                </w14:textFill>
              </w:rPr>
            </w:pPr>
            <w:r>
              <w:rPr>
                <w:rFonts w:ascii="Times New Roman" w:hAnsiTheme="minorEastAsia" w:eastAsiaTheme="minorEastAsia"/>
                <w:snapToGrid w:val="0"/>
                <w:color w:val="000000" w:themeColor="text1"/>
                <w:sz w:val="18"/>
                <w:szCs w:val="18"/>
                <w:lang w:val="zh-CN"/>
                <w14:textFill>
                  <w14:solidFill>
                    <w14:schemeClr w14:val="tx1"/>
                  </w14:solidFill>
                </w14:textFill>
              </w:rPr>
              <w:t>面积</w:t>
            </w:r>
            <w:r>
              <w:rPr>
                <w:rFonts w:ascii="Times New Roman" w:hAnsi="Times New Roman" w:eastAsiaTheme="minorEastAsia"/>
                <w:snapToGrid w:val="0"/>
                <w:color w:val="000000" w:themeColor="text1"/>
                <w:sz w:val="18"/>
                <w:szCs w:val="18"/>
                <w:lang w:val="zh-CN"/>
                <w14:textFill>
                  <w14:solidFill>
                    <w14:schemeClr w14:val="tx1"/>
                  </w14:solidFill>
                </w14:textFill>
              </w:rPr>
              <w:t>2-20</w:t>
            </w:r>
            <w:r>
              <w:rPr>
                <w:rFonts w:ascii="Times New Roman" w:hAnsiTheme="minorEastAsia" w:eastAsiaTheme="minorEastAsia"/>
                <w:snapToGrid w:val="0"/>
                <w:color w:val="000000" w:themeColor="text1"/>
                <w:sz w:val="18"/>
                <w:szCs w:val="18"/>
                <w:lang w:val="zh-CN"/>
                <w14:textFill>
                  <w14:solidFill>
                    <w14:schemeClr w14:val="tx1"/>
                  </w14:solidFill>
                </w14:textFill>
              </w:rPr>
              <w:t>或长度</w:t>
            </w:r>
            <w:r>
              <w:rPr>
                <w:rFonts w:ascii="Times New Roman" w:hAnsi="Times New Roman" w:eastAsiaTheme="minorEastAsia"/>
                <w:snapToGrid w:val="0"/>
                <w:color w:val="000000" w:themeColor="text1"/>
                <w:sz w:val="18"/>
                <w:szCs w:val="18"/>
                <w:lang w:val="zh-CN"/>
                <w14:textFill>
                  <w14:solidFill>
                    <w14:schemeClr w14:val="tx1"/>
                  </w14:solidFill>
                </w14:textFill>
              </w:rPr>
              <w:t>50-100</w:t>
            </w:r>
          </w:p>
        </w:tc>
        <w:tc>
          <w:tcPr>
            <w:tcW w:w="2646"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snapToGrid w:val="0"/>
                <w:color w:val="000000" w:themeColor="text1"/>
                <w:sz w:val="18"/>
                <w:szCs w:val="18"/>
                <w:lang w:val="zh-CN"/>
                <w14:textFill>
                  <w14:solidFill>
                    <w14:schemeClr w14:val="tx1"/>
                  </w14:solidFill>
                </w14:textFill>
              </w:rPr>
              <w:t>面积</w:t>
            </w:r>
            <w:r>
              <w:rPr>
                <w:rFonts w:ascii="Times New Roman" w:hAnsi="Times New Roman" w:eastAsiaTheme="minorEastAsia"/>
                <w:snapToGrid w:val="0"/>
                <w:color w:val="000000" w:themeColor="text1"/>
                <w:sz w:val="18"/>
                <w:szCs w:val="18"/>
                <w:lang w:val="zh-CN"/>
                <w14:textFill>
                  <w14:solidFill>
                    <w14:schemeClr w14:val="tx1"/>
                  </w14:solidFill>
                </w14:textFill>
              </w:rPr>
              <w:t>≤2</w:t>
            </w:r>
            <w:r>
              <w:rPr>
                <w:rFonts w:ascii="Times New Roman" w:hAnsiTheme="minorEastAsia" w:eastAsiaTheme="minorEastAsia"/>
                <w:snapToGrid w:val="0"/>
                <w:color w:val="000000" w:themeColor="text1"/>
                <w:sz w:val="18"/>
                <w:szCs w:val="18"/>
                <w:lang w:val="zh-CN"/>
                <w14:textFill>
                  <w14:solidFill>
                    <w14:schemeClr w14:val="tx1"/>
                  </w14:solidFill>
                </w14:textFill>
              </w:rPr>
              <w:t>或长度小于等于</w:t>
            </w:r>
            <w:r>
              <w:rPr>
                <w:rFonts w:ascii="Times New Roman" w:hAnsi="Times New Roman" w:eastAsiaTheme="minorEastAsia"/>
                <w:snapToGrid w:val="0"/>
                <w:color w:val="000000" w:themeColor="text1"/>
                <w:sz w:val="18"/>
                <w:szCs w:val="18"/>
                <w:lang w:val="zh-CN"/>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6"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特殊生态敏感区</w:t>
            </w:r>
          </w:p>
        </w:tc>
        <w:tc>
          <w:tcPr>
            <w:tcW w:w="2385"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一级</w:t>
            </w:r>
          </w:p>
        </w:tc>
        <w:tc>
          <w:tcPr>
            <w:tcW w:w="2298"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一级</w:t>
            </w:r>
          </w:p>
        </w:tc>
        <w:tc>
          <w:tcPr>
            <w:tcW w:w="2646"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6"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重要生态敏感区</w:t>
            </w:r>
          </w:p>
        </w:tc>
        <w:tc>
          <w:tcPr>
            <w:tcW w:w="2385"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一级</w:t>
            </w:r>
          </w:p>
        </w:tc>
        <w:tc>
          <w:tcPr>
            <w:tcW w:w="2298"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二级</w:t>
            </w:r>
          </w:p>
        </w:tc>
        <w:tc>
          <w:tcPr>
            <w:tcW w:w="2646" w:type="dxa"/>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6" w:type="dxa"/>
            <w:shd w:val="clear" w:color="auto" w:fill="auto"/>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一般区域</w:t>
            </w:r>
          </w:p>
        </w:tc>
        <w:tc>
          <w:tcPr>
            <w:tcW w:w="2385" w:type="dxa"/>
            <w:shd w:val="clear" w:color="auto" w:fill="auto"/>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二级</w:t>
            </w:r>
          </w:p>
        </w:tc>
        <w:tc>
          <w:tcPr>
            <w:tcW w:w="2298" w:type="dxa"/>
            <w:shd w:val="clear" w:color="auto" w:fill="auto"/>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三级</w:t>
            </w:r>
          </w:p>
        </w:tc>
        <w:tc>
          <w:tcPr>
            <w:tcW w:w="2646" w:type="dxa"/>
            <w:shd w:val="clear" w:color="auto" w:fill="auto"/>
            <w:vAlign w:val="center"/>
          </w:tcPr>
          <w:p>
            <w:pPr>
              <w:autoSpaceDE w:val="0"/>
              <w:autoSpaceDN w:val="0"/>
              <w:adjustRightInd w:val="0"/>
              <w:snapToGrid w:val="0"/>
              <w:spacing w:line="300" w:lineRule="exact"/>
              <w:jc w:val="center"/>
              <w:rPr>
                <w:rFonts w:ascii="Times New Roman" w:hAnsi="Times New Roman" w:eastAsiaTheme="minorEastAsia"/>
                <w:bCs/>
                <w:snapToGrid w:val="0"/>
                <w:color w:val="000000" w:themeColor="text1"/>
                <w:sz w:val="18"/>
                <w:szCs w:val="18"/>
                <w:lang w:val="zh-CN"/>
                <w14:textFill>
                  <w14:solidFill>
                    <w14:schemeClr w14:val="tx1"/>
                  </w14:solidFill>
                </w14:textFill>
              </w:rPr>
            </w:pPr>
            <w:r>
              <w:rPr>
                <w:rFonts w:ascii="Times New Roman" w:hAnsiTheme="minorEastAsia" w:eastAsiaTheme="minorEastAsia"/>
                <w:bCs/>
                <w:snapToGrid w:val="0"/>
                <w:color w:val="000000" w:themeColor="text1"/>
                <w:sz w:val="18"/>
                <w:szCs w:val="18"/>
                <w:lang w:val="zh-CN"/>
                <w14:textFill>
                  <w14:solidFill>
                    <w14:schemeClr w14:val="tx1"/>
                  </w14:solidFill>
                </w14:textFill>
              </w:rPr>
              <w:t>三级</w:t>
            </w:r>
          </w:p>
        </w:tc>
      </w:tr>
    </w:tbl>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2.7.6</w:t>
      </w:r>
      <w:r>
        <w:rPr>
          <w:rFonts w:hint="eastAsia" w:ascii="黑体" w:hAnsi="黑体" w:eastAsia="黑体" w:cs="Times New Roman"/>
          <w:b/>
          <w:color w:val="000000" w:themeColor="text1"/>
          <w:szCs w:val="28"/>
          <w14:textFill>
            <w14:solidFill>
              <w14:schemeClr w14:val="tx1"/>
            </w14:solidFill>
          </w14:textFill>
        </w:rPr>
        <w:t>土壤环境</w:t>
      </w:r>
    </w:p>
    <w:p>
      <w:pPr>
        <w:pStyle w:val="433"/>
        <w:spacing w:before="48"/>
        <w:rPr>
          <w:rFonts w:ascii="Times New Roman" w:hAns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本项目拟在</w:t>
      </w:r>
      <w:r>
        <w:rPr>
          <w:rFonts w:hint="eastAsia" w:ascii="Times New Roman"/>
          <w:color w:val="000000" w:themeColor="text1"/>
          <w14:textFill>
            <w14:solidFill>
              <w14:schemeClr w14:val="tx1"/>
            </w14:solidFill>
          </w14:textFill>
        </w:rPr>
        <w:t>宜昌化工园宜都园区</w:t>
      </w:r>
      <w:r>
        <w:rPr>
          <w:rFonts w:ascii="Times New Roman"/>
          <w:color w:val="000000" w:themeColor="text1"/>
          <w14:textFill>
            <w14:solidFill>
              <w14:schemeClr w14:val="tx1"/>
            </w14:solidFill>
          </w14:textFill>
        </w:rPr>
        <w:t>工业用地上进行建设，本项目运营过程中产生废水、废气、固体废物、噪声，从项目环境影响特征来看，本项目为污染影响型项目。根据《环境影响评价技术导则</w:t>
      </w:r>
      <w:r>
        <w:rPr>
          <w:rFonts w:ascii="Times New Roman" w:hAns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土壤环境（试行）》（</w:t>
      </w:r>
      <w:r>
        <w:rPr>
          <w:rFonts w:ascii="Times New Roman" w:hAnsi="Times New Roman"/>
          <w:color w:val="000000" w:themeColor="text1"/>
          <w14:textFill>
            <w14:solidFill>
              <w14:schemeClr w14:val="tx1"/>
            </w14:solidFill>
          </w14:textFill>
        </w:rPr>
        <w:t>HJ964-2018</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污染影响型项目的</w:t>
      </w:r>
      <w:r>
        <w:rPr>
          <w:rFonts w:ascii="Times New Roman"/>
          <w:color w:val="000000" w:themeColor="text1"/>
          <w14:textFill>
            <w14:solidFill>
              <w14:schemeClr w14:val="tx1"/>
            </w14:solidFill>
          </w14:textFill>
        </w:rPr>
        <w:t>土壤环境影响评价工作等级划分</w:t>
      </w:r>
      <w:r>
        <w:rPr>
          <w:rFonts w:hint="eastAsia" w:ascii="Times New Roman"/>
          <w:color w:val="000000" w:themeColor="text1"/>
          <w14:textFill>
            <w14:solidFill>
              <w14:schemeClr w14:val="tx1"/>
            </w14:solidFill>
          </w14:textFill>
        </w:rPr>
        <w:t>依据</w:t>
      </w:r>
      <w:r>
        <w:rPr>
          <w:rFonts w:ascii="Times New Roman"/>
          <w:color w:val="000000" w:themeColor="text1"/>
          <w14:textFill>
            <w14:solidFill>
              <w14:schemeClr w14:val="tx1"/>
            </w14:solidFill>
          </w14:textFill>
        </w:rPr>
        <w:t>如下：</w:t>
      </w:r>
    </w:p>
    <w:p>
      <w:pPr>
        <w:pStyle w:val="433"/>
        <w:spacing w:before="48"/>
        <w:ind w:firstLine="0" w:firstLineChars="0"/>
        <w:jc w:val="center"/>
        <w:rPr>
          <w:rFonts w:ascii="Times New Roman" w:hAnsi="Times New Roman" w:cs="Times New Roman"/>
          <w:b/>
          <w:bCs/>
          <w:color w:val="000000" w:themeColor="text1"/>
          <w14:textFill>
            <w14:solidFill>
              <w14:schemeClr w14:val="tx1"/>
            </w14:solidFill>
          </w14:textFill>
        </w:rPr>
      </w:pPr>
    </w:p>
    <w:p>
      <w:pPr>
        <w:pStyle w:val="433"/>
        <w:spacing w:before="48"/>
        <w:ind w:firstLine="0" w:firstLineChars="0"/>
        <w:jc w:val="center"/>
        <w:rPr>
          <w:rFonts w:ascii="Times New Roman" w:hAnsi="Times New Roman" w:cs="Times New Roman"/>
          <w:b/>
          <w:bCs/>
          <w:color w:val="000000" w:themeColor="text1"/>
          <w14:textFill>
            <w14:solidFill>
              <w14:schemeClr w14:val="tx1"/>
            </w14:solidFill>
          </w14:textFill>
        </w:rPr>
      </w:pPr>
    </w:p>
    <w:p>
      <w:pPr>
        <w:pStyle w:val="433"/>
        <w:spacing w:before="48"/>
        <w:ind w:firstLine="0" w:firstLineChars="0"/>
        <w:jc w:val="center"/>
        <w:rPr>
          <w:rFonts w:ascii="Times New Roman" w:hAnsi="Times New Roman" w:cs="Times New Roman"/>
          <w:b/>
          <w:bCs/>
          <w:color w:val="000000" w:themeColor="text1"/>
          <w14:textFill>
            <w14:solidFill>
              <w14:schemeClr w14:val="tx1"/>
            </w14:solidFill>
          </w14:textFill>
        </w:rPr>
      </w:pPr>
    </w:p>
    <w:p>
      <w:pPr>
        <w:pStyle w:val="433"/>
        <w:spacing w:before="48"/>
        <w:ind w:firstLine="0" w:firstLineChars="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w:t>
      </w:r>
      <w:r>
        <w:rPr>
          <w:rFonts w:hint="eastAsia" w:ascii="Times New Roman" w:hAnsi="Times New Roman" w:cs="Times New Roman"/>
          <w:b/>
          <w:color w:val="000000" w:themeColor="text1"/>
          <w:lang w:val="en-US" w:eastAsia="zh-CN"/>
          <w14:textFill>
            <w14:solidFill>
              <w14:schemeClr w14:val="tx1"/>
            </w14:solidFill>
          </w14:textFill>
        </w:rPr>
        <w:t>2.7</w:t>
      </w:r>
      <w:r>
        <w:rPr>
          <w:rFonts w:ascii="Times New Roman" w:hAnsi="Times New Roman" w:cs="Times New Roman"/>
          <w:b/>
          <w:color w:val="000000" w:themeColor="text1"/>
          <w14:textFill>
            <w14:solidFill>
              <w14:schemeClr w14:val="tx1"/>
            </w14:solidFill>
          </w14:textFill>
        </w:rPr>
        <w:t>-8</w:t>
      </w:r>
      <w:r>
        <w:rPr>
          <w:rFonts w:ascii="Times New Roman" w:hAnsi="Times New Roman" w:cs="Times New Roman"/>
          <w:b/>
          <w:bCs/>
          <w:color w:val="000000" w:themeColor="text1"/>
          <w14:textFill>
            <w14:solidFill>
              <w14:schemeClr w14:val="tx1"/>
            </w14:solidFill>
          </w14:textFill>
        </w:rPr>
        <w:t xml:space="preserve"> </w:t>
      </w:r>
      <w:r>
        <w:rPr>
          <w:rFonts w:ascii="Times New Roman" w:hAnsi="Times New Roman" w:cs="Times New Roman"/>
          <w:b/>
          <w:color w:val="000000" w:themeColor="text1"/>
          <w14:textFill>
            <w14:solidFill>
              <w14:schemeClr w14:val="tx1"/>
            </w14:solidFill>
          </w14:textFill>
        </w:rPr>
        <w:t xml:space="preserve"> </w:t>
      </w:r>
      <w:r>
        <w:rPr>
          <w:rFonts w:ascii="Times New Roman" w:hAnsi="Times New Roman" w:cs="Times New Roman"/>
          <w:b/>
          <w:bCs/>
          <w:color w:val="000000" w:themeColor="text1"/>
          <w14:textFill>
            <w14:solidFill>
              <w14:schemeClr w14:val="tx1"/>
            </w14:solidFill>
          </w14:textFill>
        </w:rPr>
        <w:t>污染影响型敏感程度分级表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90"/>
        <w:gridCol w:w="7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0" w:type="dxa"/>
            <w:vAlign w:val="center"/>
          </w:tcPr>
          <w:p>
            <w:pPr>
              <w:pStyle w:val="435"/>
              <w:spacing w:line="240" w:lineRule="auto"/>
              <w:ind w:firstLine="0" w:firstLineChars="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敏感程度</w:t>
            </w:r>
          </w:p>
        </w:tc>
        <w:tc>
          <w:tcPr>
            <w:tcW w:w="7169" w:type="dxa"/>
            <w:vAlign w:val="center"/>
          </w:tcPr>
          <w:p>
            <w:pPr>
              <w:pStyle w:val="435"/>
              <w:spacing w:line="240" w:lineRule="auto"/>
              <w:ind w:firstLine="0" w:firstLineChars="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判别依据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0" w:type="dxa"/>
            <w:vAlign w:val="center"/>
          </w:tcPr>
          <w:p>
            <w:pPr>
              <w:pStyle w:val="435"/>
              <w:spacing w:line="240" w:lineRule="auto"/>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敏感</w:t>
            </w:r>
          </w:p>
        </w:tc>
        <w:tc>
          <w:tcPr>
            <w:tcW w:w="7169" w:type="dxa"/>
            <w:vAlign w:val="center"/>
          </w:tcPr>
          <w:p>
            <w:pPr>
              <w:pStyle w:val="435"/>
              <w:spacing w:line="240" w:lineRule="auto"/>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0" w:type="dxa"/>
            <w:vAlign w:val="center"/>
          </w:tcPr>
          <w:p>
            <w:pPr>
              <w:pStyle w:val="435"/>
              <w:spacing w:line="240" w:lineRule="auto"/>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较敏感</w:t>
            </w:r>
          </w:p>
        </w:tc>
        <w:tc>
          <w:tcPr>
            <w:tcW w:w="7169" w:type="dxa"/>
            <w:vAlign w:val="center"/>
          </w:tcPr>
          <w:p>
            <w:pPr>
              <w:pStyle w:val="435"/>
              <w:spacing w:line="240" w:lineRule="auto"/>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0" w:type="dxa"/>
            <w:vAlign w:val="center"/>
          </w:tcPr>
          <w:p>
            <w:pPr>
              <w:pStyle w:val="435"/>
              <w:spacing w:line="240" w:lineRule="auto"/>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不敏感</w:t>
            </w:r>
          </w:p>
        </w:tc>
        <w:tc>
          <w:tcPr>
            <w:tcW w:w="7169" w:type="dxa"/>
            <w:vAlign w:val="center"/>
          </w:tcPr>
          <w:p>
            <w:pPr>
              <w:pStyle w:val="435"/>
              <w:spacing w:line="240" w:lineRule="auto"/>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其他情况</w:t>
            </w:r>
          </w:p>
        </w:tc>
      </w:tr>
    </w:tbl>
    <w:p>
      <w:pPr>
        <w:pStyle w:val="433"/>
        <w:spacing w:before="48"/>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2.7</w:t>
      </w:r>
      <w:r>
        <w:rPr>
          <w:rFonts w:hint="eastAsia" w:ascii="Times New Roman" w:hAnsi="Times New Roman"/>
          <w:b/>
          <w:color w:val="000000" w:themeColor="text1"/>
          <w14:textFill>
            <w14:solidFill>
              <w14:schemeClr w14:val="tx1"/>
            </w14:solidFill>
          </w14:textFill>
        </w:rPr>
        <w:t>-9</w:t>
      </w:r>
      <w:r>
        <w:rPr>
          <w:rFonts w:hAnsi="Times New Roman"/>
          <w:b/>
          <w:bCs/>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污染影响型评价工作等级划分表</w:t>
      </w:r>
    </w:p>
    <w:p>
      <w:pPr>
        <w:pStyle w:val="433"/>
        <w:spacing w:before="48"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drawing>
          <wp:inline distT="0" distB="0" distL="0" distR="0">
            <wp:extent cx="5759450" cy="1477645"/>
            <wp:effectExtent l="19050" t="0" r="0" b="0"/>
            <wp:docPr id="2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3"/>
                    <pic:cNvPicPr>
                      <a:picLocks noChangeAspect="1" noChangeArrowheads="1"/>
                    </pic:cNvPicPr>
                  </pic:nvPicPr>
                  <pic:blipFill>
                    <a:blip r:embed="rId10" cstate="print"/>
                    <a:srcRect/>
                    <a:stretch>
                      <a:fillRect/>
                    </a:stretch>
                  </pic:blipFill>
                  <pic:spPr>
                    <a:xfrm>
                      <a:off x="0" y="0"/>
                      <a:ext cx="5759450" cy="1478103"/>
                    </a:xfrm>
                    <a:prstGeom prst="rect">
                      <a:avLst/>
                    </a:prstGeom>
                    <a:noFill/>
                    <a:ln w="9525">
                      <a:noFill/>
                      <a:miter lim="800000"/>
                      <a:headEnd/>
                      <a:tailEnd/>
                    </a:ln>
                  </pic:spPr>
                </pic:pic>
              </a:graphicData>
            </a:graphic>
          </wp:inline>
        </w:drawing>
      </w:r>
    </w:p>
    <w:p>
      <w:pPr>
        <w:pStyle w:val="433"/>
        <w:spacing w:before="4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根据《环境影响评价技术导则</w:t>
      </w:r>
      <w:r>
        <w:rPr>
          <w:rFonts w:ascii="Times New Roman" w:hAns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土壤环境（试行）》，将建设项目占地规模分为大型（</w:t>
      </w:r>
      <w:r>
        <w:rPr>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50hm</w:t>
      </w:r>
      <w:r>
        <w:rPr>
          <w:rFonts w:ascii="Times New Roman" w:hAns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）、中型（</w:t>
      </w:r>
      <w:r>
        <w:rPr>
          <w:rFonts w:ascii="Times New Roman" w:hAnsi="Times New Roman"/>
          <w:color w:val="000000" w:themeColor="text1"/>
          <w14:textFill>
            <w14:solidFill>
              <w14:schemeClr w14:val="tx1"/>
            </w14:solidFill>
          </w14:textFill>
        </w:rPr>
        <w:t>5~50hm</w:t>
      </w:r>
      <w:r>
        <w:rPr>
          <w:rFonts w:ascii="Times New Roman" w:hAns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）、小型（</w:t>
      </w:r>
      <w:r>
        <w:rPr>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5hm</w:t>
      </w:r>
      <w:r>
        <w:rPr>
          <w:rFonts w:ascii="Times New Roman" w:hAns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），建设项目占地主要为永久占地。</w:t>
      </w:r>
    </w:p>
    <w:p>
      <w:pPr>
        <w:pStyle w:val="433"/>
        <w:spacing w:before="4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本项目建设用地总面积</w:t>
      </w:r>
      <w:r>
        <w:rPr>
          <w:rFonts w:hint="eastAsia" w:ascii="Times New Roman" w:hAnsi="Times New Roman"/>
          <w:color w:val="000000" w:themeColor="text1"/>
          <w14:textFill>
            <w14:solidFill>
              <w14:schemeClr w14:val="tx1"/>
            </w14:solidFill>
          </w14:textFill>
        </w:rPr>
        <w:t>为13289.28</w:t>
      </w: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1.328928</w:t>
      </w:r>
      <w:r>
        <w:rPr>
          <w:rFonts w:ascii="Times New Roman" w:hAnsi="Times New Roman"/>
          <w:color w:val="000000" w:themeColor="text1"/>
          <w14:textFill>
            <w14:solidFill>
              <w14:schemeClr w14:val="tx1"/>
            </w14:solidFill>
          </w14:textFill>
        </w:rPr>
        <w:t>hm</w:t>
      </w:r>
      <w:r>
        <w:rPr>
          <w:rFonts w:ascii="Times New Roman" w:hAns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），则项目占地规模属于</w:t>
      </w:r>
      <w:r>
        <w:rPr>
          <w:rFonts w:hint="eastAsia" w:ascii="Times New Roman"/>
          <w:color w:val="000000" w:themeColor="text1"/>
          <w14:textFill>
            <w14:solidFill>
              <w14:schemeClr w14:val="tx1"/>
            </w14:solidFill>
          </w14:textFill>
        </w:rPr>
        <w:t>小</w:t>
      </w:r>
      <w:r>
        <w:rPr>
          <w:rFonts w:ascii="Times New Roman"/>
          <w:color w:val="000000" w:themeColor="text1"/>
          <w14:textFill>
            <w14:solidFill>
              <w14:schemeClr w14:val="tx1"/>
            </w14:solidFill>
          </w14:textFill>
        </w:rPr>
        <w:t>型。</w:t>
      </w:r>
      <w:r>
        <w:rPr>
          <w:rFonts w:hint="eastAsia" w:ascii="Times New Roman"/>
          <w:color w:val="000000" w:themeColor="text1"/>
          <w14:textFill>
            <w14:solidFill>
              <w14:schemeClr w14:val="tx1"/>
            </w14:solidFill>
          </w14:textFill>
        </w:rPr>
        <w:t>本项目厂区所在区域均为工业园区，土壤敏感程度为不敏感。</w:t>
      </w:r>
    </w:p>
    <w:p>
      <w:pPr>
        <w:pStyle w:val="433"/>
        <w:spacing w:before="48"/>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根据《环境影响评价技术导则-土壤环境》（试行）（HJ964-2018）附录A土壤环境影响评价项目类别，本项目属于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石油、化工</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化学原料和化学制品制造</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，为I类项目；综上，本项目土壤环境影响评价工作等级均判定为二级评价。根据导则要求，土壤评价范围为以项目区为边界外扩200m的范围。</w:t>
      </w: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26" w:name="_Toc19059"/>
      <w:bookmarkStart w:id="127" w:name="_Toc5716"/>
      <w:r>
        <w:rPr>
          <w:rFonts w:hint="default" w:ascii="Times New Roman" w:hAnsi="Times New Roman" w:eastAsia="黑体" w:cs="Times New Roman"/>
          <w:b/>
          <w:color w:val="000000" w:themeColor="text1"/>
          <w:szCs w:val="28"/>
          <w:lang w:val="en-US" w:eastAsia="zh-CN"/>
          <w14:textFill>
            <w14:solidFill>
              <w14:schemeClr w14:val="tx1"/>
            </w14:solidFill>
          </w14:textFill>
        </w:rPr>
        <w:t>2.7.7</w:t>
      </w:r>
      <w:r>
        <w:rPr>
          <w:rFonts w:hint="eastAsia" w:ascii="黑体" w:hAnsi="黑体" w:eastAsia="黑体" w:cs="Times New Roman"/>
          <w:b/>
          <w:color w:val="000000" w:themeColor="text1"/>
          <w:szCs w:val="28"/>
          <w14:textFill>
            <w14:solidFill>
              <w14:schemeClr w14:val="tx1"/>
            </w14:solidFill>
          </w14:textFill>
        </w:rPr>
        <w:t>环境</w:t>
      </w:r>
      <w:r>
        <w:rPr>
          <w:rFonts w:ascii="黑体" w:hAnsi="黑体" w:eastAsia="黑体" w:cs="Times New Roman"/>
          <w:b/>
          <w:color w:val="000000" w:themeColor="text1"/>
          <w:szCs w:val="28"/>
          <w14:textFill>
            <w14:solidFill>
              <w14:schemeClr w14:val="tx1"/>
            </w14:solidFill>
          </w14:textFill>
        </w:rPr>
        <w:t>风险评价</w:t>
      </w:r>
      <w:bookmarkEnd w:id="126"/>
      <w:bookmarkEnd w:id="127"/>
    </w:p>
    <w:p>
      <w:pPr>
        <w:pStyle w:val="431"/>
        <w:spacing w:line="50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根据《建设项目环境风险评价技术导则》（HJ169－2018）附录B表重点关注的危险物质及临界量规定以及《危险化学品重大危险源辨识》（GB18218-20</w:t>
      </w:r>
      <w:r>
        <w:rPr>
          <w:rFonts w:hint="eastAsia" w:ascii="Times New Roman" w:hAnsi="Times New Roman" w:eastAsia="宋体"/>
          <w:snapToGrid w:val="0"/>
          <w:color w:val="000000" w:themeColor="text1"/>
          <w14:textFill>
            <w14:solidFill>
              <w14:schemeClr w14:val="tx1"/>
            </w14:solidFill>
          </w14:textFill>
        </w:rPr>
        <w:t>18</w:t>
      </w:r>
      <w:r>
        <w:rPr>
          <w:rFonts w:ascii="Times New Roman" w:hAnsi="Times New Roman" w:eastAsia="宋体"/>
          <w:snapToGrid w:val="0"/>
          <w:color w:val="000000" w:themeColor="text1"/>
          <w14:textFill>
            <w14:solidFill>
              <w14:schemeClr w14:val="tx1"/>
            </w14:solidFill>
          </w14:textFill>
        </w:rPr>
        <w:t>）中的要求，</w:t>
      </w:r>
      <w:r>
        <w:rPr>
          <w:rFonts w:ascii="Times New Roman" w:hAnsi="Times New Roman" w:eastAsia="宋体"/>
          <w:color w:val="000000" w:themeColor="text1"/>
          <w14:textFill>
            <w14:solidFill>
              <w14:schemeClr w14:val="tx1"/>
            </w14:solidFill>
          </w14:textFill>
        </w:rPr>
        <w:t>本项目危险物质及工艺系统危险性为P</w:t>
      </w:r>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，环境敏感程度分级为E</w:t>
      </w:r>
      <w:r>
        <w:rPr>
          <w:rFonts w:hint="eastAsia" w:ascii="Times New Roman" w:hAnsi="Times New Roman" w:eastAsia="宋体"/>
          <w:color w:val="000000" w:themeColor="text1"/>
          <w14:textFill>
            <w14:solidFill>
              <w14:schemeClr w14:val="tx1"/>
            </w14:solidFill>
          </w14:textFill>
        </w:rPr>
        <w:t>3</w:t>
      </w:r>
      <w:r>
        <w:rPr>
          <w:rFonts w:ascii="Times New Roman" w:hAnsi="Times New Roman" w:eastAsia="宋体"/>
          <w:color w:val="000000" w:themeColor="text1"/>
          <w14:textFill>
            <w14:solidFill>
              <w14:schemeClr w14:val="tx1"/>
            </w14:solidFill>
          </w14:textFill>
        </w:rPr>
        <w:t>，确定其风险潜势为I。</w:t>
      </w:r>
      <w:r>
        <w:rPr>
          <w:rFonts w:hint="eastAsia" w:ascii="Times New Roman" w:hAnsi="Times New Roman" w:eastAsia="宋体"/>
          <w:color w:val="000000" w:themeColor="text1"/>
          <w14:textFill>
            <w14:solidFill>
              <w14:schemeClr w14:val="tx1"/>
            </w14:solidFill>
          </w14:textFill>
        </w:rPr>
        <w:t>只需在</w:t>
      </w:r>
      <w:r>
        <w:rPr>
          <w:rFonts w:ascii="Times New Roman" w:hAnsi="Times New Roman" w:eastAsia="宋体"/>
          <w:color w:val="000000" w:themeColor="text1"/>
          <w14:textFill>
            <w14:solidFill>
              <w14:schemeClr w14:val="tx1"/>
            </w14:solidFill>
          </w14:textFill>
        </w:rPr>
        <w:t>描述危险物质、环境影响途径、环境危害后果、风险防范措施等方面给出定性的说明。</w:t>
      </w:r>
    </w:p>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2.7</w:t>
      </w:r>
      <w:r>
        <w:rPr>
          <w:rFonts w:ascii="Times New Roman" w:hAnsi="Times New Roman"/>
          <w:b/>
          <w:bCs/>
          <w:color w:val="000000" w:themeColor="text1"/>
          <w:sz w:val="24"/>
          <w:szCs w:val="24"/>
          <w14:textFill>
            <w14:solidFill>
              <w14:schemeClr w14:val="tx1"/>
            </w14:solidFill>
          </w14:textFill>
        </w:rPr>
        <w:t>-10  建设项目环境风险潜势划分</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0"/>
        <w:gridCol w:w="1727"/>
        <w:gridCol w:w="1819"/>
        <w:gridCol w:w="1819"/>
        <w:gridCol w:w="1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dxa"/>
            <w:vMerge w:val="restart"/>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环境敏感程度（E）</w:t>
            </w:r>
          </w:p>
        </w:tc>
        <w:tc>
          <w:tcPr>
            <w:tcW w:w="7185" w:type="dxa"/>
            <w:gridSpan w:val="4"/>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dxa"/>
            <w:vMerge w:val="continue"/>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p>
        </w:tc>
        <w:tc>
          <w:tcPr>
            <w:tcW w:w="1727"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极高危害（P1）</w:t>
            </w:r>
          </w:p>
        </w:tc>
        <w:tc>
          <w:tcPr>
            <w:tcW w:w="1819"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高度危害（P2）</w:t>
            </w:r>
          </w:p>
        </w:tc>
        <w:tc>
          <w:tcPr>
            <w:tcW w:w="1819"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中度危害（P3）</w:t>
            </w:r>
          </w:p>
        </w:tc>
        <w:tc>
          <w:tcPr>
            <w:tcW w:w="1820"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轻度危害（P4）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环境高度敏感区（E1）</w:t>
            </w:r>
          </w:p>
        </w:tc>
        <w:tc>
          <w:tcPr>
            <w:tcW w:w="1727"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IV</w:t>
            </w:r>
          </w:p>
        </w:tc>
        <w:tc>
          <w:tcPr>
            <w:tcW w:w="1819"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IV</w:t>
            </w:r>
          </w:p>
        </w:tc>
        <w:tc>
          <w:tcPr>
            <w:tcW w:w="1819"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III</w:t>
            </w:r>
          </w:p>
        </w:tc>
        <w:tc>
          <w:tcPr>
            <w:tcW w:w="1820"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环境中度敏感区（E2）</w:t>
            </w:r>
          </w:p>
        </w:tc>
        <w:tc>
          <w:tcPr>
            <w:tcW w:w="1727"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IV</w:t>
            </w:r>
          </w:p>
        </w:tc>
        <w:tc>
          <w:tcPr>
            <w:tcW w:w="1819"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III</w:t>
            </w:r>
          </w:p>
        </w:tc>
        <w:tc>
          <w:tcPr>
            <w:tcW w:w="181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p>
        </w:tc>
        <w:tc>
          <w:tcPr>
            <w:tcW w:w="1820" w:type="dxa"/>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dxa"/>
            <w:shd w:val="clear" w:color="auto" w:fill="auto"/>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环境低度敏感区（E3）</w:t>
            </w:r>
          </w:p>
        </w:tc>
        <w:tc>
          <w:tcPr>
            <w:tcW w:w="1727" w:type="dxa"/>
            <w:shd w:val="clear" w:color="auto" w:fill="FFFFFF" w:themeFill="background1"/>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III</w:t>
            </w:r>
          </w:p>
        </w:tc>
        <w:tc>
          <w:tcPr>
            <w:tcW w:w="1819" w:type="dxa"/>
            <w:shd w:val="clear" w:color="auto" w:fill="auto"/>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III</w:t>
            </w:r>
          </w:p>
        </w:tc>
        <w:tc>
          <w:tcPr>
            <w:tcW w:w="1819" w:type="dxa"/>
            <w:shd w:val="clear" w:color="auto" w:fill="FFFFFF" w:themeFill="background1"/>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II</w:t>
            </w:r>
          </w:p>
        </w:tc>
        <w:tc>
          <w:tcPr>
            <w:tcW w:w="1820" w:type="dxa"/>
            <w:shd w:val="clear" w:color="auto" w:fill="A4A4A4" w:themeFill="background1" w:themeFillShade="A5"/>
            <w:vAlign w:val="center"/>
          </w:tcPr>
          <w:p>
            <w:pPr>
              <w:pStyle w:val="437"/>
              <w:spacing w:beforeLines="0" w:afterLines="0"/>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5" w:type="dxa"/>
            <w:gridSpan w:val="5"/>
            <w:vAlign w:val="center"/>
          </w:tcPr>
          <w:p>
            <w:pPr>
              <w:pStyle w:val="437"/>
              <w:spacing w:beforeLines="0" w:afterLines="0"/>
              <w:jc w:val="both"/>
              <w:rPr>
                <w:rFonts w:ascii="Times New Roman" w:hAnsi="Times New Roman" w:eastAsia="宋体"/>
                <w:color w:val="000000" w:themeColor="text1"/>
                <w:kern w:val="2"/>
                <w:sz w:val="18"/>
                <w:szCs w:val="18"/>
                <w14:textFill>
                  <w14:solidFill>
                    <w14:schemeClr w14:val="tx1"/>
                  </w14:solidFill>
                </w14:textFill>
              </w:rPr>
            </w:pPr>
            <w:r>
              <w:rPr>
                <w:rFonts w:ascii="Times New Roman" w:hAnsi="Times New Roman" w:eastAsia="宋体"/>
                <w:color w:val="000000" w:themeColor="text1"/>
                <w:kern w:val="2"/>
                <w:sz w:val="18"/>
                <w:szCs w:val="18"/>
                <w14:textFill>
                  <w14:solidFill>
                    <w14:schemeClr w14:val="tx1"/>
                  </w14:solidFill>
                </w14:textFill>
              </w:rPr>
              <w:t>注：IV</w:t>
            </w:r>
            <w:r>
              <w:rPr>
                <w:rFonts w:ascii="Times New Roman" w:hAnsi="Times New Roman" w:eastAsia="宋体"/>
                <w:color w:val="000000" w:themeColor="text1"/>
                <w:kern w:val="2"/>
                <w:sz w:val="18"/>
                <w:szCs w:val="18"/>
                <w:vertAlign w:val="superscript"/>
                <w14:textFill>
                  <w14:solidFill>
                    <w14:schemeClr w14:val="tx1"/>
                  </w14:solidFill>
                </w14:textFill>
              </w:rPr>
              <w:t>＋</w:t>
            </w:r>
            <w:r>
              <w:rPr>
                <w:rFonts w:ascii="Times New Roman" w:hAnsi="Times New Roman" w:eastAsia="宋体"/>
                <w:color w:val="000000" w:themeColor="text1"/>
                <w:kern w:val="2"/>
                <w:sz w:val="18"/>
                <w:szCs w:val="18"/>
                <w14:textFill>
                  <w14:solidFill>
                    <w14:schemeClr w14:val="tx1"/>
                  </w14:solidFill>
                </w14:textFill>
              </w:rPr>
              <w:t>为极高环境风险</w:t>
            </w:r>
          </w:p>
        </w:tc>
      </w:tr>
    </w:tbl>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2.7</w:t>
      </w:r>
      <w:r>
        <w:rPr>
          <w:rFonts w:ascii="Times New Roman" w:hAnsi="Times New Roman"/>
          <w:b/>
          <w:bCs/>
          <w:color w:val="000000" w:themeColor="text1"/>
          <w:sz w:val="24"/>
          <w:szCs w:val="24"/>
          <w14:textFill>
            <w14:solidFill>
              <w14:schemeClr w14:val="tx1"/>
            </w14:solidFill>
          </w14:textFill>
        </w:rPr>
        <w:t>-11  评价级别划分一览表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17"/>
        <w:gridCol w:w="1818"/>
        <w:gridCol w:w="1820"/>
        <w:gridCol w:w="1820"/>
        <w:gridCol w:w="1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7" w:type="dxa"/>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环境风险潜势</w:t>
            </w:r>
          </w:p>
        </w:tc>
        <w:tc>
          <w:tcPr>
            <w:tcW w:w="1818" w:type="dxa"/>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IV、IV</w:t>
            </w:r>
            <w:r>
              <w:rPr>
                <w:rFonts w:ascii="Times New Roman" w:hAnsi="Times New Roman"/>
                <w:color w:val="000000" w:themeColor="text1"/>
                <w:sz w:val="18"/>
                <w:szCs w:val="18"/>
                <w:vertAlign w:val="superscript"/>
                <w14:textFill>
                  <w14:solidFill>
                    <w14:schemeClr w14:val="tx1"/>
                  </w14:solidFill>
                </w14:textFill>
              </w:rPr>
              <w:t>+</w:t>
            </w:r>
          </w:p>
        </w:tc>
        <w:tc>
          <w:tcPr>
            <w:tcW w:w="1820" w:type="dxa"/>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p>
        </w:tc>
        <w:tc>
          <w:tcPr>
            <w:tcW w:w="1820" w:type="dxa"/>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w:t>
            </w:r>
          </w:p>
        </w:tc>
        <w:tc>
          <w:tcPr>
            <w:tcW w:w="1820" w:type="dxa"/>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7" w:type="dxa"/>
            <w:shd w:val="clear" w:color="auto" w:fill="auto"/>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评价工作等级</w:t>
            </w:r>
          </w:p>
        </w:tc>
        <w:tc>
          <w:tcPr>
            <w:tcW w:w="1818" w:type="dxa"/>
            <w:shd w:val="clear" w:color="auto" w:fill="auto"/>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一</w:t>
            </w:r>
          </w:p>
        </w:tc>
        <w:tc>
          <w:tcPr>
            <w:tcW w:w="1820" w:type="dxa"/>
            <w:shd w:val="clear" w:color="auto" w:fill="FFFFFF" w:themeFill="background1"/>
            <w:tcMar>
              <w:top w:w="85" w:type="dxa"/>
              <w:bottom w:w="85" w:type="dxa"/>
            </w:tcMar>
            <w:vAlign w:val="center"/>
          </w:tcPr>
          <w:p>
            <w:pPr>
              <w:jc w:val="center"/>
              <w:rPr>
                <w:rFonts w:ascii="Times New Roman" w:hAnsi="Times New Roman"/>
                <w:b/>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t>二</w:t>
            </w:r>
          </w:p>
        </w:tc>
        <w:tc>
          <w:tcPr>
            <w:tcW w:w="1820" w:type="dxa"/>
            <w:shd w:val="clear" w:color="auto" w:fill="FFFFFF" w:themeFill="background1"/>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三</w:t>
            </w:r>
          </w:p>
        </w:tc>
        <w:tc>
          <w:tcPr>
            <w:tcW w:w="1820" w:type="dxa"/>
            <w:shd w:val="clear" w:color="auto" w:fill="A4A4A4" w:themeFill="background1" w:themeFillShade="A5"/>
            <w:tcMar>
              <w:top w:w="85" w:type="dxa"/>
              <w:bottom w:w="85"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简单分析</w:t>
            </w:r>
            <w:r>
              <w:rPr>
                <w:rFonts w:ascii="Times New Roman" w:hAnsi="Times New Roman"/>
                <w:color w:val="000000" w:themeColor="text1"/>
                <w:sz w:val="18"/>
                <w:szCs w:val="18"/>
                <w:vertAlign w:val="superscript"/>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5" w:type="dxa"/>
            <w:gridSpan w:val="5"/>
            <w:tcMar>
              <w:top w:w="85" w:type="dxa"/>
              <w:bottom w:w="85" w:type="dxa"/>
            </w:tcMar>
            <w:vAlign w:val="center"/>
          </w:tcPr>
          <w:p>
            <w:pPr>
              <w:rPr>
                <w:rFonts w:ascii="Times New Roman" w:hAnsi="Times New Roman"/>
                <w:color w:val="000000" w:themeColor="text1"/>
                <w:sz w:val="18"/>
                <w:szCs w:val="18"/>
                <w:vertAlign w:val="superscript"/>
                <w14:textFill>
                  <w14:solidFill>
                    <w14:schemeClr w14:val="tx1"/>
                  </w14:solidFill>
                </w14:textFill>
              </w:rPr>
            </w:pPr>
            <w:r>
              <w:rPr>
                <w:rFonts w:ascii="Times New Roman" w:hAnsi="Times New Roman"/>
                <w:color w:val="000000" w:themeColor="text1"/>
                <w:sz w:val="18"/>
                <w:szCs w:val="18"/>
                <w:vertAlign w:val="superscript"/>
                <w14:textFill>
                  <w14:solidFill>
                    <w14:schemeClr w14:val="tx1"/>
                  </w14:solidFill>
                </w14:textFill>
              </w:rPr>
              <w:t>a</w:t>
            </w:r>
            <w:r>
              <w:rPr>
                <w:rFonts w:ascii="Times New Roman" w:hAnsi="Times New Roman"/>
                <w:color w:val="000000" w:themeColor="text1"/>
                <w:sz w:val="18"/>
                <w:szCs w:val="18"/>
                <w14:textFill>
                  <w14:solidFill>
                    <w14:schemeClr w14:val="tx1"/>
                  </w14:solidFill>
                </w14:textFill>
              </w:rPr>
              <w:t>是相对于详细评价工作内容而言，在描述危险物质、环境影响途径、环境危害后果、风险防范措施等方面给出定性的说明。见附录A。</w:t>
            </w:r>
          </w:p>
        </w:tc>
      </w:tr>
    </w:tbl>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bookmarkStart w:id="128" w:name="_Toc16500"/>
      <w:bookmarkStart w:id="129" w:name="_Toc13938"/>
      <w:r>
        <w:rPr>
          <w:rFonts w:hint="default" w:ascii="Times New Roman" w:hAnsi="Times New Roman" w:eastAsia="黑体" w:cs="Times New Roman"/>
          <w:b/>
          <w:color w:val="000000" w:themeColor="text1"/>
          <w:szCs w:val="28"/>
          <w:lang w:val="en-US" w:eastAsia="zh-CN"/>
          <w14:textFill>
            <w14:solidFill>
              <w14:schemeClr w14:val="tx1"/>
            </w14:solidFill>
          </w14:textFill>
        </w:rPr>
        <w:t>2.7.8</w:t>
      </w:r>
      <w:r>
        <w:rPr>
          <w:rFonts w:ascii="黑体" w:hAnsi="黑体" w:eastAsia="黑体" w:cs="Times New Roman"/>
          <w:b/>
          <w:color w:val="000000" w:themeColor="text1"/>
          <w:szCs w:val="28"/>
          <w14:textFill>
            <w14:solidFill>
              <w14:schemeClr w14:val="tx1"/>
            </w14:solidFill>
          </w14:textFill>
        </w:rPr>
        <w:t>评价工作等级划分</w:t>
      </w:r>
      <w:r>
        <w:rPr>
          <w:rFonts w:hint="eastAsia" w:ascii="黑体" w:hAnsi="黑体" w:eastAsia="黑体" w:cs="Times New Roman"/>
          <w:b/>
          <w:color w:val="000000" w:themeColor="text1"/>
          <w:szCs w:val="28"/>
          <w14:textFill>
            <w14:solidFill>
              <w14:schemeClr w14:val="tx1"/>
            </w14:solidFill>
          </w14:textFill>
        </w:rPr>
        <w:t>及评价范围</w:t>
      </w:r>
      <w:r>
        <w:rPr>
          <w:rFonts w:ascii="黑体" w:hAnsi="黑体" w:eastAsia="黑体" w:cs="Times New Roman"/>
          <w:b/>
          <w:color w:val="000000" w:themeColor="text1"/>
          <w:szCs w:val="28"/>
          <w14:textFill>
            <w14:solidFill>
              <w14:schemeClr w14:val="tx1"/>
            </w14:solidFill>
          </w14:textFill>
        </w:rPr>
        <w:t>汇总</w:t>
      </w:r>
      <w:bookmarkEnd w:id="128"/>
      <w:bookmarkEnd w:id="129"/>
    </w:p>
    <w:p>
      <w:pPr>
        <w:pStyle w:val="262"/>
        <w:adjustRightInd w:val="0"/>
        <w:snapToGrid w:val="0"/>
        <w:spacing w:line="520" w:lineRule="exact"/>
        <w:ind w:firstLine="480"/>
        <w:jc w:val="left"/>
        <w:rPr>
          <w:rFonts w:ascii="Times New Roman" w:hAnsiTheme="minorEastAsia" w:eastAsiaTheme="minorEastAsia"/>
          <w:b/>
          <w:bCs w:val="0"/>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根据项目工程情况，污染物产生排放情况，项目所在场地及周边环境状况，结合各环境要素环境影响评价技术导则要求，确定本项目各环境要素</w:t>
      </w:r>
      <w:r>
        <w:rPr>
          <w:rFonts w:hint="eastAsia" w:ascii="Times New Roman" w:hAnsiTheme="minorEastAsia" w:eastAsiaTheme="minorEastAsia"/>
          <w:color w:val="000000" w:themeColor="text1"/>
          <w:sz w:val="24"/>
          <w:szCs w:val="24"/>
          <w14:textFill>
            <w14:solidFill>
              <w14:schemeClr w14:val="tx1"/>
            </w14:solidFill>
          </w14:textFill>
        </w:rPr>
        <w:t>评价等级及</w:t>
      </w:r>
      <w:r>
        <w:rPr>
          <w:rFonts w:ascii="Times New Roman" w:hAnsiTheme="minorEastAsia" w:eastAsiaTheme="minorEastAsia"/>
          <w:color w:val="000000" w:themeColor="text1"/>
          <w:sz w:val="24"/>
          <w:szCs w:val="24"/>
          <w14:textFill>
            <w14:solidFill>
              <w14:schemeClr w14:val="tx1"/>
            </w14:solidFill>
          </w14:textFill>
        </w:rPr>
        <w:t>评价范围如下表所示：</w:t>
      </w:r>
    </w:p>
    <w:p>
      <w:pPr>
        <w:pStyle w:val="262"/>
        <w:adjustRightInd w:val="0"/>
        <w:snapToGrid w:val="0"/>
        <w:spacing w:line="520" w:lineRule="exact"/>
        <w:ind w:firstLine="0"/>
        <w:jc w:val="center"/>
        <w:rPr>
          <w:rFonts w:ascii="Times New Roman" w:hAnsiTheme="minorEastAsia" w:eastAsiaTheme="minorEastAsia"/>
          <w:b/>
          <w:bCs w:val="0"/>
          <w:color w:val="000000" w:themeColor="text1"/>
          <w:sz w:val="24"/>
          <w:szCs w:val="24"/>
          <w14:textFill>
            <w14:solidFill>
              <w14:schemeClr w14:val="tx1"/>
            </w14:solidFill>
          </w14:textFill>
        </w:rPr>
      </w:pPr>
      <w:r>
        <w:rPr>
          <w:rFonts w:ascii="Times New Roman" w:hAnsiTheme="minorEastAsia" w:eastAsiaTheme="minorEastAsia"/>
          <w:b/>
          <w:bCs w:val="0"/>
          <w:color w:val="000000" w:themeColor="text1"/>
          <w:sz w:val="24"/>
          <w:szCs w:val="24"/>
          <w14:textFill>
            <w14:solidFill>
              <w14:schemeClr w14:val="tx1"/>
            </w14:solidFill>
          </w14:textFill>
        </w:rPr>
        <w:t>表</w:t>
      </w:r>
      <w:r>
        <w:rPr>
          <w:rFonts w:hint="eastAsia" w:ascii="Times New Roman" w:hAnsiTheme="minorEastAsia" w:eastAsiaTheme="minorEastAsia"/>
          <w:b/>
          <w:bCs w:val="0"/>
          <w:color w:val="000000" w:themeColor="text1"/>
          <w:sz w:val="24"/>
          <w:szCs w:val="24"/>
          <w:lang w:val="en-US" w:eastAsia="zh-CN"/>
          <w14:textFill>
            <w14:solidFill>
              <w14:schemeClr w14:val="tx1"/>
            </w14:solidFill>
          </w14:textFill>
        </w:rPr>
        <w:t>2.7</w:t>
      </w:r>
      <w:r>
        <w:rPr>
          <w:rFonts w:hint="eastAsia" w:ascii="Times New Roman" w:hAnsiTheme="minorEastAsia" w:eastAsiaTheme="minorEastAsia"/>
          <w:b/>
          <w:bCs w:val="0"/>
          <w:color w:val="000000" w:themeColor="text1"/>
          <w:sz w:val="24"/>
          <w:szCs w:val="24"/>
          <w14:textFill>
            <w14:solidFill>
              <w14:schemeClr w14:val="tx1"/>
            </w14:solidFill>
          </w14:textFill>
        </w:rPr>
        <w:t xml:space="preserve">-12  </w:t>
      </w:r>
      <w:r>
        <w:rPr>
          <w:rFonts w:ascii="Times New Roman" w:hAnsiTheme="minorEastAsia" w:eastAsiaTheme="minorEastAsia"/>
          <w:b/>
          <w:bCs w:val="0"/>
          <w:color w:val="000000" w:themeColor="text1"/>
          <w:sz w:val="24"/>
          <w:szCs w:val="24"/>
          <w14:textFill>
            <w14:solidFill>
              <w14:schemeClr w14:val="tx1"/>
            </w14:solidFill>
          </w14:textFill>
        </w:rPr>
        <w:t>项目各环境因素评价范围一览表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1273"/>
        <w:gridCol w:w="1859"/>
        <w:gridCol w:w="5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cantSplit/>
          <w:trHeight w:val="340" w:hRule="atLeast"/>
          <w:jc w:val="center"/>
        </w:trPr>
        <w:tc>
          <w:tcPr>
            <w:tcW w:w="127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环境要素</w:t>
            </w:r>
          </w:p>
        </w:tc>
        <w:tc>
          <w:tcPr>
            <w:tcW w:w="18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评价等级</w:t>
            </w:r>
          </w:p>
        </w:tc>
        <w:tc>
          <w:tcPr>
            <w:tcW w:w="59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cantSplit/>
          <w:trHeight w:val="340" w:hRule="atLeast"/>
          <w:jc w:val="center"/>
        </w:trPr>
        <w:tc>
          <w:tcPr>
            <w:tcW w:w="1273"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大气</w:t>
            </w:r>
            <w:r>
              <w:rPr>
                <w:rFonts w:ascii="Times New Roman" w:hAnsi="Times New Roman"/>
                <w:color w:val="000000" w:themeColor="text1"/>
                <w:sz w:val="18"/>
                <w:szCs w:val="18"/>
                <w14:textFill>
                  <w14:solidFill>
                    <w14:schemeClr w14:val="tx1"/>
                  </w14:solidFill>
                </w14:textFill>
              </w:rPr>
              <w:t>环境</w:t>
            </w:r>
          </w:p>
        </w:tc>
        <w:tc>
          <w:tcPr>
            <w:tcW w:w="1859"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二</w:t>
            </w:r>
            <w:r>
              <w:rPr>
                <w:rFonts w:ascii="Times New Roman" w:hAnsi="Times New Roman"/>
                <w:color w:val="000000" w:themeColor="text1"/>
                <w:sz w:val="18"/>
                <w:szCs w:val="18"/>
                <w14:textFill>
                  <w14:solidFill>
                    <w14:schemeClr w14:val="tx1"/>
                  </w14:solidFill>
                </w14:textFill>
              </w:rPr>
              <w:t>级</w:t>
            </w:r>
          </w:p>
        </w:tc>
        <w:tc>
          <w:tcPr>
            <w:tcW w:w="59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以</w:t>
            </w:r>
            <w:r>
              <w:rPr>
                <w:rFonts w:hint="eastAsia" w:ascii="Times New Roman" w:hAnsi="Times New Roman"/>
                <w:color w:val="000000" w:themeColor="text1"/>
                <w:sz w:val="18"/>
                <w:szCs w:val="18"/>
                <w14:textFill>
                  <w14:solidFill>
                    <w14:schemeClr w14:val="tx1"/>
                  </w14:solidFill>
                </w14:textFill>
              </w:rPr>
              <w:t>项目厂区</w:t>
            </w:r>
            <w:r>
              <w:rPr>
                <w:rFonts w:ascii="Times New Roman" w:hAnsi="Times New Roman"/>
                <w:color w:val="000000" w:themeColor="text1"/>
                <w:sz w:val="18"/>
                <w:szCs w:val="18"/>
                <w14:textFill>
                  <w14:solidFill>
                    <w14:schemeClr w14:val="tx1"/>
                  </w14:solidFill>
                </w14:textFill>
              </w:rPr>
              <w:t>为中心，</w:t>
            </w:r>
            <w:r>
              <w:rPr>
                <w:rFonts w:hint="eastAsia" w:ascii="Times New Roman" w:hAnsi="Times New Roman"/>
                <w:color w:val="000000" w:themeColor="text1"/>
                <w:sz w:val="18"/>
                <w:szCs w:val="18"/>
                <w14:textFill>
                  <w14:solidFill>
                    <w14:schemeClr w14:val="tx1"/>
                  </w14:solidFill>
                </w14:textFill>
              </w:rPr>
              <w:t>边长为5km的矩形区域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cantSplit/>
          <w:trHeight w:val="340" w:hRule="atLeast"/>
          <w:jc w:val="center"/>
        </w:trPr>
        <w:tc>
          <w:tcPr>
            <w:tcW w:w="127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地表水环境</w:t>
            </w:r>
          </w:p>
        </w:tc>
        <w:tc>
          <w:tcPr>
            <w:tcW w:w="18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三级B</w:t>
            </w:r>
          </w:p>
        </w:tc>
        <w:tc>
          <w:tcPr>
            <w:tcW w:w="5963"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三板湖污水处理厂</w:t>
            </w:r>
            <w:r>
              <w:rPr>
                <w:rFonts w:ascii="Times New Roman" w:hAnsi="Times New Roman"/>
                <w:color w:val="000000" w:themeColor="text1"/>
                <w:sz w:val="18"/>
                <w:szCs w:val="18"/>
                <w14:textFill>
                  <w14:solidFill>
                    <w14:schemeClr w14:val="tx1"/>
                  </w14:solidFill>
                </w14:textFill>
              </w:rPr>
              <w:t>排污口上游</w:t>
            </w:r>
            <w:r>
              <w:rPr>
                <w:rFonts w:hint="eastAsia" w:ascii="Times New Roman" w:hAnsi="Times New Roman"/>
                <w:color w:val="000000" w:themeColor="text1"/>
                <w:sz w:val="18"/>
                <w:szCs w:val="18"/>
                <w14:textFill>
                  <w14:solidFill>
                    <w14:schemeClr w14:val="tx1"/>
                  </w14:solidFill>
                </w14:textFill>
              </w:rPr>
              <w:t>5</w:t>
            </w:r>
            <w:r>
              <w:rPr>
                <w:rFonts w:ascii="Times New Roman" w:hAnsi="Times New Roman"/>
                <w:color w:val="000000" w:themeColor="text1"/>
                <w:sz w:val="18"/>
                <w:szCs w:val="18"/>
                <w14:textFill>
                  <w14:solidFill>
                    <w14:schemeClr w14:val="tx1"/>
                  </w14:solidFill>
                </w14:textFill>
              </w:rPr>
              <w:t>00m至下游</w:t>
            </w:r>
            <w:r>
              <w:rPr>
                <w:rFonts w:hint="eastAsia" w:ascii="Times New Roman" w:hAnsi="Times New Roman"/>
                <w:color w:val="000000" w:themeColor="text1"/>
                <w:sz w:val="18"/>
                <w:szCs w:val="18"/>
                <w14:textFill>
                  <w14:solidFill>
                    <w14:schemeClr w14:val="tx1"/>
                  </w14:solidFill>
                </w14:textFill>
              </w:rPr>
              <w:t>2500</w:t>
            </w:r>
            <w:r>
              <w:rPr>
                <w:rFonts w:ascii="Times New Roman" w:hAnsi="Times New Roman"/>
                <w:color w:val="000000" w:themeColor="text1"/>
                <w:sz w:val="18"/>
                <w:szCs w:val="18"/>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cantSplit/>
          <w:trHeight w:val="340" w:hRule="atLeast"/>
          <w:jc w:val="center"/>
        </w:trPr>
        <w:tc>
          <w:tcPr>
            <w:tcW w:w="127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声环境</w:t>
            </w:r>
          </w:p>
        </w:tc>
        <w:tc>
          <w:tcPr>
            <w:tcW w:w="18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三级</w:t>
            </w:r>
          </w:p>
        </w:tc>
        <w:tc>
          <w:tcPr>
            <w:tcW w:w="59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拟建项目四周厂界外200m范围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cantSplit/>
          <w:trHeight w:val="340" w:hRule="atLeast"/>
          <w:jc w:val="center"/>
        </w:trPr>
        <w:tc>
          <w:tcPr>
            <w:tcW w:w="127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地下水</w:t>
            </w:r>
          </w:p>
        </w:tc>
        <w:tc>
          <w:tcPr>
            <w:tcW w:w="1859"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二</w:t>
            </w:r>
            <w:r>
              <w:rPr>
                <w:rFonts w:ascii="Times New Roman" w:hAnsi="Times New Roman"/>
                <w:color w:val="000000" w:themeColor="text1"/>
                <w:sz w:val="18"/>
                <w:szCs w:val="18"/>
                <w14:textFill>
                  <w14:solidFill>
                    <w14:schemeClr w14:val="tx1"/>
                  </w14:solidFill>
                </w14:textFill>
              </w:rPr>
              <w:t>级</w:t>
            </w:r>
          </w:p>
        </w:tc>
        <w:tc>
          <w:tcPr>
            <w:tcW w:w="59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以本项目选址为中心约6km</w:t>
            </w:r>
            <w:r>
              <w:rPr>
                <w:rFonts w:ascii="Times New Roman" w:hAnsi="Times New Roman"/>
                <w:color w:val="000000" w:themeColor="text1"/>
                <w:sz w:val="18"/>
                <w:szCs w:val="18"/>
                <w:vertAlign w:val="superscript"/>
                <w14:textFill>
                  <w14:solidFill>
                    <w14:schemeClr w14:val="tx1"/>
                  </w14:solidFill>
                </w14:textFill>
              </w:rPr>
              <w:t>2</w:t>
            </w:r>
            <w:r>
              <w:rPr>
                <w:rFonts w:ascii="Times New Roman" w:hAnsi="Times New Roman"/>
                <w:color w:val="000000" w:themeColor="text1"/>
                <w:sz w:val="18"/>
                <w:szCs w:val="18"/>
                <w14:textFill>
                  <w14:solidFill>
                    <w14:schemeClr w14:val="tx1"/>
                  </w14:solidFill>
                </w14:textFill>
              </w:rPr>
              <w:t>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cantSplit/>
          <w:trHeight w:val="340" w:hRule="atLeast"/>
          <w:jc w:val="center"/>
        </w:trPr>
        <w:tc>
          <w:tcPr>
            <w:tcW w:w="1273"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土壤</w:t>
            </w:r>
          </w:p>
        </w:tc>
        <w:tc>
          <w:tcPr>
            <w:tcW w:w="1859"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二级</w:t>
            </w:r>
          </w:p>
        </w:tc>
        <w:tc>
          <w:tcPr>
            <w:tcW w:w="59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以项目区为边界外扩200m的范围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cantSplit/>
          <w:trHeight w:val="340" w:hRule="atLeast"/>
          <w:jc w:val="center"/>
        </w:trPr>
        <w:tc>
          <w:tcPr>
            <w:tcW w:w="127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生态环境</w:t>
            </w:r>
          </w:p>
        </w:tc>
        <w:tc>
          <w:tcPr>
            <w:tcW w:w="18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三级</w:t>
            </w:r>
          </w:p>
        </w:tc>
        <w:tc>
          <w:tcPr>
            <w:tcW w:w="596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项目用地范围及向外延伸1km范围</w:t>
            </w:r>
          </w:p>
        </w:tc>
      </w:tr>
    </w:tbl>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30" w:name="_Toc27694"/>
      <w:r>
        <w:rPr>
          <w:rFonts w:hint="eastAsia" w:ascii="Times New Roman" w:hAnsi="Times New Roman" w:eastAsia="黑体"/>
          <w:b/>
          <w:color w:val="000000" w:themeColor="text1"/>
          <w:sz w:val="32"/>
          <w:szCs w:val="32"/>
          <w:lang w:val="en-US" w:eastAsia="zh-CN"/>
          <w14:textFill>
            <w14:solidFill>
              <w14:schemeClr w14:val="tx1"/>
            </w14:solidFill>
          </w14:textFill>
        </w:rPr>
        <w:t>2.8</w:t>
      </w:r>
      <w:r>
        <w:rPr>
          <w:rFonts w:hint="eastAsia" w:ascii="黑体" w:hAnsi="黑体" w:eastAsia="黑体"/>
          <w:b/>
          <w:color w:val="000000" w:themeColor="text1"/>
          <w:sz w:val="32"/>
          <w:szCs w:val="32"/>
          <w14:textFill>
            <w14:solidFill>
              <w14:schemeClr w14:val="tx1"/>
            </w14:solidFill>
          </w14:textFill>
        </w:rPr>
        <w:t>评价标准</w:t>
      </w:r>
      <w:bookmarkEnd w:id="130"/>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2.8.1</w:t>
      </w:r>
      <w:r>
        <w:rPr>
          <w:rFonts w:ascii="黑体" w:hAnsi="黑体" w:eastAsia="黑体" w:cs="Times New Roman"/>
          <w:b/>
          <w:color w:val="000000" w:themeColor="text1"/>
          <w:szCs w:val="28"/>
          <w14:textFill>
            <w14:solidFill>
              <w14:schemeClr w14:val="tx1"/>
            </w14:solidFill>
          </w14:textFill>
        </w:rPr>
        <w:t>环境质量标准</w:t>
      </w:r>
    </w:p>
    <w:p>
      <w:pPr>
        <w:pStyle w:val="380"/>
        <w:numPr>
          <w:ilvl w:val="0"/>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2"/>
          <w:numId w:val="27"/>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0"/>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1"/>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380"/>
        <w:numPr>
          <w:ilvl w:val="2"/>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2.8.1.1</w:t>
      </w:r>
      <w:r>
        <w:rPr>
          <w:rFonts w:ascii="黑体" w:hAnsi="黑体" w:eastAsia="黑体"/>
          <w:b/>
          <w:color w:val="000000" w:themeColor="text1"/>
          <w:sz w:val="24"/>
          <w:szCs w:val="24"/>
          <w14:textFill>
            <w14:solidFill>
              <w14:schemeClr w14:val="tx1"/>
            </w14:solidFill>
          </w14:textFill>
        </w:rPr>
        <w:t>环境空气</w:t>
      </w:r>
    </w:p>
    <w:p>
      <w:pPr>
        <w:pStyle w:val="194"/>
        <w:spacing w:line="520" w:lineRule="exact"/>
        <w:ind w:firstLine="480" w:firstLineChars="200"/>
        <w:rPr>
          <w:rFonts w:ascii="Times New Roman" w:hAnsiTheme="minorEastAsia" w:eastAsiaTheme="minorEastAsia"/>
          <w:bCs/>
          <w:color w:val="000000" w:themeColor="text1"/>
          <w:szCs w:val="24"/>
          <w14:textFill>
            <w14:solidFill>
              <w14:schemeClr w14:val="tx1"/>
            </w14:solidFill>
          </w14:textFill>
        </w:rPr>
      </w:pPr>
      <w:r>
        <w:rPr>
          <w:rFonts w:ascii="Times New Roman" w:hAnsiTheme="minorEastAsia" w:eastAsiaTheme="minorEastAsia"/>
          <w:bCs/>
          <w:color w:val="000000" w:themeColor="text1"/>
          <w:szCs w:val="24"/>
          <w14:textFill>
            <w14:solidFill>
              <w14:schemeClr w14:val="tx1"/>
            </w14:solidFill>
          </w14:textFill>
        </w:rPr>
        <w:t>区域环境空气质量执行《环境空气质量标准》（GB3095-2012）二级标准；</w:t>
      </w:r>
      <w:r>
        <w:rPr>
          <w:rFonts w:hint="eastAsia" w:ascii="Times New Roman" w:hAnsiTheme="minorEastAsia" w:eastAsiaTheme="minorEastAsia"/>
          <w:bCs/>
          <w:color w:val="000000" w:themeColor="text1"/>
          <w:szCs w:val="24"/>
          <w14:textFill>
            <w14:solidFill>
              <w14:schemeClr w14:val="tx1"/>
            </w14:solidFill>
          </w14:textFill>
        </w:rPr>
        <w:t>氯化氢</w:t>
      </w:r>
      <w:r>
        <w:rPr>
          <w:rFonts w:ascii="Times New Roman" w:hAnsiTheme="minorEastAsia" w:eastAsiaTheme="minorEastAsia"/>
          <w:bCs/>
          <w:color w:val="000000" w:themeColor="text1"/>
          <w:szCs w:val="24"/>
          <w14:textFill>
            <w14:solidFill>
              <w14:schemeClr w14:val="tx1"/>
            </w14:solidFill>
          </w14:textFill>
        </w:rPr>
        <w:t>质量标准执行《</w:t>
      </w:r>
      <w:r>
        <w:rPr>
          <w:rFonts w:hint="eastAsia" w:ascii="Times New Roman" w:hAnsiTheme="minorEastAsia" w:eastAsiaTheme="minorEastAsia"/>
          <w:bCs/>
          <w:color w:val="000000" w:themeColor="text1"/>
          <w:szCs w:val="24"/>
          <w14:textFill>
            <w14:solidFill>
              <w14:schemeClr w14:val="tx1"/>
            </w14:solidFill>
          </w14:textFill>
        </w:rPr>
        <w:t>环境影响评价技术导则-大气环境</w:t>
      </w:r>
      <w:r>
        <w:rPr>
          <w:rFonts w:ascii="Times New Roman" w:hAnsiTheme="minorEastAsia" w:eastAsiaTheme="minorEastAsia"/>
          <w:bCs/>
          <w:color w:val="000000" w:themeColor="text1"/>
          <w:szCs w:val="24"/>
          <w14:textFill>
            <w14:solidFill>
              <w14:schemeClr w14:val="tx1"/>
            </w14:solidFill>
          </w14:textFill>
        </w:rPr>
        <w:t>》（</w:t>
      </w:r>
      <w:r>
        <w:rPr>
          <w:rFonts w:hint="eastAsia" w:ascii="Times New Roman" w:hAnsiTheme="minorEastAsia" w:eastAsiaTheme="minorEastAsia"/>
          <w:bCs/>
          <w:color w:val="000000" w:themeColor="text1"/>
          <w:szCs w:val="24"/>
          <w14:textFill>
            <w14:solidFill>
              <w14:schemeClr w14:val="tx1"/>
            </w14:solidFill>
          </w14:textFill>
        </w:rPr>
        <w:t>H</w:t>
      </w:r>
      <w:r>
        <w:rPr>
          <w:rFonts w:ascii="Times New Roman" w:hAnsiTheme="minorEastAsia" w:eastAsiaTheme="minorEastAsia"/>
          <w:bCs/>
          <w:color w:val="000000" w:themeColor="text1"/>
          <w:szCs w:val="24"/>
          <w14:textFill>
            <w14:solidFill>
              <w14:schemeClr w14:val="tx1"/>
            </w14:solidFill>
          </w14:textFill>
        </w:rPr>
        <w:t>J</w:t>
      </w:r>
      <w:r>
        <w:rPr>
          <w:rFonts w:hint="eastAsia" w:ascii="Times New Roman" w:hAnsiTheme="minorEastAsia" w:eastAsiaTheme="minorEastAsia"/>
          <w:bCs/>
          <w:color w:val="000000" w:themeColor="text1"/>
          <w:szCs w:val="24"/>
          <w14:textFill>
            <w14:solidFill>
              <w14:schemeClr w14:val="tx1"/>
            </w14:solidFill>
          </w14:textFill>
        </w:rPr>
        <w:t>2.1</w:t>
      </w:r>
      <w:r>
        <w:rPr>
          <w:rFonts w:ascii="Times New Roman" w:hAnsiTheme="minorEastAsia" w:eastAsiaTheme="minorEastAsia"/>
          <w:bCs/>
          <w:color w:val="000000" w:themeColor="text1"/>
          <w:szCs w:val="24"/>
          <w14:textFill>
            <w14:solidFill>
              <w14:schemeClr w14:val="tx1"/>
            </w14:solidFill>
          </w14:textFill>
        </w:rPr>
        <w:t>-</w:t>
      </w:r>
      <w:r>
        <w:rPr>
          <w:rFonts w:hint="eastAsia" w:ascii="Times New Roman" w:hAnsiTheme="minorEastAsia" w:eastAsiaTheme="minorEastAsia"/>
          <w:bCs/>
          <w:color w:val="000000" w:themeColor="text1"/>
          <w:szCs w:val="24"/>
          <w14:textFill>
            <w14:solidFill>
              <w14:schemeClr w14:val="tx1"/>
            </w14:solidFill>
          </w14:textFill>
        </w:rPr>
        <w:t>2018</w:t>
      </w:r>
      <w:r>
        <w:rPr>
          <w:rFonts w:ascii="Times New Roman" w:hAnsiTheme="minorEastAsia" w:eastAsiaTheme="minorEastAsia"/>
          <w:bCs/>
          <w:color w:val="000000" w:themeColor="text1"/>
          <w:szCs w:val="24"/>
          <w14:textFill>
            <w14:solidFill>
              <w14:schemeClr w14:val="tx1"/>
            </w14:solidFill>
          </w14:textFill>
        </w:rPr>
        <w:t>）</w:t>
      </w:r>
      <w:r>
        <w:rPr>
          <w:rFonts w:hint="eastAsia" w:ascii="Times New Roman" w:hAnsiTheme="minorEastAsia" w:eastAsiaTheme="minorEastAsia"/>
          <w:bCs/>
          <w:color w:val="000000" w:themeColor="text1"/>
          <w:szCs w:val="24"/>
          <w14:textFill>
            <w14:solidFill>
              <w14:schemeClr w14:val="tx1"/>
            </w14:solidFill>
          </w14:textFill>
        </w:rPr>
        <w:t>附录D其他污染物空气质量浓度参考限值</w:t>
      </w:r>
      <w:r>
        <w:rPr>
          <w:rFonts w:ascii="Times New Roman" w:hAnsiTheme="minorEastAsia" w:eastAsiaTheme="minorEastAsia"/>
          <w:bCs/>
          <w:color w:val="000000" w:themeColor="text1"/>
          <w:szCs w:val="24"/>
          <w14:textFill>
            <w14:solidFill>
              <w14:schemeClr w14:val="tx1"/>
            </w14:solidFill>
          </w14:textFill>
        </w:rPr>
        <w:t>。</w:t>
      </w:r>
      <w:r>
        <w:rPr>
          <w:rFonts w:hint="eastAsia" w:ascii="Times New Roman" w:hAnsiTheme="minorEastAsia" w:eastAsiaTheme="minorEastAsia"/>
          <w:bCs/>
          <w:color w:val="000000" w:themeColor="text1"/>
          <w:szCs w:val="24"/>
          <w14:textFill>
            <w14:solidFill>
              <w14:schemeClr w14:val="tx1"/>
            </w14:solidFill>
          </w14:textFill>
        </w:rPr>
        <w:t>氟化物执行《环境空气质量标准》（GB3095-2012）附录A参考浓度限值二级标准，</w:t>
      </w:r>
      <w:r>
        <w:rPr>
          <w:rFonts w:ascii="Times New Roman" w:hAnsiTheme="minorEastAsia" w:eastAsiaTheme="minorEastAsia"/>
          <w:bCs/>
          <w:color w:val="000000" w:themeColor="text1"/>
          <w:szCs w:val="24"/>
          <w14:textFill>
            <w14:solidFill>
              <w14:schemeClr w14:val="tx1"/>
            </w14:solidFill>
          </w14:textFill>
        </w:rPr>
        <w:t>标准值详见表</w:t>
      </w:r>
      <w:r>
        <w:rPr>
          <w:rFonts w:hint="eastAsia" w:ascii="Times New Roman" w:hAnsiTheme="minorEastAsia" w:eastAsiaTheme="minorEastAsia"/>
          <w:bCs/>
          <w:color w:val="000000" w:themeColor="text1"/>
          <w:szCs w:val="24"/>
          <w:lang w:val="en-US" w:eastAsia="zh-CN"/>
          <w14:textFill>
            <w14:solidFill>
              <w14:schemeClr w14:val="tx1"/>
            </w14:solidFill>
          </w14:textFill>
        </w:rPr>
        <w:t>2.8</w:t>
      </w:r>
      <w:r>
        <w:rPr>
          <w:rFonts w:ascii="Times New Roman" w:hAnsiTheme="minorEastAsia" w:eastAsiaTheme="minorEastAsia"/>
          <w:bCs/>
          <w:color w:val="000000" w:themeColor="text1"/>
          <w:szCs w:val="24"/>
          <w14:textFill>
            <w14:solidFill>
              <w14:schemeClr w14:val="tx1"/>
            </w14:solidFill>
          </w14:textFill>
        </w:rPr>
        <w:t>-1。</w:t>
      </w:r>
    </w:p>
    <w:p>
      <w:pPr>
        <w:pStyle w:val="36"/>
        <w:spacing w:after="0" w:line="520" w:lineRule="exact"/>
        <w:ind w:left="0" w:leftChars="0"/>
        <w:jc w:val="center"/>
        <w:rPr>
          <w:rFonts w:ascii="Times New Roman"/>
          <w:b/>
          <w:bCs/>
          <w:snapToGrid w:val="0"/>
          <w:color w:val="000000" w:themeColor="text1"/>
          <w:kern w:val="0"/>
          <w:sz w:val="24"/>
          <w14:textFill>
            <w14:solidFill>
              <w14:schemeClr w14:val="tx1"/>
            </w14:solidFill>
          </w14:textFill>
        </w:rPr>
      </w:pPr>
      <w:r>
        <w:rPr>
          <w:rFonts w:ascii="Times New Roman"/>
          <w:b/>
          <w:bCs/>
          <w:snapToGrid w:val="0"/>
          <w:color w:val="000000" w:themeColor="text1"/>
          <w:kern w:val="0"/>
          <w:sz w:val="24"/>
          <w14:textFill>
            <w14:solidFill>
              <w14:schemeClr w14:val="tx1"/>
            </w14:solidFill>
          </w14:textFill>
        </w:rPr>
        <w:t>表</w:t>
      </w:r>
      <w:r>
        <w:rPr>
          <w:rFonts w:hint="eastAsia" w:ascii="Times New Roman"/>
          <w:b/>
          <w:bCs/>
          <w:snapToGrid w:val="0"/>
          <w:color w:val="000000" w:themeColor="text1"/>
          <w:kern w:val="0"/>
          <w:sz w:val="24"/>
          <w:lang w:val="en-US" w:eastAsia="zh-CN"/>
          <w14:textFill>
            <w14:solidFill>
              <w14:schemeClr w14:val="tx1"/>
            </w14:solidFill>
          </w14:textFill>
        </w:rPr>
        <w:t>2.8</w:t>
      </w:r>
      <w:r>
        <w:rPr>
          <w:rFonts w:ascii="Times New Roman"/>
          <w:b/>
          <w:bCs/>
          <w:snapToGrid w:val="0"/>
          <w:color w:val="000000" w:themeColor="text1"/>
          <w:kern w:val="0"/>
          <w:sz w:val="24"/>
          <w14:textFill>
            <w14:solidFill>
              <w14:schemeClr w14:val="tx1"/>
            </w14:solidFill>
          </w14:textFill>
        </w:rPr>
        <w:t>-</w:t>
      </w:r>
      <w:r>
        <w:rPr>
          <w:rFonts w:hint="eastAsia" w:ascii="Times New Roman"/>
          <w:b/>
          <w:bCs/>
          <w:snapToGrid w:val="0"/>
          <w:color w:val="000000" w:themeColor="text1"/>
          <w:kern w:val="0"/>
          <w:sz w:val="24"/>
          <w14:textFill>
            <w14:solidFill>
              <w14:schemeClr w14:val="tx1"/>
            </w14:solidFill>
          </w14:textFill>
        </w:rPr>
        <w:t>1</w:t>
      </w:r>
      <w:r>
        <w:rPr>
          <w:rFonts w:ascii="Times New Roman"/>
          <w:b/>
          <w:bCs/>
          <w:snapToGrid w:val="0"/>
          <w:color w:val="000000" w:themeColor="text1"/>
          <w:kern w:val="0"/>
          <w:sz w:val="24"/>
          <w14:textFill>
            <w14:solidFill>
              <w14:schemeClr w14:val="tx1"/>
            </w14:solidFill>
          </w14:textFill>
        </w:rPr>
        <w:t xml:space="preserve">  环境空气质量标准</w:t>
      </w:r>
      <w:r>
        <w:rPr>
          <w:rFonts w:hint="eastAsia" w:ascii="Times New Roman"/>
          <w:b/>
          <w:bCs/>
          <w:snapToGrid w:val="0"/>
          <w:color w:val="000000" w:themeColor="text1"/>
          <w:kern w:val="0"/>
          <w:sz w:val="24"/>
          <w14:textFill>
            <w14:solidFill>
              <w14:schemeClr w14:val="tx1"/>
            </w14:solidFill>
          </w14:textFill>
        </w:rPr>
        <w:t xml:space="preserve"> 单位: </w:t>
      </w:r>
      <w:r>
        <w:rPr>
          <w:rFonts w:ascii="Times New Roman"/>
          <w:b/>
          <w:bCs/>
          <w:snapToGrid w:val="0"/>
          <w:color w:val="000000" w:themeColor="text1"/>
          <w:kern w:val="0"/>
          <w:sz w:val="24"/>
          <w14:textFill>
            <w14:solidFill>
              <w14:schemeClr w14:val="tx1"/>
            </w14:solidFill>
          </w14:textFill>
        </w:rPr>
        <w:t>μg/m</w:t>
      </w:r>
      <w:r>
        <w:rPr>
          <w:rFonts w:ascii="Times New Roman"/>
          <w:b/>
          <w:bCs/>
          <w:snapToGrid w:val="0"/>
          <w:color w:val="000000" w:themeColor="text1"/>
          <w:kern w:val="0"/>
          <w:sz w:val="24"/>
          <w:vertAlign w:val="superscript"/>
          <w14:textFill>
            <w14:solidFill>
              <w14:schemeClr w14:val="tx1"/>
            </w14:solidFill>
          </w14:textFill>
        </w:rPr>
        <w:t>3</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643"/>
        <w:gridCol w:w="1604"/>
        <w:gridCol w:w="1151"/>
        <w:gridCol w:w="1274"/>
        <w:gridCol w:w="1317"/>
        <w:gridCol w:w="31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vMerge w:val="restart"/>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序号</w:t>
            </w:r>
          </w:p>
        </w:tc>
        <w:tc>
          <w:tcPr>
            <w:tcW w:w="1604" w:type="dxa"/>
            <w:vMerge w:val="restart"/>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污染物</w:t>
            </w:r>
          </w:p>
        </w:tc>
        <w:tc>
          <w:tcPr>
            <w:tcW w:w="3742" w:type="dxa"/>
            <w:gridSpan w:val="3"/>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浓度限值</w:t>
            </w:r>
          </w:p>
        </w:tc>
        <w:tc>
          <w:tcPr>
            <w:tcW w:w="3106" w:type="dxa"/>
            <w:vMerge w:val="restart"/>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vMerge w:val="continue"/>
            <w:vAlign w:val="center"/>
          </w:tcPr>
          <w:p>
            <w:pPr>
              <w:rPr>
                <w:rFonts w:ascii="Times New Roman" w:hAnsi="Times New Roman"/>
                <w:color w:val="000000" w:themeColor="text1"/>
                <w:szCs w:val="21"/>
                <w14:textFill>
                  <w14:solidFill>
                    <w14:schemeClr w14:val="tx1"/>
                  </w14:solidFill>
                </w14:textFill>
              </w:rPr>
            </w:pPr>
          </w:p>
        </w:tc>
        <w:tc>
          <w:tcPr>
            <w:tcW w:w="1604" w:type="dxa"/>
            <w:vMerge w:val="continue"/>
            <w:vAlign w:val="center"/>
          </w:tcPr>
          <w:p>
            <w:pPr>
              <w:rPr>
                <w:rFonts w:ascii="Times New Roman" w:hAnsi="Times New Roman"/>
                <w:color w:val="000000" w:themeColor="text1"/>
                <w:szCs w:val="21"/>
                <w14:textFill>
                  <w14:solidFill>
                    <w14:schemeClr w14:val="tx1"/>
                  </w14:solidFill>
                </w14:textFill>
              </w:rPr>
            </w:pP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年平均</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日平均</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小时平均</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PM</w:t>
            </w:r>
            <w:r>
              <w:rPr>
                <w:rFonts w:ascii="Times New Roman" w:hAnsi="Times New Roman"/>
                <w:color w:val="000000" w:themeColor="text1"/>
                <w:szCs w:val="21"/>
                <w:vertAlign w:val="subscript"/>
                <w14:textFill>
                  <w14:solidFill>
                    <w14:schemeClr w14:val="tx1"/>
                  </w14:solidFill>
                </w14:textFill>
              </w:rPr>
              <w:t>10</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70</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150</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GB"/>
                <w14:textFill>
                  <w14:solidFill>
                    <w14:schemeClr w14:val="tx1"/>
                  </w14:solidFill>
                </w14:textFill>
              </w:rPr>
              <w:t>/</w:t>
            </w:r>
          </w:p>
        </w:tc>
        <w:tc>
          <w:tcPr>
            <w:tcW w:w="3106" w:type="dxa"/>
            <w:vMerge w:val="restart"/>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PM</w:t>
            </w:r>
            <w:r>
              <w:rPr>
                <w:rFonts w:ascii="Times New Roman" w:hAnsi="Times New Roman"/>
                <w:color w:val="000000" w:themeColor="text1"/>
                <w:szCs w:val="21"/>
                <w:vertAlign w:val="subscript"/>
                <w14:textFill>
                  <w14:solidFill>
                    <w14:schemeClr w14:val="tx1"/>
                  </w14:solidFill>
                </w14:textFill>
              </w:rPr>
              <w:t>2.5</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35</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75</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GB"/>
                <w14:textFill>
                  <w14:solidFill>
                    <w14:schemeClr w14:val="tx1"/>
                  </w14:solidFill>
                </w14:textFill>
              </w:rPr>
              <w:t>/</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SO</w:t>
            </w:r>
            <w:r>
              <w:rPr>
                <w:rFonts w:ascii="Times New Roman" w:hAnsi="Times New Roman"/>
                <w:color w:val="000000" w:themeColor="text1"/>
                <w:szCs w:val="21"/>
                <w:vertAlign w:val="subscript"/>
                <w14:textFill>
                  <w14:solidFill>
                    <w14:schemeClr w14:val="tx1"/>
                  </w14:solidFill>
                </w14:textFill>
              </w:rPr>
              <w:t>2</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60</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150</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500</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NO</w:t>
            </w:r>
            <w:r>
              <w:rPr>
                <w:rFonts w:ascii="Times New Roman" w:hAnsi="Times New Roman"/>
                <w:color w:val="000000" w:themeColor="text1"/>
                <w:szCs w:val="21"/>
                <w:vertAlign w:val="subscript"/>
                <w14:textFill>
                  <w14:solidFill>
                    <w14:schemeClr w14:val="tx1"/>
                  </w14:solidFill>
                </w14:textFill>
              </w:rPr>
              <w:t>2</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40</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80</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GB"/>
                <w14:textFill>
                  <w14:solidFill>
                    <w14:schemeClr w14:val="tx1"/>
                  </w14:solidFill>
                </w14:textFill>
              </w:rPr>
              <w:t>/</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38"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6</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O</w:t>
            </w:r>
            <w:r>
              <w:rPr>
                <w:rFonts w:ascii="Times New Roman" w:hAnsi="Times New Roman"/>
                <w:color w:val="000000" w:themeColor="text1"/>
                <w:szCs w:val="21"/>
                <w:vertAlign w:val="subscript"/>
                <w14:textFill>
                  <w14:solidFill>
                    <w14:schemeClr w14:val="tx1"/>
                  </w14:solidFill>
                </w14:textFill>
              </w:rPr>
              <w:t>3</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GB"/>
                <w14:textFill>
                  <w14:solidFill>
                    <w14:schemeClr w14:val="tx1"/>
                  </w14:solidFill>
                </w14:textFill>
              </w:rPr>
              <w:t>/</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8h</w:t>
            </w:r>
            <w:r>
              <w:rPr>
                <w:rFonts w:ascii="Times New Roman" w:hAnsi="宋体"/>
                <w:color w:val="000000" w:themeColor="text1"/>
                <w:szCs w:val="21"/>
                <w14:textFill>
                  <w14:solidFill>
                    <w14:schemeClr w14:val="tx1"/>
                  </w14:solidFill>
                </w14:textFill>
              </w:rPr>
              <w:t>平均</w:t>
            </w:r>
            <w:r>
              <w:rPr>
                <w:rFonts w:ascii="Times New Roman" w:hAnsi="Times New Roman"/>
                <w:color w:val="000000" w:themeColor="text1"/>
                <w:szCs w:val="21"/>
                <w14:textFill>
                  <w14:solidFill>
                    <w14:schemeClr w14:val="tx1"/>
                  </w14:solidFill>
                </w14:textFill>
              </w:rPr>
              <w:t>160</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TSP</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300</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8</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氟化物</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20</w:t>
            </w:r>
          </w:p>
        </w:tc>
        <w:tc>
          <w:tcPr>
            <w:tcW w:w="3106" w:type="dxa"/>
            <w:vMerge w:val="continue"/>
            <w:vAlign w:val="center"/>
          </w:tcPr>
          <w:p>
            <w:pP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64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w:t>
            </w:r>
          </w:p>
        </w:tc>
        <w:tc>
          <w:tcPr>
            <w:tcW w:w="160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氯化氢</w:t>
            </w:r>
          </w:p>
        </w:tc>
        <w:tc>
          <w:tcPr>
            <w:tcW w:w="115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GB"/>
                <w14:textFill>
                  <w14:solidFill>
                    <w14:schemeClr w14:val="tx1"/>
                  </w14:solidFill>
                </w14:textFill>
              </w:rPr>
              <w:t>/</w:t>
            </w:r>
          </w:p>
        </w:tc>
        <w:tc>
          <w:tcPr>
            <w:tcW w:w="1274"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lang w:val="en-GB"/>
                <w14:textFill>
                  <w14:solidFill>
                    <w14:schemeClr w14:val="tx1"/>
                  </w14:solidFill>
                </w14:textFill>
              </w:rPr>
              <w:t>/</w:t>
            </w:r>
          </w:p>
        </w:tc>
        <w:tc>
          <w:tcPr>
            <w:tcW w:w="131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50</w:t>
            </w:r>
          </w:p>
        </w:tc>
        <w:tc>
          <w:tcPr>
            <w:tcW w:w="310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《环境影响评价技术导则</w:t>
            </w: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大气环境》（</w:t>
            </w:r>
            <w:r>
              <w:rPr>
                <w:rFonts w:ascii="Times New Roman" w:hAnsi="Times New Roman"/>
                <w:color w:val="000000" w:themeColor="text1"/>
                <w:szCs w:val="21"/>
                <w14:textFill>
                  <w14:solidFill>
                    <w14:schemeClr w14:val="tx1"/>
                  </w14:solidFill>
                </w14:textFill>
              </w:rPr>
              <w:t>HJ2.2-2018</w:t>
            </w:r>
            <w:r>
              <w:rPr>
                <w:rFonts w:ascii="Times New Roman" w:hAnsi="宋体"/>
                <w:color w:val="000000" w:themeColor="text1"/>
                <w:szCs w:val="21"/>
                <w14:textFill>
                  <w14:solidFill>
                    <w14:schemeClr w14:val="tx1"/>
                  </w14:solidFill>
                </w14:textFill>
              </w:rPr>
              <w:t>）附录</w:t>
            </w:r>
            <w:r>
              <w:rPr>
                <w:rFonts w:ascii="Times New Roman" w:hAnsi="Times New Roman"/>
                <w:color w:val="000000" w:themeColor="text1"/>
                <w:szCs w:val="21"/>
                <w14:textFill>
                  <w14:solidFill>
                    <w14:schemeClr w14:val="tx1"/>
                  </w14:solidFill>
                </w14:textFill>
              </w:rPr>
              <w:t>D</w:t>
            </w:r>
          </w:p>
        </w:tc>
      </w:tr>
    </w:tbl>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2.8.1.2</w:t>
      </w:r>
      <w:r>
        <w:rPr>
          <w:rFonts w:ascii="黑体" w:hAnsi="黑体" w:eastAsia="黑体"/>
          <w:b/>
          <w:color w:val="000000" w:themeColor="text1"/>
          <w:sz w:val="24"/>
          <w:szCs w:val="24"/>
          <w14:textFill>
            <w14:solidFill>
              <w14:schemeClr w14:val="tx1"/>
            </w14:solidFill>
          </w14:textFill>
        </w:rPr>
        <w:t>地表水</w:t>
      </w:r>
    </w:p>
    <w:p>
      <w:pPr>
        <w:pStyle w:val="262"/>
        <w:adjustRightInd w:val="0"/>
        <w:snapToGrid w:val="0"/>
        <w:spacing w:line="520" w:lineRule="exact"/>
        <w:ind w:firstLine="480"/>
        <w:jc w:val="left"/>
        <w:rPr>
          <w:rFonts w:ascii="Times New Roman" w:hAnsi="Times New Roman" w:eastAsiaTheme="minorEastAsia"/>
          <w:color w:val="000000" w:themeColor="text1"/>
          <w:sz w:val="24"/>
          <w:szCs w:val="24"/>
          <w:lang w:val="zh-CN"/>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项目所在区域地表水体为长江</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宜都</w:t>
      </w:r>
      <w:r>
        <w:rPr>
          <w:rFonts w:ascii="Times New Roman" w:hAnsiTheme="minorEastAsia" w:eastAsiaTheme="minorEastAsia"/>
          <w:color w:val="000000" w:themeColor="text1"/>
          <w:sz w:val="24"/>
          <w:szCs w:val="24"/>
          <w14:textFill>
            <w14:solidFill>
              <w14:schemeClr w14:val="tx1"/>
            </w14:solidFill>
          </w14:textFill>
        </w:rPr>
        <w:t>段</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lang w:val="zh-CN"/>
          <w14:textFill>
            <w14:solidFill>
              <w14:schemeClr w14:val="tx1"/>
            </w14:solidFill>
          </w14:textFill>
        </w:rPr>
        <w:t>根据《宜昌市环境功能区划分方案》，长江及其一级支流沿岸工业园区及城镇排污口下游</w:t>
      </w:r>
      <w:r>
        <w:rPr>
          <w:rFonts w:ascii="Times New Roman" w:hAnsi="Times New Roman" w:eastAsiaTheme="minorEastAsia"/>
          <w:color w:val="000000" w:themeColor="text1"/>
          <w:sz w:val="24"/>
          <w:szCs w:val="24"/>
          <w:lang w:val="zh-CN"/>
          <w14:textFill>
            <w14:solidFill>
              <w14:schemeClr w14:val="tx1"/>
            </w14:solidFill>
          </w14:textFill>
        </w:rPr>
        <w:t xml:space="preserve">1500 </w:t>
      </w:r>
      <w:r>
        <w:rPr>
          <w:rFonts w:ascii="Times New Roman" w:hAnsiTheme="minorEastAsia" w:eastAsiaTheme="minorEastAsia"/>
          <w:color w:val="000000" w:themeColor="text1"/>
          <w:sz w:val="24"/>
          <w:szCs w:val="24"/>
          <w:lang w:val="zh-CN"/>
          <w14:textFill>
            <w14:solidFill>
              <w14:schemeClr w14:val="tx1"/>
            </w14:solidFill>
          </w14:textFill>
        </w:rPr>
        <w:t>米、岸边</w:t>
      </w:r>
      <w:r>
        <w:rPr>
          <w:rFonts w:ascii="Times New Roman" w:hAnsi="Times New Roman" w:eastAsiaTheme="minorEastAsia"/>
          <w:color w:val="000000" w:themeColor="text1"/>
          <w:sz w:val="24"/>
          <w:szCs w:val="24"/>
          <w:lang w:val="zh-CN"/>
          <w14:textFill>
            <w14:solidFill>
              <w14:schemeClr w14:val="tx1"/>
            </w14:solidFill>
          </w14:textFill>
        </w:rPr>
        <w:t xml:space="preserve">100 </w:t>
      </w:r>
      <w:r>
        <w:rPr>
          <w:rFonts w:ascii="Times New Roman" w:hAnsiTheme="minorEastAsia" w:eastAsiaTheme="minorEastAsia"/>
          <w:color w:val="000000" w:themeColor="text1"/>
          <w:sz w:val="24"/>
          <w:szCs w:val="24"/>
          <w:lang w:val="zh-CN"/>
          <w14:textFill>
            <w14:solidFill>
              <w14:schemeClr w14:val="tx1"/>
            </w14:solidFill>
          </w14:textFill>
        </w:rPr>
        <w:t>米以内河段设置为混合区，混合区执行《地表水质量标准》</w:t>
      </w:r>
      <w:r>
        <w:rPr>
          <w:rFonts w:hint="eastAsia" w:ascii="Times New Roman" w:hAnsiTheme="minorEastAsia" w:eastAsiaTheme="minorEastAsia"/>
          <w:color w:val="000000" w:themeColor="text1"/>
          <w:sz w:val="24"/>
          <w:szCs w:val="24"/>
          <w:lang w:val="zh-CN"/>
          <w14:textFill>
            <w14:solidFill>
              <w14:schemeClr w14:val="tx1"/>
            </w14:solidFill>
          </w14:textFill>
        </w:rPr>
        <w:t>（GB3838-2002）</w:t>
      </w:r>
      <w:r>
        <w:rPr>
          <w:rFonts w:ascii="Times New Roman" w:hAnsiTheme="minorEastAsia" w:eastAsiaTheme="minorEastAsia"/>
          <w:color w:val="000000" w:themeColor="text1"/>
          <w:sz w:val="24"/>
          <w:szCs w:val="24"/>
          <w:lang w:val="zh-CN"/>
          <w14:textFill>
            <w14:solidFill>
              <w14:schemeClr w14:val="tx1"/>
            </w14:solidFill>
          </w14:textFill>
        </w:rPr>
        <w:t>中的</w:t>
      </w:r>
      <w:r>
        <w:rPr>
          <w:rFonts w:asciiTheme="minorEastAsia" w:hAnsiTheme="minorEastAsia" w:eastAsiaTheme="minorEastAsia"/>
          <w:color w:val="000000" w:themeColor="text1"/>
          <w:sz w:val="24"/>
          <w:szCs w:val="24"/>
          <w:lang w:val="zh-CN"/>
          <w14:textFill>
            <w14:solidFill>
              <w14:schemeClr w14:val="tx1"/>
            </w14:solidFill>
          </w14:textFill>
        </w:rPr>
        <w:t>Ⅲ</w:t>
      </w:r>
      <w:r>
        <w:rPr>
          <w:rFonts w:ascii="Times New Roman" w:hAnsiTheme="minorEastAsia" w:eastAsiaTheme="minorEastAsia"/>
          <w:color w:val="000000" w:themeColor="text1"/>
          <w:sz w:val="24"/>
          <w:szCs w:val="24"/>
          <w:lang w:val="zh-CN"/>
          <w14:textFill>
            <w14:solidFill>
              <w14:schemeClr w14:val="tx1"/>
            </w14:solidFill>
          </w14:textFill>
        </w:rPr>
        <w:t>类标准。详见表</w:t>
      </w:r>
      <w:r>
        <w:rPr>
          <w:rFonts w:ascii="Times New Roman" w:hAnsi="Times New Roman" w:eastAsiaTheme="minorEastAsia"/>
          <w:bCs w:val="0"/>
          <w:color w:val="000000" w:themeColor="text1"/>
          <w:sz w:val="24"/>
          <w:szCs w:val="24"/>
          <w14:textFill>
            <w14:solidFill>
              <w14:schemeClr w14:val="tx1"/>
            </w14:solidFill>
          </w14:textFill>
        </w:rPr>
        <w:t>1</w:t>
      </w:r>
      <w:r>
        <w:rPr>
          <w:rFonts w:hint="eastAsia" w:ascii="Times New Roman" w:hAnsi="Times New Roman" w:eastAsiaTheme="minorEastAsia"/>
          <w:bCs w:val="0"/>
          <w:color w:val="000000" w:themeColor="text1"/>
          <w:sz w:val="24"/>
          <w:szCs w:val="24"/>
          <w14:textFill>
            <w14:solidFill>
              <w14:schemeClr w14:val="tx1"/>
            </w14:solidFill>
          </w14:textFill>
        </w:rPr>
        <w:t>.9</w:t>
      </w:r>
      <w:r>
        <w:rPr>
          <w:rFonts w:ascii="Times New Roman" w:hAnsi="Times New Roman" w:eastAsiaTheme="minorEastAsia"/>
          <w:bCs w:val="0"/>
          <w:color w:val="000000" w:themeColor="text1"/>
          <w:sz w:val="24"/>
          <w:szCs w:val="24"/>
          <w14:textFill>
            <w14:solidFill>
              <w14:schemeClr w14:val="tx1"/>
            </w14:solidFill>
          </w14:textFill>
        </w:rPr>
        <w:t>-</w:t>
      </w:r>
      <w:r>
        <w:rPr>
          <w:rFonts w:hint="eastAsia" w:ascii="Times New Roman" w:hAnsi="Times New Roman" w:eastAsiaTheme="minorEastAsia"/>
          <w:bCs w:val="0"/>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lang w:val="zh-CN"/>
          <w14:textFill>
            <w14:solidFill>
              <w14:schemeClr w14:val="tx1"/>
            </w14:solidFill>
          </w14:textFill>
        </w:rPr>
        <w:t>。</w:t>
      </w:r>
    </w:p>
    <w:p>
      <w:pPr>
        <w:adjustRightInd w:val="0"/>
        <w:snapToGrid w:val="0"/>
        <w:spacing w:line="520" w:lineRule="exact"/>
        <w:jc w:val="center"/>
        <w:rPr>
          <w:rFonts w:ascii="Times New Roman" w:hAnsi="Times New Roman" w:eastAsiaTheme="minorEastAsia"/>
          <w:b/>
          <w:bCs/>
          <w:color w:val="000000" w:themeColor="text1"/>
          <w:sz w:val="24"/>
          <w:szCs w:val="24"/>
          <w:lang w:val="zh-CN"/>
          <w14:textFill>
            <w14:solidFill>
              <w14:schemeClr w14:val="tx1"/>
            </w14:solidFill>
          </w14:textFill>
        </w:rPr>
      </w:pPr>
      <w:r>
        <w:rPr>
          <w:rFonts w:ascii="Times New Roman" w:hAnsiTheme="minorEastAsia" w:eastAsiaTheme="minorEastAsia"/>
          <w:b/>
          <w:bCs/>
          <w:color w:val="000000" w:themeColor="text1"/>
          <w:sz w:val="24"/>
          <w:szCs w:val="24"/>
          <w:lang w:val="zh-CN"/>
          <w14:textFill>
            <w14:solidFill>
              <w14:schemeClr w14:val="tx1"/>
            </w14:solidFill>
          </w14:textFill>
        </w:rPr>
        <w:t>表</w:t>
      </w:r>
      <w:r>
        <w:rPr>
          <w:rFonts w:hint="eastAsia" w:ascii="Times New Roman" w:hAnsiTheme="minorEastAsia" w:eastAsiaTheme="minorEastAsia"/>
          <w:b/>
          <w:bCs/>
          <w:color w:val="000000" w:themeColor="text1"/>
          <w:sz w:val="24"/>
          <w:szCs w:val="24"/>
          <w:lang w:val="en-US" w:eastAsia="zh-CN"/>
          <w14:textFill>
            <w14:solidFill>
              <w14:schemeClr w14:val="tx1"/>
            </w14:solidFill>
          </w14:textFill>
        </w:rPr>
        <w:t>2.8</w:t>
      </w:r>
      <w:r>
        <w:rPr>
          <w:rFonts w:ascii="Times New Roman" w:hAnsiTheme="minorEastAsia" w:eastAsiaTheme="minorEastAsia"/>
          <w:b/>
          <w:bCs/>
          <w:color w:val="000000" w:themeColor="text1"/>
          <w:sz w:val="24"/>
          <w:szCs w:val="24"/>
          <w:lang w:val="zh-CN"/>
          <w14:textFill>
            <w14:solidFill>
              <w14:schemeClr w14:val="tx1"/>
            </w14:solidFill>
          </w14:textFill>
        </w:rPr>
        <w:t>-</w:t>
      </w:r>
      <w:r>
        <w:rPr>
          <w:rFonts w:hint="eastAsia" w:ascii="Times New Roman" w:hAnsiTheme="minorEastAsia" w:eastAsiaTheme="minorEastAsia"/>
          <w:b/>
          <w:bCs/>
          <w:color w:val="000000" w:themeColor="text1"/>
          <w:sz w:val="24"/>
          <w:szCs w:val="24"/>
          <w:lang w:val="zh-CN"/>
          <w14:textFill>
            <w14:solidFill>
              <w14:schemeClr w14:val="tx1"/>
            </w14:solidFill>
          </w14:textFill>
        </w:rPr>
        <w:t>2</w:t>
      </w:r>
      <w:r>
        <w:rPr>
          <w:rFonts w:ascii="Times New Roman" w:hAnsiTheme="minorEastAsia" w:eastAsiaTheme="minorEastAsia"/>
          <w:b/>
          <w:bCs/>
          <w:color w:val="000000" w:themeColor="text1"/>
          <w:sz w:val="24"/>
          <w:szCs w:val="24"/>
          <w:lang w:val="zh-CN"/>
          <w14:textFill>
            <w14:solidFill>
              <w14:schemeClr w14:val="tx1"/>
            </w14:solidFill>
          </w14:textFill>
        </w:rPr>
        <w:t xml:space="preserve"> </w:t>
      </w:r>
      <w:r>
        <w:rPr>
          <w:rFonts w:hint="eastAsia" w:ascii="Times New Roman" w:hAnsi="Times New Roman" w:eastAsiaTheme="minorEastAsia"/>
          <w:b/>
          <w:bCs/>
          <w:color w:val="000000" w:themeColor="text1"/>
          <w:sz w:val="24"/>
          <w:szCs w:val="24"/>
          <w:lang w:val="zh-CN"/>
          <w14:textFill>
            <w14:solidFill>
              <w14:schemeClr w14:val="tx1"/>
            </w14:solidFill>
          </w14:textFill>
        </w:rPr>
        <w:t xml:space="preserve">  </w:t>
      </w:r>
      <w:r>
        <w:rPr>
          <w:rFonts w:ascii="Times New Roman" w:hAnsiTheme="minorEastAsia" w:eastAsiaTheme="minorEastAsia"/>
          <w:b/>
          <w:bCs/>
          <w:color w:val="000000" w:themeColor="text1"/>
          <w:sz w:val="24"/>
          <w:szCs w:val="24"/>
          <w:lang w:val="zh-CN"/>
          <w14:textFill>
            <w14:solidFill>
              <w14:schemeClr w14:val="tx1"/>
            </w14:solidFill>
          </w14:textFill>
        </w:rPr>
        <w:t>地表水环境质量标准</w:t>
      </w:r>
      <w:r>
        <w:rPr>
          <w:rFonts w:hint="eastAsia" w:ascii="Times New Roman" w:hAnsi="Times New Roman" w:eastAsiaTheme="minorEastAsia"/>
          <w:b/>
          <w:bCs/>
          <w:color w:val="000000" w:themeColor="text1"/>
          <w:sz w:val="24"/>
          <w:szCs w:val="24"/>
          <w14:textFill>
            <w14:solidFill>
              <w14:schemeClr w14:val="tx1"/>
            </w14:solidFill>
          </w14:textFill>
        </w:rPr>
        <w:t>（</w:t>
      </w:r>
      <w:r>
        <w:rPr>
          <w:rFonts w:ascii="Times New Roman" w:hAnsiTheme="minorEastAsia" w:eastAsiaTheme="minorEastAsia"/>
          <w:b/>
          <w:bCs/>
          <w:color w:val="000000" w:themeColor="text1"/>
          <w:sz w:val="24"/>
          <w:szCs w:val="24"/>
          <w14:textFill>
            <w14:solidFill>
              <w14:schemeClr w14:val="tx1"/>
            </w14:solidFill>
          </w14:textFill>
        </w:rPr>
        <w:t>单位：</w:t>
      </w:r>
      <w:r>
        <w:rPr>
          <w:rFonts w:ascii="Times New Roman" w:hAnsi="Times New Roman" w:eastAsiaTheme="minorEastAsia"/>
          <w:b/>
          <w:bCs/>
          <w:color w:val="000000" w:themeColor="text1"/>
          <w:sz w:val="24"/>
          <w:szCs w:val="24"/>
          <w14:textFill>
            <w14:solidFill>
              <w14:schemeClr w14:val="tx1"/>
            </w14:solidFill>
          </w14:textFill>
        </w:rPr>
        <w:t>mg/L</w:t>
      </w:r>
      <w:r>
        <w:rPr>
          <w:rFonts w:ascii="Times New Roman" w:hAnsiTheme="minorEastAsia" w:eastAsiaTheme="minorEastAsia"/>
          <w:b/>
          <w:bCs/>
          <w:color w:val="000000" w:themeColor="text1"/>
          <w:sz w:val="24"/>
          <w:szCs w:val="24"/>
          <w14:textFill>
            <w14:solidFill>
              <w14:schemeClr w14:val="tx1"/>
            </w14:solidFill>
          </w14:textFill>
        </w:rPr>
        <w:t>，</w:t>
      </w:r>
      <w:r>
        <w:rPr>
          <w:rFonts w:ascii="Times New Roman" w:hAnsi="Times New Roman" w:eastAsiaTheme="minorEastAsia"/>
          <w:b/>
          <w:bCs/>
          <w:color w:val="000000" w:themeColor="text1"/>
          <w:sz w:val="24"/>
          <w:szCs w:val="24"/>
          <w14:textFill>
            <w14:solidFill>
              <w14:schemeClr w14:val="tx1"/>
            </w14:solidFill>
          </w14:textFill>
        </w:rPr>
        <w:t>pH</w:t>
      </w:r>
      <w:r>
        <w:rPr>
          <w:rFonts w:ascii="Times New Roman" w:hAnsiTheme="minorEastAsia" w:eastAsiaTheme="minorEastAsia"/>
          <w:b/>
          <w:bCs/>
          <w:color w:val="000000" w:themeColor="text1"/>
          <w:sz w:val="24"/>
          <w:szCs w:val="24"/>
          <w14:textFill>
            <w14:solidFill>
              <w14:schemeClr w14:val="tx1"/>
            </w14:solidFill>
          </w14:textFill>
        </w:rPr>
        <w:t>值除外</w:t>
      </w:r>
      <w:r>
        <w:rPr>
          <w:rFonts w:hint="eastAsia" w:ascii="Times New Roman" w:hAnsi="Times New Roman" w:eastAsiaTheme="minorEastAsia"/>
          <w:b/>
          <w:bCs/>
          <w:color w:val="000000" w:themeColor="text1"/>
          <w:sz w:val="24"/>
          <w:szCs w:val="24"/>
          <w14:textFill>
            <w14:solidFill>
              <w14:schemeClr w14:val="tx1"/>
            </w14:solidFill>
          </w14:textFill>
        </w:rPr>
        <w:t>）</w:t>
      </w:r>
    </w:p>
    <w:tbl>
      <w:tblPr>
        <w:tblStyle w:val="87"/>
        <w:tblW w:w="91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2"/>
        <w:gridCol w:w="688"/>
        <w:gridCol w:w="812"/>
        <w:gridCol w:w="812"/>
        <w:gridCol w:w="812"/>
        <w:gridCol w:w="812"/>
        <w:gridCol w:w="812"/>
        <w:gridCol w:w="812"/>
        <w:gridCol w:w="812"/>
        <w:gridCol w:w="8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pPr>
              <w:autoSpaceDE w:val="0"/>
              <w:autoSpaceDN w:val="0"/>
              <w:adjustRightInd w:val="0"/>
              <w:snapToGrid w:val="0"/>
              <w:spacing w:line="288" w:lineRule="auto"/>
              <w:ind w:right="-79"/>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污染物种类</w:t>
            </w:r>
          </w:p>
        </w:tc>
        <w:tc>
          <w:tcPr>
            <w:tcW w:w="688" w:type="dxa"/>
            <w:vAlign w:val="center"/>
          </w:tcPr>
          <w:p>
            <w:pPr>
              <w:autoSpaceDE w:val="0"/>
              <w:autoSpaceDN w:val="0"/>
              <w:adjustRightInd w:val="0"/>
              <w:snapToGrid w:val="0"/>
              <w:spacing w:line="288" w:lineRule="auto"/>
              <w:ind w:left="-108" w:right="-79"/>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pH</w:t>
            </w:r>
          </w:p>
        </w:tc>
        <w:tc>
          <w:tcPr>
            <w:tcW w:w="812" w:type="dxa"/>
            <w:vAlign w:val="center"/>
          </w:tcPr>
          <w:p>
            <w:pPr>
              <w:autoSpaceDE w:val="0"/>
              <w:autoSpaceDN w:val="0"/>
              <w:adjustRightInd w:val="0"/>
              <w:snapToGrid w:val="0"/>
              <w:spacing w:line="288" w:lineRule="auto"/>
              <w:ind w:left="-108" w:right="-79"/>
              <w:jc w:val="center"/>
              <w:rPr>
                <w:rFonts w:ascii="Times New Roman" w:hAnsi="Times New Roman" w:eastAsiaTheme="minorEastAsia"/>
                <w:color w:val="000000" w:themeColor="text1"/>
                <w:szCs w:val="21"/>
                <w:lang w:val="zh-CN"/>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DO</w:t>
            </w:r>
          </w:p>
        </w:tc>
        <w:tc>
          <w:tcPr>
            <w:tcW w:w="812" w:type="dxa"/>
            <w:vAlign w:val="center"/>
          </w:tcPr>
          <w:p>
            <w:pPr>
              <w:autoSpaceDE w:val="0"/>
              <w:autoSpaceDN w:val="0"/>
              <w:adjustRightInd w:val="0"/>
              <w:snapToGrid w:val="0"/>
              <w:spacing w:line="288" w:lineRule="auto"/>
              <w:ind w:left="-108" w:right="-79"/>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COD</w:t>
            </w:r>
          </w:p>
        </w:tc>
        <w:tc>
          <w:tcPr>
            <w:tcW w:w="812" w:type="dxa"/>
            <w:vAlign w:val="center"/>
          </w:tcPr>
          <w:p>
            <w:pPr>
              <w:autoSpaceDE w:val="0"/>
              <w:autoSpaceDN w:val="0"/>
              <w:adjustRightInd w:val="0"/>
              <w:snapToGrid w:val="0"/>
              <w:spacing w:line="288" w:lineRule="auto"/>
              <w:ind w:left="-108" w:right="-79"/>
              <w:jc w:val="center"/>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BOD</w:t>
            </w:r>
            <w:r>
              <w:rPr>
                <w:rFonts w:ascii="Times New Roman" w:hAnsi="Times New Roman" w:eastAsiaTheme="minorEastAsia"/>
                <w:color w:val="000000" w:themeColor="text1"/>
                <w:szCs w:val="21"/>
                <w:vertAlign w:val="subscript"/>
                <w14:textFill>
                  <w14:solidFill>
                    <w14:schemeClr w14:val="tx1"/>
                  </w14:solidFill>
                </w14:textFill>
              </w:rPr>
              <w:t>5</w:t>
            </w:r>
          </w:p>
        </w:tc>
        <w:tc>
          <w:tcPr>
            <w:tcW w:w="812" w:type="dxa"/>
            <w:vAlign w:val="center"/>
          </w:tcPr>
          <w:p>
            <w:pPr>
              <w:autoSpaceDE w:val="0"/>
              <w:autoSpaceDN w:val="0"/>
              <w:adjustRightInd w:val="0"/>
              <w:snapToGrid w:val="0"/>
              <w:spacing w:line="288" w:lineRule="auto"/>
              <w:ind w:left="-108" w:right="-79"/>
              <w:jc w:val="center"/>
              <w:rPr>
                <w:rFonts w:ascii="Times New Roman" w:hAnsi="Times New Roman" w:eastAsiaTheme="minorEastAsia"/>
                <w:snapToGrid w:val="0"/>
                <w:color w:val="000000" w:themeColor="text1"/>
                <w:szCs w:val="21"/>
                <w14:textFill>
                  <w14:solidFill>
                    <w14:schemeClr w14:val="tx1"/>
                  </w14:solidFill>
                </w14:textFill>
              </w:rPr>
            </w:pPr>
            <w:r>
              <w:rPr>
                <w:rFonts w:ascii="Times New Roman" w:hAnsiTheme="minorEastAsia" w:eastAsiaTheme="minorEastAsia"/>
                <w:color w:val="000000" w:themeColor="text1"/>
                <w:szCs w:val="21"/>
                <w:lang w:val="zh-CN"/>
                <w14:textFill>
                  <w14:solidFill>
                    <w14:schemeClr w14:val="tx1"/>
                  </w14:solidFill>
                </w14:textFill>
              </w:rPr>
              <w:t>氨氮</w:t>
            </w:r>
          </w:p>
        </w:tc>
        <w:tc>
          <w:tcPr>
            <w:tcW w:w="812" w:type="dxa"/>
            <w:vAlign w:val="center"/>
          </w:tcPr>
          <w:p>
            <w:pPr>
              <w:autoSpaceDE w:val="0"/>
              <w:autoSpaceDN w:val="0"/>
              <w:adjustRightInd w:val="0"/>
              <w:snapToGrid w:val="0"/>
              <w:spacing w:line="288" w:lineRule="auto"/>
              <w:ind w:right="-79"/>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snapToGrid w:val="0"/>
                <w:color w:val="000000" w:themeColor="text1"/>
                <w:szCs w:val="21"/>
                <w14:textFill>
                  <w14:solidFill>
                    <w14:schemeClr w14:val="tx1"/>
                  </w14:solidFill>
                </w14:textFill>
              </w:rPr>
              <w:t>总磷</w:t>
            </w:r>
          </w:p>
        </w:tc>
        <w:tc>
          <w:tcPr>
            <w:tcW w:w="812" w:type="dxa"/>
            <w:vAlign w:val="center"/>
          </w:tcPr>
          <w:p>
            <w:pPr>
              <w:autoSpaceDE w:val="0"/>
              <w:autoSpaceDN w:val="0"/>
              <w:adjustRightInd w:val="0"/>
              <w:snapToGrid w:val="0"/>
              <w:spacing w:line="288" w:lineRule="auto"/>
              <w:ind w:right="-79"/>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snapToGrid w:val="0"/>
                <w:color w:val="000000" w:themeColor="text1"/>
                <w:szCs w:val="21"/>
                <w14:textFill>
                  <w14:solidFill>
                    <w14:schemeClr w14:val="tx1"/>
                  </w14:solidFill>
                </w14:textFill>
              </w:rPr>
              <w:t>石油类</w:t>
            </w:r>
          </w:p>
        </w:tc>
        <w:tc>
          <w:tcPr>
            <w:tcW w:w="812" w:type="dxa"/>
            <w:vAlign w:val="center"/>
          </w:tcPr>
          <w:p>
            <w:pPr>
              <w:autoSpaceDE w:val="0"/>
              <w:autoSpaceDN w:val="0"/>
              <w:adjustRightInd w:val="0"/>
              <w:snapToGrid w:val="0"/>
              <w:spacing w:line="288" w:lineRule="auto"/>
              <w:ind w:right="-79"/>
              <w:jc w:val="center"/>
              <w:rPr>
                <w:rFonts w:ascii="Times New Roman" w:hAnsi="Times New Roman" w:eastAsiaTheme="minorEastAsia"/>
                <w:snapToGrid w:val="0"/>
                <w:color w:val="000000" w:themeColor="text1"/>
                <w:szCs w:val="21"/>
                <w14:textFill>
                  <w14:solidFill>
                    <w14:schemeClr w14:val="tx1"/>
                  </w14:solidFill>
                </w14:textFill>
              </w:rPr>
            </w:pPr>
            <w:r>
              <w:rPr>
                <w:rFonts w:ascii="Times New Roman" w:hAnsiTheme="minorEastAsia" w:eastAsiaTheme="minorEastAsia"/>
                <w:snapToGrid w:val="0"/>
                <w:color w:val="000000" w:themeColor="text1"/>
                <w:szCs w:val="21"/>
                <w14:textFill>
                  <w14:solidFill>
                    <w14:schemeClr w14:val="tx1"/>
                  </w14:solidFill>
                </w14:textFill>
              </w:rPr>
              <w:t>挥发酚</w:t>
            </w:r>
          </w:p>
        </w:tc>
        <w:tc>
          <w:tcPr>
            <w:tcW w:w="814" w:type="dxa"/>
            <w:vAlign w:val="center"/>
          </w:tcPr>
          <w:p>
            <w:pPr>
              <w:autoSpaceDE w:val="0"/>
              <w:autoSpaceDN w:val="0"/>
              <w:adjustRightInd w:val="0"/>
              <w:snapToGrid w:val="0"/>
              <w:spacing w:line="288" w:lineRule="auto"/>
              <w:ind w:right="-79"/>
              <w:jc w:val="center"/>
              <w:rPr>
                <w:rFonts w:ascii="Times New Roman" w:hAnsi="Times New Roman" w:eastAsiaTheme="minorEastAsia"/>
                <w:snapToGrid w:val="0"/>
                <w:color w:val="000000" w:themeColor="text1"/>
                <w:szCs w:val="21"/>
                <w14:textFill>
                  <w14:solidFill>
                    <w14:schemeClr w14:val="tx1"/>
                  </w14:solidFill>
                </w14:textFill>
              </w:rPr>
            </w:pPr>
            <w:r>
              <w:rPr>
                <w:rFonts w:hint="eastAsia" w:ascii="Times New Roman" w:hAnsiTheme="minorEastAsia" w:eastAsiaTheme="minorEastAsia"/>
                <w:snapToGrid w:val="0"/>
                <w:color w:val="000000" w:themeColor="text1"/>
                <w:szCs w:val="21"/>
                <w14:textFill>
                  <w14:solidFill>
                    <w14:schemeClr w14:val="tx1"/>
                  </w14:solidFill>
                </w14:textFill>
              </w:rPr>
              <w:t>甲苯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pPr>
              <w:autoSpaceDE w:val="0"/>
              <w:autoSpaceDN w:val="0"/>
              <w:adjustRightInd w:val="0"/>
              <w:snapToGrid w:val="0"/>
              <w:spacing w:line="288" w:lineRule="auto"/>
              <w:ind w:left="-108" w:right="-79"/>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浓度限值</w:t>
            </w:r>
          </w:p>
        </w:tc>
        <w:tc>
          <w:tcPr>
            <w:tcW w:w="688" w:type="dxa"/>
            <w:vAlign w:val="center"/>
          </w:tcPr>
          <w:p>
            <w:pPr>
              <w:autoSpaceDE w:val="0"/>
              <w:autoSpaceDN w:val="0"/>
              <w:adjustRightInd w:val="0"/>
              <w:snapToGrid w:val="0"/>
              <w:spacing w:line="288" w:lineRule="auto"/>
              <w:ind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6</w:t>
            </w:r>
            <w:r>
              <w:rPr>
                <w:rFonts w:ascii="Times New Roman" w:hAnsiTheme="minorEastAsia" w:eastAsiaTheme="minorEastAsia"/>
                <w:bCs/>
                <w:color w:val="000000" w:themeColor="text1"/>
                <w:szCs w:val="21"/>
                <w14:textFill>
                  <w14:solidFill>
                    <w14:schemeClr w14:val="tx1"/>
                  </w14:solidFill>
                </w14:textFill>
              </w:rPr>
              <w:t>～</w:t>
            </w:r>
            <w:r>
              <w:rPr>
                <w:rFonts w:ascii="Times New Roman" w:hAnsi="Times New Roman" w:eastAsiaTheme="minorEastAsia"/>
                <w:bCs/>
                <w:color w:val="000000" w:themeColor="text1"/>
                <w:szCs w:val="21"/>
                <w14:textFill>
                  <w14:solidFill>
                    <w14:schemeClr w14:val="tx1"/>
                  </w14:solidFill>
                </w14:textFill>
              </w:rPr>
              <w:t>9</w:t>
            </w:r>
          </w:p>
        </w:tc>
        <w:tc>
          <w:tcPr>
            <w:tcW w:w="812" w:type="dxa"/>
            <w:vAlign w:val="center"/>
          </w:tcPr>
          <w:p>
            <w:pPr>
              <w:autoSpaceDE w:val="0"/>
              <w:autoSpaceDN w:val="0"/>
              <w:adjustRightInd w:val="0"/>
              <w:snapToGrid w:val="0"/>
              <w:spacing w:line="288" w:lineRule="auto"/>
              <w:ind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≥5</w:t>
            </w:r>
          </w:p>
        </w:tc>
        <w:tc>
          <w:tcPr>
            <w:tcW w:w="812" w:type="dxa"/>
            <w:vAlign w:val="center"/>
          </w:tcPr>
          <w:p>
            <w:pPr>
              <w:autoSpaceDE w:val="0"/>
              <w:autoSpaceDN w:val="0"/>
              <w:adjustRightInd w:val="0"/>
              <w:snapToGrid w:val="0"/>
              <w:spacing w:line="288" w:lineRule="auto"/>
              <w:ind w:left="-108"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≤20</w:t>
            </w:r>
          </w:p>
        </w:tc>
        <w:tc>
          <w:tcPr>
            <w:tcW w:w="812" w:type="dxa"/>
            <w:vAlign w:val="center"/>
          </w:tcPr>
          <w:p>
            <w:pPr>
              <w:autoSpaceDE w:val="0"/>
              <w:autoSpaceDN w:val="0"/>
              <w:adjustRightInd w:val="0"/>
              <w:snapToGrid w:val="0"/>
              <w:spacing w:line="288" w:lineRule="auto"/>
              <w:ind w:left="-108"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≤4.0</w:t>
            </w:r>
          </w:p>
        </w:tc>
        <w:tc>
          <w:tcPr>
            <w:tcW w:w="812" w:type="dxa"/>
            <w:vAlign w:val="center"/>
          </w:tcPr>
          <w:p>
            <w:pPr>
              <w:autoSpaceDE w:val="0"/>
              <w:autoSpaceDN w:val="0"/>
              <w:adjustRightInd w:val="0"/>
              <w:snapToGrid w:val="0"/>
              <w:spacing w:line="288" w:lineRule="auto"/>
              <w:ind w:left="-108"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≤1.0</w:t>
            </w:r>
          </w:p>
        </w:tc>
        <w:tc>
          <w:tcPr>
            <w:tcW w:w="812" w:type="dxa"/>
            <w:vAlign w:val="center"/>
          </w:tcPr>
          <w:p>
            <w:pPr>
              <w:autoSpaceDE w:val="0"/>
              <w:autoSpaceDN w:val="0"/>
              <w:adjustRightInd w:val="0"/>
              <w:snapToGrid w:val="0"/>
              <w:spacing w:line="288" w:lineRule="auto"/>
              <w:ind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≤0.2</w:t>
            </w:r>
          </w:p>
        </w:tc>
        <w:tc>
          <w:tcPr>
            <w:tcW w:w="812" w:type="dxa"/>
            <w:vAlign w:val="center"/>
          </w:tcPr>
          <w:p>
            <w:pPr>
              <w:autoSpaceDE w:val="0"/>
              <w:autoSpaceDN w:val="0"/>
              <w:adjustRightInd w:val="0"/>
              <w:snapToGrid w:val="0"/>
              <w:spacing w:line="288" w:lineRule="auto"/>
              <w:ind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≤0.05</w:t>
            </w:r>
          </w:p>
        </w:tc>
        <w:tc>
          <w:tcPr>
            <w:tcW w:w="812" w:type="dxa"/>
            <w:vAlign w:val="center"/>
          </w:tcPr>
          <w:p>
            <w:pPr>
              <w:autoSpaceDE w:val="0"/>
              <w:autoSpaceDN w:val="0"/>
              <w:adjustRightInd w:val="0"/>
              <w:snapToGrid w:val="0"/>
              <w:spacing w:line="288" w:lineRule="auto"/>
              <w:ind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≤0.005</w:t>
            </w:r>
          </w:p>
        </w:tc>
        <w:tc>
          <w:tcPr>
            <w:tcW w:w="814" w:type="dxa"/>
            <w:vAlign w:val="center"/>
          </w:tcPr>
          <w:p>
            <w:pPr>
              <w:autoSpaceDE w:val="0"/>
              <w:autoSpaceDN w:val="0"/>
              <w:adjustRightInd w:val="0"/>
              <w:snapToGrid w:val="0"/>
              <w:spacing w:line="288" w:lineRule="auto"/>
              <w:ind w:right="-79"/>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w:t>
            </w:r>
            <w:r>
              <w:rPr>
                <w:rFonts w:hint="eastAsia" w:ascii="Times New Roman" w:hAnsi="Times New Roman" w:eastAsiaTheme="minorEastAsia"/>
                <w:bCs/>
                <w:color w:val="000000" w:themeColor="text1"/>
                <w:szCs w:val="21"/>
                <w14:textFill>
                  <w14:solidFill>
                    <w14:schemeClr w14:val="tx1"/>
                  </w14:solidFill>
                </w14:textFill>
              </w:rPr>
              <w:t>0.7</w:t>
            </w:r>
          </w:p>
        </w:tc>
      </w:tr>
    </w:tbl>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2.8.1.3</w:t>
      </w:r>
      <w:r>
        <w:rPr>
          <w:rFonts w:ascii="黑体" w:hAnsi="黑体" w:eastAsia="黑体"/>
          <w:b/>
          <w:color w:val="000000" w:themeColor="text1"/>
          <w:sz w:val="24"/>
          <w:szCs w:val="24"/>
          <w14:textFill>
            <w14:solidFill>
              <w14:schemeClr w14:val="tx1"/>
            </w14:solidFill>
          </w14:textFill>
        </w:rPr>
        <w:t>地下水</w:t>
      </w:r>
    </w:p>
    <w:p>
      <w:pPr>
        <w:pStyle w:val="262"/>
        <w:adjustRightInd w:val="0"/>
        <w:snapToGrid w:val="0"/>
        <w:spacing w:line="520" w:lineRule="exact"/>
        <w:ind w:firstLine="48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项目所在区域地下水执行《地下水质量标准》</w:t>
      </w:r>
      <w:r>
        <w:rPr>
          <w:rFonts w:ascii="Times New Roman" w:hAnsi="Times New Roman" w:eastAsiaTheme="minorEastAsia"/>
          <w:color w:val="000000" w:themeColor="text1"/>
          <w:sz w:val="24"/>
          <w:szCs w:val="24"/>
          <w14:textFill>
            <w14:solidFill>
              <w14:schemeClr w14:val="tx1"/>
            </w14:solidFill>
          </w14:textFill>
        </w:rPr>
        <w:t>(GB/T14848-2017)</w:t>
      </w:r>
      <w:r>
        <w:rPr>
          <w:rFonts w:ascii="Times New Roman" w:hAnsiTheme="minorEastAsia" w:eastAsiaTheme="minorEastAsia"/>
          <w:color w:val="000000" w:themeColor="text1"/>
          <w:sz w:val="24"/>
          <w:szCs w:val="24"/>
          <w14:textFill>
            <w14:solidFill>
              <w14:schemeClr w14:val="tx1"/>
            </w14:solidFill>
          </w14:textFill>
        </w:rPr>
        <w:t>中Ⅲ类标准</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详见表</w:t>
      </w:r>
      <w:r>
        <w:rPr>
          <w:rFonts w:hint="eastAsia" w:ascii="Times New Roman" w:hAnsi="Times New Roman" w:eastAsiaTheme="minorEastAsia"/>
          <w:bCs w:val="0"/>
          <w:color w:val="000000" w:themeColor="text1"/>
          <w:sz w:val="24"/>
          <w:szCs w:val="24"/>
          <w:lang w:val="en-US" w:eastAsia="zh-CN"/>
          <w14:textFill>
            <w14:solidFill>
              <w14:schemeClr w14:val="tx1"/>
            </w14:solidFill>
          </w14:textFill>
        </w:rPr>
        <w:t>2.8</w:t>
      </w:r>
      <w:r>
        <w:rPr>
          <w:rFonts w:ascii="Times New Roman" w:hAnsi="Times New Roman" w:eastAsiaTheme="minorEastAsia"/>
          <w:bCs w:val="0"/>
          <w:color w:val="000000" w:themeColor="text1"/>
          <w:sz w:val="24"/>
          <w:szCs w:val="24"/>
          <w14:textFill>
            <w14:solidFill>
              <w14:schemeClr w14:val="tx1"/>
            </w14:solidFill>
          </w14:textFill>
        </w:rPr>
        <w:t>-</w:t>
      </w:r>
      <w:r>
        <w:rPr>
          <w:rFonts w:hint="eastAsia" w:ascii="Times New Roman" w:hAnsi="Times New Roman" w:eastAsiaTheme="minorEastAsia"/>
          <w:bCs w:val="0"/>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jc w:val="center"/>
        <w:rPr>
          <w:rFonts w:ascii="Times New Roman" w:hAnsiTheme="minorEastAsia" w:eastAsiaTheme="minorEastAsia"/>
          <w:b/>
          <w:color w:val="000000" w:themeColor="text1"/>
          <w:sz w:val="24"/>
          <w:szCs w:val="24"/>
          <w14:textFill>
            <w14:solidFill>
              <w14:schemeClr w14:val="tx1"/>
            </w14:solidFill>
          </w14:textFill>
        </w:rPr>
      </w:pPr>
      <w:r>
        <w:rPr>
          <w:rFonts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heme="minorEastAsia" w:eastAsiaTheme="minorEastAsia"/>
          <w:b/>
          <w:color w:val="000000" w:themeColor="text1"/>
          <w:sz w:val="24"/>
          <w:szCs w:val="24"/>
          <w:lang w:val="en-US" w:eastAsia="zh-CN"/>
          <w14:textFill>
            <w14:solidFill>
              <w14:schemeClr w14:val="tx1"/>
            </w14:solidFill>
          </w14:textFill>
        </w:rPr>
        <w:t>2.8</w:t>
      </w:r>
      <w:r>
        <w:rPr>
          <w:rFonts w:ascii="Times New Roman" w:hAnsiTheme="minorEastAsia" w:eastAsiaTheme="minorEastAsia"/>
          <w:b/>
          <w:color w:val="000000" w:themeColor="text1"/>
          <w:sz w:val="24"/>
          <w:szCs w:val="24"/>
          <w14:textFill>
            <w14:solidFill>
              <w14:schemeClr w14:val="tx1"/>
            </w14:solidFill>
          </w14:textFill>
        </w:rPr>
        <w:t>-</w:t>
      </w:r>
      <w:r>
        <w:rPr>
          <w:rFonts w:hint="eastAsia" w:ascii="Times New Roman" w:hAnsiTheme="minorEastAsia" w:eastAsiaTheme="minorEastAsia"/>
          <w:b/>
          <w:color w:val="000000" w:themeColor="text1"/>
          <w:sz w:val="24"/>
          <w:szCs w:val="24"/>
          <w14:textFill>
            <w14:solidFill>
              <w14:schemeClr w14:val="tx1"/>
            </w14:solidFill>
          </w14:textFill>
        </w:rPr>
        <w:t>3</w:t>
      </w:r>
      <w:r>
        <w:rPr>
          <w:rFonts w:ascii="Times New Roman" w:hAnsiTheme="minorEastAsia" w:eastAsiaTheme="minorEastAsia"/>
          <w:b/>
          <w:color w:val="000000" w:themeColor="text1"/>
          <w:sz w:val="24"/>
          <w:szCs w:val="24"/>
          <w14:textFill>
            <w14:solidFill>
              <w14:schemeClr w14:val="tx1"/>
            </w14:solidFill>
          </w14:textFill>
        </w:rPr>
        <w:t xml:space="preserve"> </w:t>
      </w:r>
      <w:r>
        <w:rPr>
          <w:rFonts w:ascii="Times New Roman" w:hAnsi="Times New Roman" w:eastAsiaTheme="minorEastAsia"/>
          <w:b/>
          <w:color w:val="000000" w:themeColor="text1"/>
          <w:sz w:val="24"/>
          <w:szCs w:val="24"/>
          <w14:textFill>
            <w14:solidFill>
              <w14:schemeClr w14:val="tx1"/>
            </w14:solidFill>
          </w14:textFill>
        </w:rPr>
        <w:t xml:space="preserve">  </w:t>
      </w:r>
      <w:r>
        <w:rPr>
          <w:rFonts w:ascii="Times New Roman" w:hAnsiTheme="minorEastAsia" w:eastAsiaTheme="minorEastAsia"/>
          <w:b/>
          <w:color w:val="000000" w:themeColor="text1"/>
          <w:sz w:val="24"/>
          <w:szCs w:val="24"/>
          <w14:textFill>
            <w14:solidFill>
              <w14:schemeClr w14:val="tx1"/>
            </w14:solidFill>
          </w14:textFill>
        </w:rPr>
        <w:t>地下水环境质量标准（单位：</w:t>
      </w:r>
      <w:r>
        <w:rPr>
          <w:rFonts w:ascii="Times New Roman" w:hAnsi="Times New Roman" w:eastAsiaTheme="minorEastAsia"/>
          <w:b/>
          <w:color w:val="000000" w:themeColor="text1"/>
          <w:sz w:val="24"/>
          <w:szCs w:val="24"/>
          <w14:textFill>
            <w14:solidFill>
              <w14:schemeClr w14:val="tx1"/>
            </w14:solidFill>
          </w14:textFill>
        </w:rPr>
        <w:t>mg/L</w:t>
      </w:r>
      <w:r>
        <w:rPr>
          <w:rFonts w:ascii="Times New Roman" w:hAnsiTheme="minorEastAsia" w:eastAsiaTheme="minorEastAsia"/>
          <w:b/>
          <w:color w:val="000000" w:themeColor="text1"/>
          <w:sz w:val="24"/>
          <w:szCs w:val="24"/>
          <w14:textFill>
            <w14:solidFill>
              <w14:schemeClr w14:val="tx1"/>
            </w14:solidFill>
          </w14:textFill>
        </w:rPr>
        <w:t>，</w:t>
      </w:r>
      <w:r>
        <w:rPr>
          <w:rFonts w:ascii="Times New Roman" w:hAnsi="Times New Roman" w:eastAsiaTheme="minorEastAsia"/>
          <w:b/>
          <w:color w:val="000000" w:themeColor="text1"/>
          <w:sz w:val="24"/>
          <w:szCs w:val="24"/>
          <w14:textFill>
            <w14:solidFill>
              <w14:schemeClr w14:val="tx1"/>
            </w14:solidFill>
          </w14:textFill>
        </w:rPr>
        <w:t>pH</w:t>
      </w:r>
      <w:r>
        <w:rPr>
          <w:rFonts w:ascii="Times New Roman" w:hAnsiTheme="minorEastAsia" w:eastAsiaTheme="minorEastAsia"/>
          <w:b/>
          <w:color w:val="000000" w:themeColor="text1"/>
          <w:sz w:val="24"/>
          <w:szCs w:val="24"/>
          <w14:textFill>
            <w14:solidFill>
              <w14:schemeClr w14:val="tx1"/>
            </w14:solidFill>
          </w14:textFill>
        </w:rPr>
        <w:t>值除外）</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1"/>
        <w:gridCol w:w="2626"/>
        <w:gridCol w:w="2627"/>
        <w:gridCol w:w="26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序号</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项目</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浓度限值（</w:t>
            </w:r>
            <w:r>
              <w:rPr>
                <w:rFonts w:ascii="Times New Roman" w:hAnsi="Times New Roman"/>
                <w:color w:val="000000" w:themeColor="text1"/>
                <w:szCs w:val="21"/>
                <w14:textFill>
                  <w14:solidFill>
                    <w14:schemeClr w14:val="tx1"/>
                  </w14:solidFill>
                </w14:textFill>
              </w:rPr>
              <w:t>mg/L</w:t>
            </w:r>
            <w:r>
              <w:rPr>
                <w:rFonts w:ascii="Times New Roman" w:hAnsi="宋体"/>
                <w:color w:val="000000" w:themeColor="text1"/>
                <w:szCs w:val="21"/>
                <w14:textFill>
                  <w14:solidFill>
                    <w14:schemeClr w14:val="tx1"/>
                  </w14:solidFill>
                </w14:textFill>
              </w:rPr>
              <w:t>）</w:t>
            </w:r>
          </w:p>
        </w:tc>
        <w:tc>
          <w:tcPr>
            <w:tcW w:w="2635"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pH</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w:t>
            </w:r>
            <w:r>
              <w:rPr>
                <w:rFonts w:ascii="Times New Roman" w:hAnsi="宋体"/>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8.5</w:t>
            </w:r>
            <w:r>
              <w:rPr>
                <w:rFonts w:ascii="Times New Roman" w:hAnsi="宋体"/>
                <w:color w:val="000000" w:themeColor="text1"/>
                <w:szCs w:val="21"/>
                <w14:textFill>
                  <w14:solidFill>
                    <w14:schemeClr w14:val="tx1"/>
                  </w14:solidFill>
                </w14:textFill>
              </w:rPr>
              <w:t>（无量纲）</w:t>
            </w:r>
          </w:p>
        </w:tc>
        <w:tc>
          <w:tcPr>
            <w:tcW w:w="2635" w:type="dxa"/>
            <w:vMerge w:val="restart"/>
            <w:shd w:val="clear" w:color="auto" w:fill="auto"/>
            <w:vAlign w:val="center"/>
          </w:tcPr>
          <w:p>
            <w:pPr>
              <w:jc w:val="center"/>
              <w:rPr>
                <w:rFonts w:ascii="Times New Roman" w:hAnsi="宋体"/>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《地下水质量标准》（</w:t>
            </w:r>
            <w:r>
              <w:rPr>
                <w:rFonts w:ascii="Times New Roman" w:hAnsi="Times New Roman"/>
                <w:color w:val="000000" w:themeColor="text1"/>
                <w:szCs w:val="21"/>
                <w14:textFill>
                  <w14:solidFill>
                    <w14:schemeClr w14:val="tx1"/>
                  </w14:solidFill>
                </w14:textFill>
              </w:rPr>
              <w:t>GB/T14848-2017</w:t>
            </w:r>
            <w:r>
              <w:rPr>
                <w:rFonts w:ascii="Times New Roman" w:hAnsi="宋体"/>
                <w:color w:val="000000" w:themeColor="text1"/>
                <w:szCs w:val="21"/>
                <w14:textFill>
                  <w14:solidFill>
                    <w14:schemeClr w14:val="tx1"/>
                  </w14:solidFill>
                </w14:textFill>
              </w:rPr>
              <w:t>）</w:t>
            </w:r>
          </w:p>
          <w:p>
            <w:pPr>
              <w:jc w:val="center"/>
              <w:rPr>
                <w:rFonts w:ascii="Times New Roman" w:hAnsi="Times New Roman"/>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氨氮</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0.5</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氰化物</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0.05</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溶解性总固体</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1000</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高锰酸盐指数（耗氧量）</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总硬度</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450</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硫酸盐</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250</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氟</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硝酸盐</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亚硝酸盐</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挥发性酚类</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0.002</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铁</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0.3</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13</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铜</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14</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锰</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0.1</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铅</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0.01</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镉</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0.005</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砷</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0.01</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汞</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0.001</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w:t>
            </w:r>
          </w:p>
        </w:tc>
        <w:tc>
          <w:tcPr>
            <w:tcW w:w="2626"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铬（六价）</w:t>
            </w:r>
          </w:p>
        </w:tc>
        <w:tc>
          <w:tcPr>
            <w:tcW w:w="2627"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0.05</w:t>
            </w:r>
          </w:p>
        </w:tc>
        <w:tc>
          <w:tcPr>
            <w:tcW w:w="2635" w:type="dxa"/>
            <w:vMerge w:val="continue"/>
            <w:vAlign w:val="center"/>
          </w:tcPr>
          <w:p>
            <w:pPr>
              <w:rPr>
                <w:rFonts w:ascii="Times New Roman" w:hAnsi="Times New Roman"/>
                <w:color w:val="000000" w:themeColor="text1"/>
                <w:sz w:val="18"/>
                <w:szCs w:val="18"/>
                <w14:textFill>
                  <w14:solidFill>
                    <w14:schemeClr w14:val="tx1"/>
                  </w14:solidFill>
                </w14:textFill>
              </w:rPr>
            </w:pPr>
          </w:p>
        </w:tc>
      </w:tr>
    </w:tbl>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2.8.1.4</w:t>
      </w:r>
      <w:r>
        <w:rPr>
          <w:rFonts w:ascii="黑体" w:hAnsi="黑体" w:eastAsia="黑体"/>
          <w:b/>
          <w:color w:val="000000" w:themeColor="text1"/>
          <w:sz w:val="24"/>
          <w:szCs w:val="24"/>
          <w14:textFill>
            <w14:solidFill>
              <w14:schemeClr w14:val="tx1"/>
            </w14:solidFill>
          </w14:textFill>
        </w:rPr>
        <w:t>声环境</w:t>
      </w:r>
    </w:p>
    <w:p>
      <w:pPr>
        <w:pStyle w:val="262"/>
        <w:keepNext w:val="0"/>
        <w:keepLines w:val="0"/>
        <w:pageBreakBefore w:val="0"/>
        <w:widowControl w:val="0"/>
        <w:kinsoku/>
        <w:wordWrap/>
        <w:overflowPunct/>
        <w:topLinePunct w:val="0"/>
        <w:autoSpaceDE/>
        <w:autoSpaceDN/>
        <w:bidi w:val="0"/>
        <w:adjustRightInd w:val="0"/>
        <w:snapToGrid w:val="0"/>
        <w:spacing w:line="520" w:lineRule="exact"/>
        <w:ind w:firstLine="482"/>
        <w:jc w:val="left"/>
        <w:textAlignment w:val="auto"/>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w:t>
      </w:r>
      <w:r>
        <w:rPr>
          <w:rFonts w:hint="eastAsia" w:ascii="Times New Roman" w:hAnsiTheme="minorEastAsia" w:eastAsiaTheme="minorEastAsia"/>
          <w:color w:val="000000" w:themeColor="text1"/>
          <w:sz w:val="24"/>
          <w:szCs w:val="24"/>
          <w14:textFill>
            <w14:solidFill>
              <w14:schemeClr w14:val="tx1"/>
            </w14:solidFill>
          </w14:textFill>
        </w:rPr>
        <w:t>厂</w:t>
      </w:r>
      <w:r>
        <w:rPr>
          <w:rFonts w:ascii="Times New Roman" w:hAnsiTheme="minorEastAsia" w:eastAsiaTheme="minorEastAsia"/>
          <w:color w:val="000000" w:themeColor="text1"/>
          <w:sz w:val="24"/>
          <w:szCs w:val="24"/>
          <w14:textFill>
            <w14:solidFill>
              <w14:schemeClr w14:val="tx1"/>
            </w14:solidFill>
          </w14:textFill>
        </w:rPr>
        <w:t>界噪声执行《声环境质量标准》</w:t>
      </w:r>
      <w:r>
        <w:rPr>
          <w:rFonts w:ascii="Times New Roman" w:hAnsi="Times New Roman" w:eastAsiaTheme="minorEastAsia"/>
          <w:color w:val="000000" w:themeColor="text1"/>
          <w:sz w:val="24"/>
          <w:szCs w:val="24"/>
          <w14:textFill>
            <w14:solidFill>
              <w14:schemeClr w14:val="tx1"/>
            </w14:solidFill>
          </w14:textFill>
        </w:rPr>
        <w:t>(GB3096-2008)</w:t>
      </w:r>
      <w:r>
        <w:rPr>
          <w:rFonts w:ascii="Times New Roman" w:hAnsiTheme="minorEastAsia" w:eastAsiaTheme="minorEastAsia"/>
          <w:color w:val="000000" w:themeColor="text1"/>
          <w:sz w:val="24"/>
          <w:szCs w:val="24"/>
          <w14:textFill>
            <w14:solidFill>
              <w14:schemeClr w14:val="tx1"/>
            </w14:solidFill>
          </w14:textFill>
        </w:rPr>
        <w:t>中</w:t>
      </w:r>
      <w:r>
        <w:rPr>
          <w:rFonts w:ascii="Times New Roman" w:hAnsi="Times New Roman"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类标准，具体详见下表</w:t>
      </w:r>
      <w:r>
        <w:rPr>
          <w:rFonts w:hint="eastAsia" w:ascii="Times New Roman" w:hAnsiTheme="minorEastAsia" w:eastAsiaTheme="minorEastAsia"/>
          <w:color w:val="000000" w:themeColor="text1"/>
          <w:sz w:val="24"/>
          <w:szCs w:val="24"/>
          <w:lang w:val="en-US" w:eastAsia="zh-CN"/>
          <w14:textFill>
            <w14:solidFill>
              <w14:schemeClr w14:val="tx1"/>
            </w14:solidFill>
          </w14:textFill>
        </w:rPr>
        <w:t>2.8</w:t>
      </w:r>
      <w:r>
        <w:rPr>
          <w:rFonts w:ascii="Times New Roman" w:hAnsi="Times New Roman" w:eastAsiaTheme="minorEastAsia"/>
          <w:bCs w:val="0"/>
          <w:color w:val="000000" w:themeColor="text1"/>
          <w:sz w:val="24"/>
          <w:szCs w:val="24"/>
          <w14:textFill>
            <w14:solidFill>
              <w14:schemeClr w14:val="tx1"/>
            </w14:solidFill>
          </w14:textFill>
        </w:rPr>
        <w:t>-</w:t>
      </w:r>
      <w:r>
        <w:rPr>
          <w:rFonts w:hint="eastAsia" w:ascii="Times New Roman" w:hAnsi="Times New Roman" w:eastAsiaTheme="minorEastAsia"/>
          <w:bCs w:val="0"/>
          <w:color w:val="000000" w:themeColor="text1"/>
          <w:sz w:val="24"/>
          <w:szCs w:val="24"/>
          <w14:textFill>
            <w14:solidFill>
              <w14:schemeClr w14:val="tx1"/>
            </w14:solidFill>
          </w14:textFill>
        </w:rPr>
        <w:t>4</w:t>
      </w:r>
      <w:r>
        <w:rPr>
          <w:rFonts w:ascii="Times New Roman" w:hAnsiTheme="minorEastAsia" w:eastAsiaTheme="minorEastAsia"/>
          <w:color w:val="000000" w:themeColor="text1"/>
          <w:sz w:val="24"/>
          <w:szCs w:val="24"/>
          <w14:textFill>
            <w14:solidFill>
              <w14:schemeClr w14:val="tx1"/>
            </w14:solidFill>
          </w14:textFill>
        </w:rPr>
        <w:t>。</w:t>
      </w:r>
    </w:p>
    <w:p>
      <w:pPr>
        <w:pStyle w:val="262"/>
        <w:adjustRightInd w:val="0"/>
        <w:snapToGrid w:val="0"/>
        <w:spacing w:line="520" w:lineRule="exact"/>
        <w:ind w:firstLine="0"/>
        <w:jc w:val="center"/>
        <w:rPr>
          <w:rFonts w:ascii="Times New Roman" w:hAnsi="Times New Roman" w:eastAsiaTheme="minorEastAsia"/>
          <w:b/>
          <w:bCs w:val="0"/>
          <w:color w:val="000000" w:themeColor="text1"/>
          <w:sz w:val="24"/>
          <w:szCs w:val="24"/>
          <w:lang w:val="zh-CN"/>
          <w14:textFill>
            <w14:solidFill>
              <w14:schemeClr w14:val="tx1"/>
            </w14:solidFill>
          </w14:textFill>
        </w:rPr>
      </w:pPr>
      <w:r>
        <w:rPr>
          <w:rFonts w:ascii="Times New Roman" w:hAnsiTheme="minorEastAsia" w:eastAsiaTheme="minorEastAsia"/>
          <w:b/>
          <w:bCs w:val="0"/>
          <w:color w:val="000000" w:themeColor="text1"/>
          <w:sz w:val="24"/>
          <w:szCs w:val="24"/>
          <w:lang w:val="zh-CN"/>
          <w14:textFill>
            <w14:solidFill>
              <w14:schemeClr w14:val="tx1"/>
            </w14:solidFill>
          </w14:textFill>
        </w:rPr>
        <w:t>表</w:t>
      </w:r>
      <w:r>
        <w:rPr>
          <w:rFonts w:hint="eastAsia" w:ascii="Times New Roman" w:hAnsiTheme="minorEastAsia" w:eastAsiaTheme="minorEastAsia"/>
          <w:b/>
          <w:bCs w:val="0"/>
          <w:color w:val="000000" w:themeColor="text1"/>
          <w:sz w:val="24"/>
          <w:szCs w:val="24"/>
          <w:lang w:val="en-US" w:eastAsia="zh-CN"/>
          <w14:textFill>
            <w14:solidFill>
              <w14:schemeClr w14:val="tx1"/>
            </w14:solidFill>
          </w14:textFill>
        </w:rPr>
        <w:t>2.8</w:t>
      </w:r>
      <w:r>
        <w:rPr>
          <w:rFonts w:ascii="Times New Roman" w:hAnsiTheme="minorEastAsia" w:eastAsiaTheme="minorEastAsia"/>
          <w:b/>
          <w:bCs w:val="0"/>
          <w:color w:val="000000" w:themeColor="text1"/>
          <w:sz w:val="24"/>
          <w:szCs w:val="24"/>
          <w:lang w:val="zh-CN"/>
          <w14:textFill>
            <w14:solidFill>
              <w14:schemeClr w14:val="tx1"/>
            </w14:solidFill>
          </w14:textFill>
        </w:rPr>
        <w:t>-</w:t>
      </w:r>
      <w:r>
        <w:rPr>
          <w:rFonts w:hint="eastAsia" w:ascii="Times New Roman" w:hAnsiTheme="minorEastAsia" w:eastAsiaTheme="minorEastAsia"/>
          <w:b/>
          <w:bCs w:val="0"/>
          <w:color w:val="000000" w:themeColor="text1"/>
          <w:sz w:val="24"/>
          <w:szCs w:val="24"/>
          <w:lang w:val="zh-CN"/>
          <w14:textFill>
            <w14:solidFill>
              <w14:schemeClr w14:val="tx1"/>
            </w14:solidFill>
          </w14:textFill>
        </w:rPr>
        <w:t>4</w:t>
      </w:r>
      <w:r>
        <w:rPr>
          <w:rFonts w:ascii="Times New Roman" w:hAnsiTheme="minorEastAsia" w:eastAsiaTheme="minorEastAsia"/>
          <w:b/>
          <w:bCs w:val="0"/>
          <w:color w:val="000000" w:themeColor="text1"/>
          <w:sz w:val="24"/>
          <w:szCs w:val="24"/>
          <w:lang w:val="zh-CN"/>
          <w14:textFill>
            <w14:solidFill>
              <w14:schemeClr w14:val="tx1"/>
            </w14:solidFill>
          </w14:textFill>
        </w:rPr>
        <w:t xml:space="preserve"> </w:t>
      </w:r>
      <w:r>
        <w:rPr>
          <w:rFonts w:ascii="Times New Roman" w:hAnsi="Times New Roman" w:eastAsiaTheme="minorEastAsia"/>
          <w:b/>
          <w:bCs w:val="0"/>
          <w:color w:val="000000" w:themeColor="text1"/>
          <w:sz w:val="24"/>
          <w:szCs w:val="24"/>
          <w:lang w:val="zh-CN"/>
          <w14:textFill>
            <w14:solidFill>
              <w14:schemeClr w14:val="tx1"/>
            </w14:solidFill>
          </w14:textFill>
        </w:rPr>
        <w:t xml:space="preserve">  </w:t>
      </w:r>
      <w:r>
        <w:rPr>
          <w:rFonts w:ascii="Times New Roman" w:hAnsiTheme="minorEastAsia" w:eastAsiaTheme="minorEastAsia"/>
          <w:b/>
          <w:bCs w:val="0"/>
          <w:color w:val="000000" w:themeColor="text1"/>
          <w:sz w:val="24"/>
          <w:szCs w:val="24"/>
          <w:lang w:val="zh-CN"/>
          <w14:textFill>
            <w14:solidFill>
              <w14:schemeClr w14:val="tx1"/>
            </w14:solidFill>
          </w14:textFill>
        </w:rPr>
        <w:t>声环境质量标准一览表</w:t>
      </w:r>
      <w:r>
        <w:rPr>
          <w:rFonts w:hint="eastAsia" w:ascii="Times New Roman" w:hAnsi="Times New Roman" w:eastAsiaTheme="minorEastAsia"/>
          <w:b/>
          <w:bCs w:val="0"/>
          <w:color w:val="000000" w:themeColor="text1"/>
          <w:sz w:val="24"/>
          <w:szCs w:val="24"/>
          <w:lang w:val="zh-CN"/>
          <w14:textFill>
            <w14:solidFill>
              <w14:schemeClr w14:val="tx1"/>
            </w14:solidFill>
          </w14:textFill>
        </w:rPr>
        <w:t>（</w:t>
      </w:r>
      <w:r>
        <w:rPr>
          <w:rFonts w:ascii="Times New Roman" w:hAnsiTheme="minorEastAsia" w:eastAsiaTheme="minorEastAsia"/>
          <w:b/>
          <w:bCs w:val="0"/>
          <w:color w:val="000000" w:themeColor="text1"/>
          <w:sz w:val="24"/>
          <w:szCs w:val="24"/>
          <w:lang w:val="zh-CN"/>
          <w14:textFill>
            <w14:solidFill>
              <w14:schemeClr w14:val="tx1"/>
            </w14:solidFill>
          </w14:textFill>
        </w:rPr>
        <w:t>单位：</w:t>
      </w:r>
      <w:r>
        <w:rPr>
          <w:rFonts w:ascii="Times New Roman" w:hAnsi="Times New Roman" w:eastAsiaTheme="minorEastAsia"/>
          <w:b/>
          <w:bCs w:val="0"/>
          <w:color w:val="000000" w:themeColor="text1"/>
          <w:sz w:val="24"/>
          <w:szCs w:val="24"/>
          <w:lang w:val="zh-CN"/>
          <w14:textFill>
            <w14:solidFill>
              <w14:schemeClr w14:val="tx1"/>
            </w14:solidFill>
          </w14:textFill>
        </w:rPr>
        <w:t>dB(A)</w:t>
      </w:r>
      <w:r>
        <w:rPr>
          <w:rFonts w:hint="eastAsia" w:ascii="Times New Roman" w:hAnsi="Times New Roman" w:eastAsiaTheme="minorEastAsia"/>
          <w:b/>
          <w:bCs w:val="0"/>
          <w:color w:val="000000" w:themeColor="text1"/>
          <w:sz w:val="24"/>
          <w:szCs w:val="24"/>
          <w:lang w:val="zh-CN"/>
          <w14:textFill>
            <w14:solidFill>
              <w14:schemeClr w14:val="tx1"/>
            </w14:solidFill>
          </w14:textFill>
        </w:rPr>
        <w:t>）</w:t>
      </w:r>
    </w:p>
    <w:tbl>
      <w:tblPr>
        <w:tblStyle w:val="87"/>
        <w:tblW w:w="901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76"/>
        <w:gridCol w:w="2339"/>
        <w:gridCol w:w="2340"/>
        <w:gridCol w:w="225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76" w:type="dxa"/>
            <w:vAlign w:val="center"/>
          </w:tcPr>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ascii="Times New Roman" w:hAnsiTheme="minorEastAsia" w:eastAsiaTheme="minorEastAsia"/>
                <w:bCs w:val="0"/>
                <w:color w:val="000000" w:themeColor="text1"/>
                <w:sz w:val="21"/>
                <w:szCs w:val="21"/>
                <w14:textFill>
                  <w14:solidFill>
                    <w14:schemeClr w14:val="tx1"/>
                  </w14:solidFill>
                </w14:textFill>
              </w:rPr>
              <w:t>方位</w:t>
            </w:r>
          </w:p>
        </w:tc>
        <w:tc>
          <w:tcPr>
            <w:tcW w:w="2339" w:type="dxa"/>
            <w:vAlign w:val="center"/>
          </w:tcPr>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ascii="Times New Roman" w:hAnsiTheme="minorEastAsia" w:eastAsiaTheme="minorEastAsia"/>
                <w:bCs w:val="0"/>
                <w:color w:val="000000" w:themeColor="text1"/>
                <w:sz w:val="21"/>
                <w:szCs w:val="21"/>
                <w14:textFill>
                  <w14:solidFill>
                    <w14:schemeClr w14:val="tx1"/>
                  </w14:solidFill>
                </w14:textFill>
              </w:rPr>
              <w:t>标准</w:t>
            </w:r>
          </w:p>
        </w:tc>
        <w:tc>
          <w:tcPr>
            <w:tcW w:w="2340" w:type="dxa"/>
            <w:vAlign w:val="center"/>
          </w:tcPr>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ascii="Times New Roman" w:hAnsiTheme="minorEastAsia" w:eastAsiaTheme="minorEastAsia"/>
                <w:bCs w:val="0"/>
                <w:color w:val="000000" w:themeColor="text1"/>
                <w:sz w:val="21"/>
                <w:szCs w:val="21"/>
                <w14:textFill>
                  <w14:solidFill>
                    <w14:schemeClr w14:val="tx1"/>
                  </w14:solidFill>
                </w14:textFill>
              </w:rPr>
              <w:t>昼间</w:t>
            </w:r>
          </w:p>
        </w:tc>
        <w:tc>
          <w:tcPr>
            <w:tcW w:w="2258" w:type="dxa"/>
            <w:vAlign w:val="center"/>
          </w:tcPr>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ascii="Times New Roman" w:hAnsiTheme="minorEastAsia" w:eastAsiaTheme="minorEastAsia"/>
                <w:bCs w:val="0"/>
                <w:color w:val="000000" w:themeColor="text1"/>
                <w:sz w:val="21"/>
                <w:szCs w:val="21"/>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76"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heme="minorEastAsia" w:eastAsiaTheme="minorEastAsia"/>
                <w:color w:val="000000" w:themeColor="text1"/>
                <w:sz w:val="21"/>
                <w:szCs w:val="21"/>
                <w14:textFill>
                  <w14:solidFill>
                    <w14:schemeClr w14:val="tx1"/>
                  </w14:solidFill>
                </w14:textFill>
              </w:rPr>
              <w:t>厂界</w:t>
            </w:r>
          </w:p>
        </w:tc>
        <w:tc>
          <w:tcPr>
            <w:tcW w:w="2339"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《声环境质量标准》(GB3096-2008)3</w:t>
            </w:r>
            <w:r>
              <w:rPr>
                <w:rFonts w:ascii="Times New Roman" w:hAnsiTheme="minorEastAsia" w:eastAsiaTheme="minorEastAsia"/>
                <w:color w:val="000000" w:themeColor="text1"/>
                <w:sz w:val="21"/>
                <w:szCs w:val="21"/>
                <w14:textFill>
                  <w14:solidFill>
                    <w14:schemeClr w14:val="tx1"/>
                  </w14:solidFill>
                </w14:textFill>
              </w:rPr>
              <w:t>类</w:t>
            </w:r>
          </w:p>
        </w:tc>
        <w:tc>
          <w:tcPr>
            <w:tcW w:w="2340"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65</w:t>
            </w:r>
          </w:p>
        </w:tc>
        <w:tc>
          <w:tcPr>
            <w:tcW w:w="2258"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55</w:t>
            </w:r>
          </w:p>
        </w:tc>
      </w:tr>
    </w:tbl>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2.8.1.5</w:t>
      </w:r>
      <w:r>
        <w:rPr>
          <w:rFonts w:hint="eastAsia" w:ascii="黑体" w:hAnsi="黑体" w:eastAsia="黑体"/>
          <w:b/>
          <w:color w:val="000000" w:themeColor="text1"/>
          <w:sz w:val="24"/>
          <w:szCs w:val="24"/>
          <w14:textFill>
            <w14:solidFill>
              <w14:schemeClr w14:val="tx1"/>
            </w14:solidFill>
          </w14:textFill>
        </w:rPr>
        <w:t>土壤环境</w:t>
      </w:r>
    </w:p>
    <w:p>
      <w:pPr>
        <w:pStyle w:val="262"/>
        <w:adjustRightInd w:val="0"/>
        <w:snapToGrid w:val="0"/>
        <w:spacing w:line="520" w:lineRule="exact"/>
        <w:ind w:firstLine="48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项目所在区域土壤环境执行《土壤环境质量建设用地土壤污染风险管控标准（试行）》（GB36600-2018）。</w:t>
      </w:r>
    </w:p>
    <w:p>
      <w:pPr>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ascii="Times New Roman" w:hAnsi="Times New Roman" w:cs="Times New Roman"/>
          <w:b/>
          <w:bCs/>
          <w:color w:val="000000" w:themeColor="text1"/>
          <w:sz w:val="24"/>
          <w:szCs w:val="24"/>
          <w:lang w:val="en-US" w:eastAsia="zh-CN"/>
          <w14:textFill>
            <w14:solidFill>
              <w14:schemeClr w14:val="tx1"/>
            </w14:solidFill>
          </w14:textFill>
        </w:rPr>
        <w:t>2.8</w:t>
      </w:r>
      <w:r>
        <w:rPr>
          <w:rFonts w:hint="default" w:ascii="Times New Roman" w:hAnsi="Times New Roman" w:cs="Times New Roman"/>
          <w:b/>
          <w:bCs/>
          <w:color w:val="000000" w:themeColor="text1"/>
          <w:sz w:val="24"/>
          <w:szCs w:val="24"/>
          <w14:textFill>
            <w14:solidFill>
              <w14:schemeClr w14:val="tx1"/>
            </w14:solidFill>
          </w14:textFill>
        </w:rPr>
        <w:t>-5  建设用地土壤污染风险管控标准（基本项目;第二类用地）</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3"/>
        <w:gridCol w:w="2059"/>
        <w:gridCol w:w="2059"/>
        <w:gridCol w:w="2059"/>
        <w:gridCol w:w="20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序号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项目</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筛选值（</w:t>
            </w:r>
            <w:r>
              <w:rPr>
                <w:rFonts w:ascii="Times New Roman" w:hAnsi="Times New Roman"/>
                <w:color w:val="000000" w:themeColor="text1"/>
                <w:sz w:val="18"/>
                <w:szCs w:val="18"/>
                <w14:textFill>
                  <w14:solidFill>
                    <w14:schemeClr w14:val="tx1"/>
                  </w14:solidFill>
                </w14:textFill>
              </w:rPr>
              <w:t>mg/kg</w:t>
            </w:r>
            <w:r>
              <w:rPr>
                <w:rFonts w:ascii="Times New Roman" w:hAnsi="宋体"/>
                <w:color w:val="000000" w:themeColor="text1"/>
                <w:sz w:val="18"/>
                <w:szCs w:val="18"/>
                <w14:textFill>
                  <w14:solidFill>
                    <w14:schemeClr w14:val="tx1"/>
                  </w14:solidFill>
                </w14:textFill>
              </w:rPr>
              <w:t>）</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管制值（</w:t>
            </w:r>
            <w:r>
              <w:rPr>
                <w:rFonts w:ascii="Times New Roman" w:hAnsi="Times New Roman"/>
                <w:color w:val="000000" w:themeColor="text1"/>
                <w:sz w:val="18"/>
                <w:szCs w:val="18"/>
                <w14:textFill>
                  <w14:solidFill>
                    <w14:schemeClr w14:val="tx1"/>
                  </w14:solidFill>
                </w14:textFill>
              </w:rPr>
              <w:t>mg/kg</w:t>
            </w:r>
            <w:r>
              <w:rPr>
                <w:rFonts w:ascii="Times New Roman" w:hAnsi="宋体"/>
                <w:color w:val="000000" w:themeColor="text1"/>
                <w:sz w:val="18"/>
                <w:szCs w:val="18"/>
                <w14:textFill>
                  <w14:solidFill>
                    <w14:schemeClr w14:val="tx1"/>
                  </w14:solidFill>
                </w14:textFill>
              </w:rPr>
              <w:t>）</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0" w:type="dxa"/>
            <w:gridSpan w:val="4"/>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重金属和无机物</w:t>
            </w:r>
          </w:p>
        </w:tc>
        <w:tc>
          <w:tcPr>
            <w:tcW w:w="2059"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《土壤环境质量</w:t>
            </w:r>
            <w:r>
              <w:rPr>
                <w:rFonts w:ascii="Times New Roman" w:hAnsi="Times New Roman"/>
                <w:color w:val="000000" w:themeColor="text1"/>
                <w:sz w:val="18"/>
                <w:szCs w:val="18"/>
                <w14:textFill>
                  <w14:solidFill>
                    <w14:schemeClr w14:val="tx1"/>
                  </w14:solidFill>
                </w14:textFill>
              </w:rPr>
              <w:t xml:space="preserve"> </w:t>
            </w:r>
            <w:r>
              <w:rPr>
                <w:rFonts w:ascii="Times New Roman" w:hAnsi="宋体"/>
                <w:color w:val="000000" w:themeColor="text1"/>
                <w:sz w:val="18"/>
                <w:szCs w:val="18"/>
                <w14:textFill>
                  <w14:solidFill>
                    <w14:schemeClr w14:val="tx1"/>
                  </w14:solidFill>
                </w14:textFill>
              </w:rPr>
              <w:t>建设用地土壤污染风险管控标准（试行）》（</w:t>
            </w:r>
            <w:r>
              <w:rPr>
                <w:rFonts w:ascii="Times New Roman" w:hAnsi="Times New Roman"/>
                <w:color w:val="000000" w:themeColor="text1"/>
                <w:sz w:val="18"/>
                <w:szCs w:val="18"/>
                <w14:textFill>
                  <w14:solidFill>
                    <w14:schemeClr w14:val="tx1"/>
                  </w14:solidFill>
                </w14:textFill>
              </w:rPr>
              <w:t>GB36600-2018 </w:t>
            </w:r>
            <w:r>
              <w:rPr>
                <w:rFonts w:ascii="Times New Roman" w:hAnsi="宋体"/>
                <w:color w:val="000000" w:themeColor="text1"/>
                <w:sz w:val="18"/>
                <w:szCs w:val="18"/>
                <w14:textFill>
                  <w14:solidFill>
                    <w14:schemeClr w14:val="tx1"/>
                  </w14:solidFill>
                </w14:textFill>
              </w:rPr>
              <w:t>）第二类用地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镉</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172</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铬</w:t>
            </w:r>
            <w:r>
              <w:rPr>
                <w:rFonts w:ascii="Times New Roman" w:hAnsi="Times New Roman"/>
                <w:color w:val="000000" w:themeColor="text1"/>
                <w:sz w:val="18"/>
                <w:szCs w:val="18"/>
                <w14:textFill>
                  <w14:solidFill>
                    <w14:schemeClr w14:val="tx1"/>
                  </w14:solidFill>
                </w14:textFill>
              </w:rPr>
              <w:t xml:space="preserve"> </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5.7</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78</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铜</w:t>
            </w:r>
            <w:r>
              <w:rPr>
                <w:rFonts w:ascii="Times New Roman" w:hAnsi="Times New Roman"/>
                <w:color w:val="000000" w:themeColor="text1"/>
                <w:sz w:val="18"/>
                <w:szCs w:val="18"/>
                <w14:textFill>
                  <w14:solidFill>
                    <w14:schemeClr w14:val="tx1"/>
                  </w14:solidFill>
                </w14:textFill>
              </w:rPr>
              <w:t xml:space="preserve"> </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36000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铅</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汞</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82</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镍</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0" w:type="dxa"/>
            <w:gridSpan w:val="4"/>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挥发性有机物</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四氯化碳</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36</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氯仿</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0.9</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氯甲烷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37</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w:t>
            </w:r>
            <w:r>
              <w:rPr>
                <w:rFonts w:ascii="Times New Roman" w:hAnsi="宋体"/>
                <w:color w:val="000000" w:themeColor="text1"/>
                <w:sz w:val="18"/>
                <w:szCs w:val="18"/>
                <w14:textFill>
                  <w14:solidFill>
                    <w14:schemeClr w14:val="tx1"/>
                  </w14:solidFill>
                </w14:textFill>
              </w:rPr>
              <w:t>二氯乙烷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w:t>
            </w:r>
            <w:r>
              <w:rPr>
                <w:rFonts w:ascii="Times New Roman" w:hAnsi="宋体"/>
                <w:color w:val="000000" w:themeColor="text1"/>
                <w:sz w:val="18"/>
                <w:szCs w:val="18"/>
                <w14:textFill>
                  <w14:solidFill>
                    <w14:schemeClr w14:val="tx1"/>
                  </w14:solidFill>
                </w14:textFill>
              </w:rPr>
              <w:t>二氯乙烯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顺</w:t>
            </w: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二氯乙烯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596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反</w:t>
            </w: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二氯乙烯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54</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163</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二氯甲烷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616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17</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47</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1,1,1,2-</w:t>
            </w:r>
            <w:r>
              <w:rPr>
                <w:rFonts w:ascii="Times New Roman" w:hAnsi="宋体"/>
                <w:color w:val="000000" w:themeColor="text1"/>
                <w:sz w:val="18"/>
                <w:szCs w:val="18"/>
                <w14:textFill>
                  <w14:solidFill>
                    <w14:schemeClr w14:val="tx1"/>
                  </w14:solidFill>
                </w14:textFill>
              </w:rPr>
              <w:t>四氯乙烷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19</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1,1,2,2-</w:t>
            </w:r>
            <w:r>
              <w:rPr>
                <w:rFonts w:ascii="Times New Roman" w:hAnsi="宋体"/>
                <w:color w:val="000000" w:themeColor="text1"/>
                <w:sz w:val="18"/>
                <w:szCs w:val="18"/>
                <w14:textFill>
                  <w14:solidFill>
                    <w14:schemeClr w14:val="tx1"/>
                  </w14:solidFill>
                </w14:textFill>
              </w:rPr>
              <w:t>四氯乙烷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四氯乙烯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183</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1,1,1-</w:t>
            </w:r>
            <w:r>
              <w:rPr>
                <w:rFonts w:ascii="Times New Roman" w:hAnsi="宋体"/>
                <w:color w:val="000000" w:themeColor="text1"/>
                <w:sz w:val="18"/>
                <w:szCs w:val="18"/>
                <w14:textFill>
                  <w14:solidFill>
                    <w14:schemeClr w14:val="tx1"/>
                  </w14:solidFill>
                </w14:textFill>
              </w:rPr>
              <w:t>三氯乙烷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840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840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22</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1,1,2-</w:t>
            </w:r>
            <w:r>
              <w:rPr>
                <w:rFonts w:ascii="Times New Roman" w:hAnsi="宋体"/>
                <w:color w:val="000000" w:themeColor="text1"/>
                <w:sz w:val="18"/>
                <w:szCs w:val="18"/>
                <w14:textFill>
                  <w14:solidFill>
                    <w14:schemeClr w14:val="tx1"/>
                  </w14:solidFill>
                </w14:textFill>
              </w:rPr>
              <w:t>三氯乙烷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三氯乙烯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24</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1,2,3-</w:t>
            </w:r>
            <w:r>
              <w:rPr>
                <w:rFonts w:ascii="Times New Roman" w:hAnsi="宋体"/>
                <w:color w:val="000000" w:themeColor="text1"/>
                <w:sz w:val="18"/>
                <w:szCs w:val="18"/>
                <w14:textFill>
                  <w14:solidFill>
                    <w14:schemeClr w14:val="tx1"/>
                  </w14:solidFill>
                </w14:textFill>
              </w:rPr>
              <w:t>三氯丙烷</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氯乙烯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4.3</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27</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氯苯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270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w:t>
            </w:r>
            <w:r>
              <w:rPr>
                <w:rFonts w:ascii="Times New Roman" w:hAnsi="宋体"/>
                <w:color w:val="000000" w:themeColor="text1"/>
                <w:sz w:val="18"/>
                <w:szCs w:val="18"/>
                <w14:textFill>
                  <w14:solidFill>
                    <w14:schemeClr w14:val="tx1"/>
                  </w14:solidFill>
                </w14:textFill>
              </w:rPr>
              <w:t>二氯苯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560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560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29</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w:t>
            </w:r>
            <w:r>
              <w:rPr>
                <w:rFonts w:ascii="Times New Roman" w:hAnsi="宋体"/>
                <w:color w:val="000000" w:themeColor="text1"/>
                <w:sz w:val="18"/>
                <w:szCs w:val="18"/>
                <w14:textFill>
                  <w14:solidFill>
                    <w14:schemeClr w14:val="tx1"/>
                  </w14:solidFill>
                </w14:textFill>
              </w:rPr>
              <w:t>二氯苯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乙苯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31</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苯乙烯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1290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1290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32</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甲苯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间二甲苯</w:t>
            </w:r>
            <w:r>
              <w:rPr>
                <w:rFonts w:ascii="Times New Roman" w:hAnsi="Times New Roman"/>
                <w:color w:val="000000" w:themeColor="text1"/>
                <w:sz w:val="18"/>
                <w:szCs w:val="18"/>
                <w14:textFill>
                  <w14:solidFill>
                    <w14:schemeClr w14:val="tx1"/>
                  </w14:solidFill>
                </w14:textFill>
              </w:rPr>
              <w:t>+</w:t>
            </w:r>
            <w:r>
              <w:rPr>
                <w:rFonts w:ascii="Times New Roman" w:hAnsi="宋体"/>
                <w:color w:val="000000" w:themeColor="text1"/>
                <w:sz w:val="18"/>
                <w:szCs w:val="18"/>
                <w14:textFill>
                  <w14:solidFill>
                    <w14:schemeClr w14:val="tx1"/>
                  </w14:solidFill>
                </w14:textFill>
              </w:rPr>
              <w:t>对二甲苯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570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570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34</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邻二甲苯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640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640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00" w:type="dxa"/>
            <w:gridSpan w:val="4"/>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半挥发性有机物</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硝基苯</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760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苯胺</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260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663</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37</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r>
              <w:rPr>
                <w:rFonts w:ascii="Times New Roman" w:hAnsi="宋体"/>
                <w:color w:val="000000" w:themeColor="text1"/>
                <w:sz w:val="18"/>
                <w:szCs w:val="18"/>
                <w14:textFill>
                  <w14:solidFill>
                    <w14:schemeClr w14:val="tx1"/>
                  </w14:solidFill>
                </w14:textFill>
              </w:rPr>
              <w:t>氯酚</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2256</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38</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苯并</w:t>
            </w:r>
            <w:r>
              <w:rPr>
                <w:rFonts w:ascii="Times New Roman" w:hAnsi="Times New Roman"/>
                <w:color w:val="000000" w:themeColor="text1"/>
                <w:sz w:val="18"/>
                <w:szCs w:val="18"/>
                <w14:textFill>
                  <w14:solidFill>
                    <w14:schemeClr w14:val="tx1"/>
                  </w14:solidFill>
                </w14:textFill>
              </w:rPr>
              <w:t>[a]</w:t>
            </w:r>
            <w:r>
              <w:rPr>
                <w:rFonts w:ascii="Times New Roman" w:hAnsi="宋体"/>
                <w:color w:val="000000" w:themeColor="text1"/>
                <w:sz w:val="18"/>
                <w:szCs w:val="18"/>
                <w14:textFill>
                  <w14:solidFill>
                    <w14:schemeClr w14:val="tx1"/>
                  </w14:solidFill>
                </w14:textFill>
              </w:rPr>
              <w:t>蒽</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151</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39</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苯并</w:t>
            </w:r>
            <w:r>
              <w:rPr>
                <w:rFonts w:ascii="Times New Roman" w:hAnsi="Times New Roman"/>
                <w:color w:val="000000" w:themeColor="text1"/>
                <w:sz w:val="18"/>
                <w:szCs w:val="18"/>
                <w14:textFill>
                  <w14:solidFill>
                    <w14:schemeClr w14:val="tx1"/>
                  </w14:solidFill>
                </w14:textFill>
              </w:rPr>
              <w:t>[a]</w:t>
            </w:r>
            <w:r>
              <w:rPr>
                <w:rFonts w:ascii="Times New Roman" w:hAnsi="宋体"/>
                <w:color w:val="000000" w:themeColor="text1"/>
                <w:sz w:val="18"/>
                <w:szCs w:val="18"/>
                <w14:textFill>
                  <w14:solidFill>
                    <w14:schemeClr w14:val="tx1"/>
                  </w14:solidFill>
                </w14:textFill>
              </w:rPr>
              <w:t>芘</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苯并</w:t>
            </w:r>
            <w:r>
              <w:rPr>
                <w:rFonts w:ascii="Times New Roman" w:hAnsi="Times New Roman"/>
                <w:color w:val="000000" w:themeColor="text1"/>
                <w:sz w:val="18"/>
                <w:szCs w:val="18"/>
                <w14:textFill>
                  <w14:solidFill>
                    <w14:schemeClr w14:val="tx1"/>
                  </w14:solidFill>
                </w14:textFill>
              </w:rPr>
              <w:t>[b]</w:t>
            </w:r>
            <w:r>
              <w:rPr>
                <w:rFonts w:ascii="Times New Roman" w:hAnsi="宋体"/>
                <w:color w:val="000000" w:themeColor="text1"/>
                <w:sz w:val="18"/>
                <w:szCs w:val="18"/>
                <w14:textFill>
                  <w14:solidFill>
                    <w14:schemeClr w14:val="tx1"/>
                  </w14:solidFill>
                </w14:textFill>
              </w:rPr>
              <w:t>荧蒽</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151</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41</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苯并</w:t>
            </w:r>
            <w:r>
              <w:rPr>
                <w:rFonts w:ascii="Times New Roman" w:hAnsi="Times New Roman"/>
                <w:color w:val="000000" w:themeColor="text1"/>
                <w:sz w:val="18"/>
                <w:szCs w:val="18"/>
                <w14:textFill>
                  <w14:solidFill>
                    <w14:schemeClr w14:val="tx1"/>
                  </w14:solidFill>
                </w14:textFill>
              </w:rPr>
              <w:t>[k]</w:t>
            </w:r>
            <w:r>
              <w:rPr>
                <w:rFonts w:ascii="Times New Roman" w:hAnsi="宋体"/>
                <w:color w:val="000000" w:themeColor="text1"/>
                <w:sz w:val="18"/>
                <w:szCs w:val="18"/>
                <w14:textFill>
                  <w14:solidFill>
                    <w14:schemeClr w14:val="tx1"/>
                  </w14:solidFill>
                </w14:textFill>
              </w:rPr>
              <w:t>荧蒽</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151</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42</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䓛</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1293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12900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43</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二苯并</w:t>
            </w:r>
            <w:r>
              <w:rPr>
                <w:rFonts w:ascii="Times New Roman" w:hAnsi="Times New Roman"/>
                <w:color w:val="000000" w:themeColor="text1"/>
                <w:sz w:val="18"/>
                <w:szCs w:val="18"/>
                <w14:textFill>
                  <w14:solidFill>
                    <w14:schemeClr w14:val="tx1"/>
                  </w14:solidFill>
                </w14:textFill>
              </w:rPr>
              <w:t>[a, h]</w:t>
            </w:r>
            <w:r>
              <w:rPr>
                <w:rFonts w:ascii="Times New Roman" w:hAnsi="宋体"/>
                <w:color w:val="000000" w:themeColor="text1"/>
                <w:sz w:val="18"/>
                <w:szCs w:val="18"/>
                <w14:textFill>
                  <w14:solidFill>
                    <w14:schemeClr w14:val="tx1"/>
                  </w14:solidFill>
                </w14:textFill>
              </w:rPr>
              <w:t>蒽</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44</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茚并</w:t>
            </w:r>
            <w:r>
              <w:rPr>
                <w:rFonts w:ascii="Times New Roman" w:hAnsi="Times New Roman"/>
                <w:color w:val="000000" w:themeColor="text1"/>
                <w:sz w:val="18"/>
                <w:szCs w:val="18"/>
                <w14:textFill>
                  <w14:solidFill>
                    <w14:schemeClr w14:val="tx1"/>
                  </w14:solidFill>
                </w14:textFill>
              </w:rPr>
              <w:t>[1,2,3-cd]</w:t>
            </w:r>
            <w:r>
              <w:rPr>
                <w:rFonts w:ascii="Times New Roman" w:hAnsi="宋体"/>
                <w:color w:val="000000" w:themeColor="text1"/>
                <w:sz w:val="18"/>
                <w:szCs w:val="18"/>
                <w14:textFill>
                  <w14:solidFill>
                    <w14:schemeClr w14:val="tx1"/>
                  </w14:solidFill>
                </w14:textFill>
              </w:rPr>
              <w:t>芘</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151</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萘</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w:t>
            </w:r>
          </w:p>
        </w:tc>
        <w:tc>
          <w:tcPr>
            <w:tcW w:w="205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2059" w:type="dxa"/>
            <w:vMerge w:val="continue"/>
            <w:vAlign w:val="center"/>
          </w:tcPr>
          <w:p>
            <w:pPr>
              <w:rPr>
                <w:rFonts w:ascii="Times New Roman" w:hAnsi="Times New Roman"/>
                <w:color w:val="000000" w:themeColor="text1"/>
                <w:sz w:val="18"/>
                <w:szCs w:val="18"/>
                <w14:textFill>
                  <w14:solidFill>
                    <w14:schemeClr w14:val="tx1"/>
                  </w14:solidFill>
                </w14:textFill>
              </w:rPr>
            </w:pPr>
          </w:p>
        </w:tc>
      </w:tr>
    </w:tbl>
    <w:p>
      <w:pPr>
        <w:pStyle w:val="23"/>
        <w:numPr>
          <w:ilvl w:val="0"/>
          <w:numId w:val="0"/>
        </w:numPr>
        <w:adjustRightInd w:val="0"/>
        <w:snapToGrid w:val="0"/>
        <w:spacing w:before="48" w:beforeLines="20" w:after="4" w:line="520" w:lineRule="exact"/>
        <w:ind w:leftChars="0"/>
        <w:jc w:val="left"/>
        <w:outlineLvl w:val="4"/>
        <w:rPr>
          <w:rFonts w:ascii="黑体" w:hAnsi="黑体" w:eastAsia="黑体" w:cs="Times New Roman"/>
          <w:b/>
          <w:color w:val="000000" w:themeColor="text1"/>
          <w:szCs w:val="28"/>
          <w14:textFill>
            <w14:solidFill>
              <w14:schemeClr w14:val="tx1"/>
            </w14:solidFill>
          </w14:textFill>
        </w:rPr>
      </w:pPr>
      <w:r>
        <w:rPr>
          <w:rFonts w:hint="default" w:ascii="Times New Roman" w:hAnsi="Times New Roman" w:eastAsia="黑体" w:cs="Times New Roman"/>
          <w:b/>
          <w:color w:val="000000" w:themeColor="text1"/>
          <w:szCs w:val="28"/>
          <w:lang w:val="en-US" w:eastAsia="zh-CN"/>
          <w14:textFill>
            <w14:solidFill>
              <w14:schemeClr w14:val="tx1"/>
            </w14:solidFill>
          </w14:textFill>
        </w:rPr>
        <w:t>2.8.2</w:t>
      </w:r>
      <w:r>
        <w:rPr>
          <w:rFonts w:ascii="黑体" w:hAnsi="黑体" w:eastAsia="黑体" w:cs="Times New Roman"/>
          <w:b/>
          <w:color w:val="000000" w:themeColor="text1"/>
          <w:szCs w:val="28"/>
          <w14:textFill>
            <w14:solidFill>
              <w14:schemeClr w14:val="tx1"/>
            </w14:solidFill>
          </w14:textFill>
        </w:rPr>
        <w:t>排放标准</w:t>
      </w:r>
    </w:p>
    <w:p>
      <w:pPr>
        <w:pStyle w:val="380"/>
        <w:numPr>
          <w:ilvl w:val="2"/>
          <w:numId w:val="28"/>
        </w:numPr>
        <w:adjustRightInd w:val="0"/>
        <w:snapToGrid w:val="0"/>
        <w:spacing w:line="520" w:lineRule="exact"/>
        <w:ind w:firstLineChars="0"/>
        <w:rPr>
          <w:rFonts w:ascii="黑体" w:hAnsi="黑体" w:eastAsia="黑体"/>
          <w:b/>
          <w:bCs/>
          <w:vanish/>
          <w:color w:val="000000" w:themeColor="text1"/>
          <w:sz w:val="24"/>
          <w:szCs w:val="24"/>
          <w14:textFill>
            <w14:solidFill>
              <w14:schemeClr w14:val="tx1"/>
            </w14:solidFill>
          </w14:textFill>
        </w:rPr>
      </w:pPr>
    </w:p>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2.8.2.1</w:t>
      </w:r>
      <w:r>
        <w:rPr>
          <w:rFonts w:ascii="黑体" w:hAnsi="黑体" w:eastAsia="黑体"/>
          <w:b/>
          <w:color w:val="000000" w:themeColor="text1"/>
          <w:sz w:val="24"/>
          <w:szCs w:val="24"/>
          <w14:textFill>
            <w14:solidFill>
              <w14:schemeClr w14:val="tx1"/>
            </w14:solidFill>
          </w14:textFill>
        </w:rPr>
        <w:t>废气排放标准</w:t>
      </w:r>
    </w:p>
    <w:p>
      <w:pPr>
        <w:pStyle w:val="386"/>
        <w:adjustRightInd w:val="0"/>
        <w:snapToGrid w:val="0"/>
        <w:spacing w:line="520" w:lineRule="exact"/>
        <w:rPr>
          <w:rFonts w:cs="Times New Roman" w:eastAsiaTheme="minorEastAsia"/>
          <w:color w:val="000000" w:themeColor="text1"/>
          <w:sz w:val="24"/>
          <w14:textFill>
            <w14:solidFill>
              <w14:schemeClr w14:val="tx1"/>
            </w14:solidFill>
          </w14:textFill>
        </w:rPr>
      </w:pPr>
      <w:r>
        <w:rPr>
          <w:rFonts w:cs="Times New Roman" w:eastAsiaTheme="minorEastAsia"/>
          <w:color w:val="000000" w:themeColor="text1"/>
          <w:sz w:val="24"/>
          <w14:textFill>
            <w14:solidFill>
              <w14:schemeClr w14:val="tx1"/>
            </w14:solidFill>
          </w14:textFill>
        </w:rPr>
        <w:t>表</w:t>
      </w:r>
      <w:r>
        <w:rPr>
          <w:rFonts w:hint="eastAsia" w:cs="Times New Roman" w:eastAsiaTheme="minorEastAsia"/>
          <w:bCs/>
          <w:color w:val="000000" w:themeColor="text1"/>
          <w:sz w:val="24"/>
          <w:lang w:val="en-US" w:eastAsia="zh-CN"/>
          <w14:textFill>
            <w14:solidFill>
              <w14:schemeClr w14:val="tx1"/>
            </w14:solidFill>
          </w14:textFill>
        </w:rPr>
        <w:t>2.8</w:t>
      </w:r>
      <w:r>
        <w:rPr>
          <w:rFonts w:cs="Times New Roman" w:eastAsiaTheme="minorEastAsia"/>
          <w:bCs/>
          <w:color w:val="000000" w:themeColor="text1"/>
          <w:sz w:val="24"/>
          <w14:textFill>
            <w14:solidFill>
              <w14:schemeClr w14:val="tx1"/>
            </w14:solidFill>
          </w14:textFill>
        </w:rPr>
        <w:t>-6</w:t>
      </w:r>
      <w:r>
        <w:rPr>
          <w:rFonts w:cs="Times New Roman" w:eastAsiaTheme="minorEastAsia"/>
          <w:color w:val="000000" w:themeColor="text1"/>
          <w:sz w:val="24"/>
          <w14:textFill>
            <w14:solidFill>
              <w14:schemeClr w14:val="tx1"/>
            </w14:solidFill>
          </w14:textFill>
        </w:rPr>
        <w:t xml:space="preserve">  项目工艺废气污染物排放标准（单位：mg/m</w:t>
      </w:r>
      <w:r>
        <w:rPr>
          <w:rFonts w:cs="Times New Roman" w:eastAsiaTheme="minorEastAsia"/>
          <w:color w:val="000000" w:themeColor="text1"/>
          <w:sz w:val="24"/>
          <w:vertAlign w:val="superscript"/>
          <w14:textFill>
            <w14:solidFill>
              <w14:schemeClr w14:val="tx1"/>
            </w14:solidFill>
          </w14:textFill>
        </w:rPr>
        <w:t>3</w:t>
      </w:r>
      <w:r>
        <w:rPr>
          <w:rFonts w:cs="Times New Roman" w:eastAsiaTheme="minorEastAsia"/>
          <w:color w:val="000000" w:themeColor="text1"/>
          <w:sz w:val="24"/>
          <w14:textFill>
            <w14:solidFill>
              <w14:schemeClr w14:val="tx1"/>
            </w14:solidFill>
          </w14:textFill>
        </w:rPr>
        <w:t>）</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754"/>
        <w:gridCol w:w="1065"/>
        <w:gridCol w:w="2730"/>
        <w:gridCol w:w="1560"/>
        <w:gridCol w:w="29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754"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分类</w:t>
            </w:r>
          </w:p>
        </w:tc>
        <w:tc>
          <w:tcPr>
            <w:tcW w:w="1065"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污染物</w:t>
            </w:r>
          </w:p>
        </w:tc>
        <w:tc>
          <w:tcPr>
            <w:tcW w:w="273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最高允许排放浓度（mg/m</w:t>
            </w:r>
            <w:r>
              <w:rPr>
                <w:rFonts w:hint="eastAsia" w:ascii="Times New Roman" w:hAnsi="宋体"/>
                <w:color w:val="000000" w:themeColor="text1"/>
                <w:kern w:val="0"/>
                <w:sz w:val="18"/>
                <w:szCs w:val="18"/>
                <w:vertAlign w:val="superscript"/>
                <w14:textFill>
                  <w14:solidFill>
                    <w14:schemeClr w14:val="tx1"/>
                  </w14:solidFill>
                </w14:textFill>
              </w:rPr>
              <w:t>3</w:t>
            </w:r>
            <w:r>
              <w:rPr>
                <w:rFonts w:hint="eastAsia" w:ascii="Times New Roman" w:hAnsi="宋体"/>
                <w:color w:val="000000" w:themeColor="text1"/>
                <w:kern w:val="0"/>
                <w:sz w:val="18"/>
                <w:szCs w:val="18"/>
                <w14:textFill>
                  <w14:solidFill>
                    <w14:schemeClr w14:val="tx1"/>
                  </w14:solidFill>
                </w14:textFill>
              </w:rPr>
              <w:t>）</w:t>
            </w:r>
          </w:p>
        </w:tc>
        <w:tc>
          <w:tcPr>
            <w:tcW w:w="156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最高允许排放速率（kg/h）</w:t>
            </w:r>
          </w:p>
        </w:tc>
        <w:tc>
          <w:tcPr>
            <w:tcW w:w="2986"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4"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有组织</w:t>
            </w:r>
            <w:r>
              <w:rPr>
                <w:rFonts w:hint="eastAsia" w:ascii="Times New Roman" w:hAnsi="宋体"/>
                <w:color w:val="000000" w:themeColor="text1"/>
                <w:kern w:val="0"/>
                <w:sz w:val="18"/>
                <w:szCs w:val="18"/>
                <w14:textFill>
                  <w14:solidFill>
                    <w14:schemeClr w14:val="tx1"/>
                  </w14:solidFill>
                </w14:textFill>
              </w:rPr>
              <w:t>废气</w:t>
            </w:r>
            <w:r>
              <w:rPr>
                <w:rFonts w:ascii="Times New Roman" w:hAnsi="宋体"/>
                <w:color w:val="000000" w:themeColor="text1"/>
                <w:kern w:val="0"/>
                <w:sz w:val="18"/>
                <w:szCs w:val="18"/>
                <w14:textFill>
                  <w14:solidFill>
                    <w14:schemeClr w14:val="tx1"/>
                  </w14:solidFill>
                </w14:textFill>
              </w:rPr>
              <w:t>排放标准</w:t>
            </w:r>
          </w:p>
        </w:tc>
        <w:tc>
          <w:tcPr>
            <w:tcW w:w="1065"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颗粒物</w:t>
            </w:r>
          </w:p>
        </w:tc>
        <w:tc>
          <w:tcPr>
            <w:tcW w:w="27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w:t>
            </w: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w:t>
            </w:r>
          </w:p>
        </w:tc>
        <w:tc>
          <w:tcPr>
            <w:tcW w:w="2986" w:type="dxa"/>
            <w:vMerge w:val="restart"/>
            <w:shd w:val="clear" w:color="auto" w:fill="auto"/>
            <w:vAlign w:val="center"/>
          </w:tcPr>
          <w:p>
            <w:pPr>
              <w:widowControl/>
              <w:jc w:val="center"/>
              <w:rPr>
                <w:rFonts w:hint="eastAsia" w:ascii="Times New Roman" w:hAnsi="宋体" w:eastAsia="宋体"/>
                <w:color w:val="000000" w:themeColor="text1"/>
                <w:kern w:val="0"/>
                <w:sz w:val="18"/>
                <w:szCs w:val="18"/>
                <w:lang w:eastAsia="zh-CN"/>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《无机化学工业污染物排放标准》</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G</w:t>
            </w:r>
            <w:r>
              <w:rPr>
                <w:rFonts w:ascii="Times New Roman" w:hAnsi="宋体"/>
                <w:color w:val="000000" w:themeColor="text1"/>
                <w:kern w:val="0"/>
                <w:sz w:val="18"/>
                <w:szCs w:val="18"/>
                <w14:textFill>
                  <w14:solidFill>
                    <w14:schemeClr w14:val="tx1"/>
                  </w14:solidFill>
                </w14:textFill>
              </w:rPr>
              <w:t>B</w:t>
            </w:r>
            <w:r>
              <w:rPr>
                <w:rFonts w:hint="eastAsia" w:ascii="Times New Roman" w:hAnsi="宋体"/>
                <w:color w:val="000000" w:themeColor="text1"/>
                <w:kern w:val="0"/>
                <w:sz w:val="18"/>
                <w:szCs w:val="18"/>
                <w14:textFill>
                  <w14:solidFill>
                    <w14:schemeClr w14:val="tx1"/>
                  </w14:solidFill>
                </w14:textFill>
              </w:rPr>
              <w:t>31573-</w:t>
            </w:r>
            <w:r>
              <w:rPr>
                <w:rFonts w:ascii="Times New Roman" w:hAnsi="宋体"/>
                <w:color w:val="000000" w:themeColor="text1"/>
                <w:kern w:val="0"/>
                <w:sz w:val="18"/>
                <w:szCs w:val="18"/>
                <w14:textFill>
                  <w14:solidFill>
                    <w14:schemeClr w14:val="tx1"/>
                  </w14:solidFill>
                </w14:textFill>
              </w:rPr>
              <w:t>20</w:t>
            </w:r>
            <w:r>
              <w:rPr>
                <w:rFonts w:hint="eastAsia" w:ascii="Times New Roman" w:hAnsi="宋体"/>
                <w:color w:val="000000" w:themeColor="text1"/>
                <w:kern w:val="0"/>
                <w:sz w:val="18"/>
                <w:szCs w:val="18"/>
                <w14:textFill>
                  <w14:solidFill>
                    <w14:schemeClr w14:val="tx1"/>
                  </w14:solidFill>
                </w14:textFill>
              </w:rPr>
              <w:t>15</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表</w:t>
            </w:r>
            <w:r>
              <w:rPr>
                <w:rFonts w:hint="eastAsia" w:ascii="Times New Roman" w:hAnsi="宋体"/>
                <w:color w:val="000000" w:themeColor="text1"/>
                <w:kern w:val="0"/>
                <w:sz w:val="18"/>
                <w:szCs w:val="18"/>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4" w:type="dxa"/>
            <w:vMerge w:val="continue"/>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p>
        </w:tc>
        <w:tc>
          <w:tcPr>
            <w:tcW w:w="10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氟化物</w:t>
            </w:r>
          </w:p>
        </w:tc>
        <w:tc>
          <w:tcPr>
            <w:tcW w:w="27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3.0</w:t>
            </w: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w:t>
            </w:r>
          </w:p>
        </w:tc>
        <w:tc>
          <w:tcPr>
            <w:tcW w:w="2986" w:type="dxa"/>
            <w:vMerge w:val="continue"/>
            <w:shd w:val="clear" w:color="auto" w:fill="auto"/>
            <w:vAlign w:val="center"/>
          </w:tcPr>
          <w:p>
            <w:pPr>
              <w:widowControl/>
              <w:rPr>
                <w:rFonts w:ascii="Times New Roman" w:hAnsi="Times New Roman"/>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4"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氯化氢</w:t>
            </w:r>
          </w:p>
        </w:tc>
        <w:tc>
          <w:tcPr>
            <w:tcW w:w="27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w:t>
            </w: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w:t>
            </w:r>
          </w:p>
        </w:tc>
        <w:tc>
          <w:tcPr>
            <w:tcW w:w="2986" w:type="dxa"/>
            <w:vMerge w:val="continue"/>
            <w:shd w:val="clear" w:color="auto" w:fill="auto"/>
            <w:vAlign w:val="center"/>
          </w:tcPr>
          <w:p>
            <w:pPr>
              <w:widowControl/>
              <w:rPr>
                <w:rFonts w:ascii="Times New Roman" w:hAnsi="Times New Roman"/>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分类</w:t>
            </w:r>
          </w:p>
        </w:tc>
        <w:tc>
          <w:tcPr>
            <w:tcW w:w="10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污染物</w:t>
            </w:r>
          </w:p>
        </w:tc>
        <w:tc>
          <w:tcPr>
            <w:tcW w:w="27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无组织排放</w:t>
            </w:r>
            <w:r>
              <w:rPr>
                <w:rFonts w:ascii="Times New Roman" w:hAnsi="宋体"/>
                <w:color w:val="000000" w:themeColor="text1"/>
                <w:kern w:val="0"/>
                <w:sz w:val="18"/>
                <w:szCs w:val="18"/>
                <w14:textFill>
                  <w14:solidFill>
                    <w14:schemeClr w14:val="tx1"/>
                  </w14:solidFill>
                </w14:textFill>
              </w:rPr>
              <w:t>限值</w:t>
            </w:r>
          </w:p>
        </w:tc>
        <w:tc>
          <w:tcPr>
            <w:tcW w:w="156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浓度限值（</w:t>
            </w:r>
            <w:r>
              <w:rPr>
                <w:rFonts w:ascii="Times New Roman" w:hAnsi="Times New Roman"/>
                <w:color w:val="000000" w:themeColor="text1"/>
                <w:kern w:val="0"/>
                <w:sz w:val="18"/>
                <w:szCs w:val="18"/>
                <w14:textFill>
                  <w14:solidFill>
                    <w14:schemeClr w14:val="tx1"/>
                  </w14:solidFill>
                </w14:textFill>
              </w:rPr>
              <w:t>mg/m</w:t>
            </w:r>
            <w:r>
              <w:rPr>
                <w:rFonts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宋体"/>
                <w:color w:val="000000" w:themeColor="text1"/>
                <w:kern w:val="0"/>
                <w:sz w:val="18"/>
                <w:szCs w:val="18"/>
                <w14:textFill>
                  <w14:solidFill>
                    <w14:schemeClr w14:val="tx1"/>
                  </w14:solidFill>
                </w14:textFill>
              </w:rPr>
              <w:t>）</w:t>
            </w:r>
          </w:p>
        </w:tc>
        <w:tc>
          <w:tcPr>
            <w:tcW w:w="29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4"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无组织</w:t>
            </w:r>
            <w:r>
              <w:rPr>
                <w:rFonts w:hint="eastAsia" w:ascii="Times New Roman" w:hAnsi="Times New Roman"/>
                <w:color w:val="000000" w:themeColor="text1"/>
                <w:kern w:val="0"/>
                <w:sz w:val="18"/>
                <w:szCs w:val="18"/>
                <w14:textFill>
                  <w14:solidFill>
                    <w14:schemeClr w14:val="tx1"/>
                  </w14:solidFill>
                </w14:textFill>
              </w:rPr>
              <w:t>废气</w:t>
            </w:r>
            <w:r>
              <w:rPr>
                <w:rFonts w:ascii="Times New Roman" w:hAnsi="Times New Roman"/>
                <w:color w:val="000000" w:themeColor="text1"/>
                <w:kern w:val="0"/>
                <w:sz w:val="18"/>
                <w:szCs w:val="18"/>
                <w14:textFill>
                  <w14:solidFill>
                    <w14:schemeClr w14:val="tx1"/>
                  </w14:solidFill>
                </w14:textFill>
              </w:rPr>
              <w:t>排放标准</w:t>
            </w:r>
          </w:p>
        </w:tc>
        <w:tc>
          <w:tcPr>
            <w:tcW w:w="10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颗粒物</w:t>
            </w:r>
          </w:p>
        </w:tc>
        <w:tc>
          <w:tcPr>
            <w:tcW w:w="27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周界外浓度最高点</w:t>
            </w: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29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《大气污染物综合排放标准》（</w:t>
            </w:r>
            <w:r>
              <w:rPr>
                <w:rFonts w:ascii="Times New Roman" w:hAnsi="Times New Roman"/>
                <w:color w:val="000000" w:themeColor="text1"/>
                <w:kern w:val="0"/>
                <w:sz w:val="18"/>
                <w:szCs w:val="18"/>
                <w14:textFill>
                  <w14:solidFill>
                    <w14:schemeClr w14:val="tx1"/>
                  </w14:solidFill>
                </w14:textFill>
              </w:rPr>
              <w:t>GB16297-1996</w:t>
            </w:r>
            <w:r>
              <w:rPr>
                <w:rFonts w:ascii="Times New Roman" w:hAnsi="宋体"/>
                <w:color w:val="000000" w:themeColor="text1"/>
                <w:kern w:val="0"/>
                <w:sz w:val="18"/>
                <w:szCs w:val="18"/>
                <w14:textFill>
                  <w14:solidFill>
                    <w14:schemeClr w14:val="tx1"/>
                  </w14:solidFill>
                </w14:textFill>
              </w:rPr>
              <w:t>）表</w:t>
            </w:r>
            <w:r>
              <w:rPr>
                <w:rFonts w:ascii="Times New Roman" w:hAnsi="Times New Roman"/>
                <w:color w:val="000000" w:themeColor="text1"/>
                <w:kern w:val="0"/>
                <w:sz w:val="18"/>
                <w:szCs w:val="18"/>
                <w14:textFill>
                  <w14:solidFill>
                    <w14:schemeClr w14:val="tx1"/>
                  </w14:solidFill>
                </w14:textFill>
              </w:rPr>
              <w:t>2</w:t>
            </w:r>
          </w:p>
        </w:tc>
      </w:tr>
    </w:tbl>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2.8.2.2</w:t>
      </w:r>
      <w:r>
        <w:rPr>
          <w:rFonts w:ascii="黑体" w:hAnsi="黑体" w:eastAsia="黑体"/>
          <w:b/>
          <w:color w:val="000000" w:themeColor="text1"/>
          <w:sz w:val="24"/>
          <w:szCs w:val="24"/>
          <w14:textFill>
            <w14:solidFill>
              <w14:schemeClr w14:val="tx1"/>
            </w14:solidFill>
          </w14:textFill>
        </w:rPr>
        <w:t>污水排放标准</w:t>
      </w:r>
    </w:p>
    <w:p>
      <w:pPr>
        <w:pStyle w:val="385"/>
        <w:adjustRightInd w:val="0"/>
        <w:snapToGrid w:val="0"/>
        <w:spacing w:line="520" w:lineRule="exact"/>
        <w:ind w:firstLine="480"/>
        <w:rPr>
          <w:rFonts w:cs="Times New Roman" w:hAnsiTheme="minorEastAsia" w:eastAsiaTheme="minorEastAsia"/>
          <w:color w:val="000000" w:themeColor="text1"/>
          <w14:textFill>
            <w14:solidFill>
              <w14:schemeClr w14:val="tx1"/>
            </w14:solidFill>
          </w14:textFill>
        </w:rPr>
      </w:pPr>
      <w:r>
        <w:rPr>
          <w:rFonts w:hint="eastAsia" w:cs="Times New Roman" w:hAnsiTheme="minorEastAsia" w:eastAsiaTheme="minorEastAsia"/>
          <w:color w:val="000000" w:themeColor="text1"/>
          <w14:textFill>
            <w14:solidFill>
              <w14:schemeClr w14:val="tx1"/>
            </w14:solidFill>
          </w14:textFill>
        </w:rPr>
        <w:t>本项目运营期生活污水经厂区化粪池收集处理后排入园区污水管网，最终进入三板湖污水处理厂进行深度处理</w:t>
      </w:r>
      <w:r>
        <w:rPr>
          <w:rFonts w:hint="eastAsia" w:hAnsiTheme="minorEastAsia" w:eastAsiaTheme="minorEastAsia"/>
          <w:color w:val="000000" w:themeColor="text1"/>
          <w14:textFill>
            <w14:solidFill>
              <w14:schemeClr w14:val="tx1"/>
            </w14:solidFill>
          </w14:textFill>
        </w:rPr>
        <w:t>达到《城镇污水处理厂污染物排放标准》一级</w:t>
      </w:r>
      <w:r>
        <w:rPr>
          <w:rFonts w:hAnsiTheme="minorEastAsia" w:eastAsiaTheme="minorEastAsia"/>
          <w:color w:val="000000" w:themeColor="text1"/>
          <w14:textFill>
            <w14:solidFill>
              <w14:schemeClr w14:val="tx1"/>
            </w14:solidFill>
          </w14:textFill>
        </w:rPr>
        <w:t xml:space="preserve">A </w:t>
      </w:r>
      <w:r>
        <w:rPr>
          <w:rFonts w:hint="eastAsia" w:hAnsiTheme="minorEastAsia" w:eastAsiaTheme="minorEastAsia"/>
          <w:color w:val="000000" w:themeColor="text1"/>
          <w14:textFill>
            <w14:solidFill>
              <w14:schemeClr w14:val="tx1"/>
            </w14:solidFill>
          </w14:textFill>
        </w:rPr>
        <w:t>标准限值后外排长江。</w:t>
      </w:r>
      <w:r>
        <w:rPr>
          <w:rFonts w:hAnsiTheme="minorEastAsia" w:eastAsiaTheme="minorEastAsia"/>
          <w:color w:val="000000" w:themeColor="text1"/>
          <w14:textFill>
            <w14:solidFill>
              <w14:schemeClr w14:val="tx1"/>
            </w14:solidFill>
          </w14:textFill>
        </w:rPr>
        <w:t>项目污水排放执行《污水综合排放标准》（GB8978-1996）中</w:t>
      </w:r>
      <w:r>
        <w:rPr>
          <w:rFonts w:hint="eastAsia" w:hAnsiTheme="minorEastAsia" w:eastAsiaTheme="minorEastAsia"/>
          <w:color w:val="000000" w:themeColor="text1"/>
          <w14:textFill>
            <w14:solidFill>
              <w14:schemeClr w14:val="tx1"/>
            </w14:solidFill>
          </w14:textFill>
        </w:rPr>
        <w:t>三</w:t>
      </w:r>
      <w:r>
        <w:rPr>
          <w:rFonts w:hAnsiTheme="minorEastAsia" w:eastAsiaTheme="minorEastAsia"/>
          <w:color w:val="000000" w:themeColor="text1"/>
          <w14:textFill>
            <w14:solidFill>
              <w14:schemeClr w14:val="tx1"/>
            </w14:solidFill>
          </w14:textFill>
        </w:rPr>
        <w:t>级标准，具体指标见表</w:t>
      </w:r>
      <w:r>
        <w:rPr>
          <w:rFonts w:hint="eastAsia" w:hAnsiTheme="minorEastAsia" w:eastAsiaTheme="minorEastAsia"/>
          <w:color w:val="000000" w:themeColor="text1"/>
          <w:lang w:val="en-US" w:eastAsia="zh-CN"/>
          <w14:textFill>
            <w14:solidFill>
              <w14:schemeClr w14:val="tx1"/>
            </w14:solidFill>
          </w14:textFill>
        </w:rPr>
        <w:t>2.8</w:t>
      </w:r>
      <w:r>
        <w:rPr>
          <w:rFonts w:hint="eastAsia" w:hAnsiTheme="minorEastAsia" w:eastAsiaTheme="minorEastAsia"/>
          <w:color w:val="000000" w:themeColor="text1"/>
          <w14:textFill>
            <w14:solidFill>
              <w14:schemeClr w14:val="tx1"/>
            </w14:solidFill>
          </w14:textFill>
        </w:rPr>
        <w:t>-7</w:t>
      </w:r>
      <w:r>
        <w:rPr>
          <w:rFonts w:hAnsiTheme="minorEastAsia" w:eastAsiaTheme="minorEastAsia"/>
          <w:color w:val="000000" w:themeColor="text1"/>
          <w14:textFill>
            <w14:solidFill>
              <w14:schemeClr w14:val="tx1"/>
            </w14:solidFill>
          </w14:textFill>
        </w:rPr>
        <w:t>。</w:t>
      </w:r>
    </w:p>
    <w:p>
      <w:pPr>
        <w:pStyle w:val="386"/>
        <w:adjustRightInd w:val="0"/>
        <w:snapToGrid w:val="0"/>
        <w:spacing w:line="520" w:lineRule="exact"/>
        <w:rPr>
          <w:rFonts w:cs="Times New Roman" w:hAnsiTheme="minorEastAsia" w:eastAsiaTheme="minorEastAsia"/>
          <w:color w:val="000000" w:themeColor="text1"/>
          <w:sz w:val="24"/>
          <w14:textFill>
            <w14:solidFill>
              <w14:schemeClr w14:val="tx1"/>
            </w14:solidFill>
          </w14:textFill>
        </w:rPr>
      </w:pPr>
      <w:r>
        <w:rPr>
          <w:rFonts w:cs="Times New Roman" w:hAnsiTheme="minorEastAsia" w:eastAsiaTheme="minorEastAsia"/>
          <w:color w:val="000000" w:themeColor="text1"/>
          <w:sz w:val="24"/>
          <w14:textFill>
            <w14:solidFill>
              <w14:schemeClr w14:val="tx1"/>
            </w14:solidFill>
          </w14:textFill>
        </w:rPr>
        <w:t>表</w:t>
      </w:r>
      <w:r>
        <w:rPr>
          <w:rFonts w:hint="eastAsia" w:cs="Times New Roman" w:hAnsiTheme="minorEastAsia" w:eastAsiaTheme="minorEastAsia"/>
          <w:color w:val="000000" w:themeColor="text1"/>
          <w:sz w:val="24"/>
          <w:lang w:val="en-US" w:eastAsia="zh-CN"/>
          <w14:textFill>
            <w14:solidFill>
              <w14:schemeClr w14:val="tx1"/>
            </w14:solidFill>
          </w14:textFill>
        </w:rPr>
        <w:t>2.8</w:t>
      </w:r>
      <w:r>
        <w:rPr>
          <w:rFonts w:cs="Times New Roman" w:hAnsiTheme="minorEastAsia" w:eastAsiaTheme="minorEastAsia"/>
          <w:color w:val="000000" w:themeColor="text1"/>
          <w:sz w:val="24"/>
          <w14:textFill>
            <w14:solidFill>
              <w14:schemeClr w14:val="tx1"/>
            </w14:solidFill>
          </w14:textFill>
        </w:rPr>
        <w:t>-</w:t>
      </w:r>
      <w:r>
        <w:rPr>
          <w:rFonts w:hint="eastAsia" w:cs="Times New Roman" w:hAnsiTheme="minorEastAsia" w:eastAsiaTheme="minorEastAsia"/>
          <w:color w:val="000000" w:themeColor="text1"/>
          <w:sz w:val="24"/>
          <w14:textFill>
            <w14:solidFill>
              <w14:schemeClr w14:val="tx1"/>
            </w14:solidFill>
          </w14:textFill>
        </w:rPr>
        <w:t>7</w:t>
      </w:r>
      <w:r>
        <w:rPr>
          <w:rFonts w:cs="Times New Roman" w:hAnsiTheme="minorEastAsia" w:eastAsiaTheme="minorEastAsia"/>
          <w:color w:val="000000" w:themeColor="text1"/>
          <w:sz w:val="24"/>
          <w14:textFill>
            <w14:solidFill>
              <w14:schemeClr w14:val="tx1"/>
            </w14:solidFill>
          </w14:textFill>
        </w:rPr>
        <w:t xml:space="preserve">  </w:t>
      </w:r>
      <w:r>
        <w:rPr>
          <w:rFonts w:hint="eastAsia" w:cs="Times New Roman" w:hAnsiTheme="minorEastAsia" w:eastAsiaTheme="minorEastAsia"/>
          <w:color w:val="000000" w:themeColor="text1"/>
          <w:sz w:val="24"/>
          <w14:textFill>
            <w14:solidFill>
              <w14:schemeClr w14:val="tx1"/>
            </w14:solidFill>
          </w14:textFill>
        </w:rPr>
        <w:t>污水综合排放标准（单位：mg/L，除pH 值外）</w:t>
      </w:r>
    </w:p>
    <w:tbl>
      <w:tblPr>
        <w:tblStyle w:val="87"/>
        <w:tblW w:w="89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2"/>
        <w:gridCol w:w="1262"/>
        <w:gridCol w:w="1262"/>
        <w:gridCol w:w="1263"/>
        <w:gridCol w:w="1263"/>
        <w:gridCol w:w="1263"/>
        <w:gridCol w:w="13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81" w:hRule="atLeast"/>
          <w:jc w:val="center"/>
        </w:trPr>
        <w:tc>
          <w:tcPr>
            <w:tcW w:w="1262"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类别</w:t>
            </w:r>
          </w:p>
        </w:tc>
        <w:tc>
          <w:tcPr>
            <w:tcW w:w="1262"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pH</w:t>
            </w:r>
          </w:p>
        </w:tc>
        <w:tc>
          <w:tcPr>
            <w:tcW w:w="1262"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COD</w:t>
            </w:r>
          </w:p>
        </w:tc>
        <w:tc>
          <w:tcPr>
            <w:tcW w:w="126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BOD</w:t>
            </w:r>
            <w:r>
              <w:rPr>
                <w:rFonts w:ascii="Times New Roman" w:hAnsi="Times New Roman"/>
                <w:color w:val="000000" w:themeColor="text1"/>
                <w:szCs w:val="21"/>
                <w:vertAlign w:val="subscript"/>
                <w14:textFill>
                  <w14:solidFill>
                    <w14:schemeClr w14:val="tx1"/>
                  </w14:solidFill>
                </w14:textFill>
              </w:rPr>
              <w:t>5</w:t>
            </w:r>
          </w:p>
        </w:tc>
        <w:tc>
          <w:tcPr>
            <w:tcW w:w="126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-N</w:t>
            </w:r>
          </w:p>
        </w:tc>
        <w:tc>
          <w:tcPr>
            <w:tcW w:w="126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TP</w:t>
            </w:r>
          </w:p>
        </w:tc>
        <w:tc>
          <w:tcPr>
            <w:tcW w:w="1350"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262"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三级</w:t>
            </w:r>
          </w:p>
        </w:tc>
        <w:tc>
          <w:tcPr>
            <w:tcW w:w="1262"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6-9</w:t>
            </w:r>
          </w:p>
        </w:tc>
        <w:tc>
          <w:tcPr>
            <w:tcW w:w="1262"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≤500</w:t>
            </w:r>
          </w:p>
        </w:tc>
        <w:tc>
          <w:tcPr>
            <w:tcW w:w="126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≤300</w:t>
            </w:r>
          </w:p>
        </w:tc>
        <w:tc>
          <w:tcPr>
            <w:tcW w:w="126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45</w:t>
            </w:r>
          </w:p>
        </w:tc>
        <w:tc>
          <w:tcPr>
            <w:tcW w:w="1263"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8</w:t>
            </w:r>
          </w:p>
        </w:tc>
        <w:tc>
          <w:tcPr>
            <w:tcW w:w="1350" w:type="dxa"/>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925" w:type="dxa"/>
            <w:gridSpan w:val="7"/>
            <w:shd w:val="clear" w:color="auto" w:fill="auto"/>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-N</w:t>
            </w:r>
            <w:r>
              <w:rPr>
                <w:rFonts w:hint="eastAsia" w:ascii="Times New Roman" w:hAnsi="Times New Roman"/>
                <w:color w:val="000000" w:themeColor="text1"/>
                <w:szCs w:val="21"/>
                <w14:textFill>
                  <w14:solidFill>
                    <w14:schemeClr w14:val="tx1"/>
                  </w14:solidFill>
                </w14:textFill>
              </w:rPr>
              <w:t>、TP参照执行《污水排入城镇下水道水质标准》（GB/T31962-2015）</w:t>
            </w:r>
          </w:p>
        </w:tc>
      </w:tr>
    </w:tbl>
    <w:p>
      <w:pPr>
        <w:pStyle w:val="386"/>
        <w:adjustRightInd w:val="0"/>
        <w:snapToGrid w:val="0"/>
        <w:spacing w:line="520" w:lineRule="exact"/>
        <w:rPr>
          <w:rFonts w:cs="Times New Roman" w:hAnsiTheme="minorEastAsia" w:eastAsiaTheme="minorEastAsia"/>
          <w:color w:val="000000" w:themeColor="text1"/>
          <w:sz w:val="24"/>
          <w14:textFill>
            <w14:solidFill>
              <w14:schemeClr w14:val="tx1"/>
            </w14:solidFill>
          </w14:textFill>
        </w:rPr>
      </w:pPr>
      <w:r>
        <w:rPr>
          <w:rFonts w:cs="Times New Roman" w:hAnsiTheme="minorEastAsia" w:eastAsiaTheme="minorEastAsia"/>
          <w:color w:val="000000" w:themeColor="text1"/>
          <w:sz w:val="24"/>
          <w14:textFill>
            <w14:solidFill>
              <w14:schemeClr w14:val="tx1"/>
            </w14:solidFill>
          </w14:textFill>
        </w:rPr>
        <w:t>表</w:t>
      </w:r>
      <w:r>
        <w:rPr>
          <w:rFonts w:hint="eastAsia" w:cs="Times New Roman" w:hAnsiTheme="minorEastAsia" w:eastAsiaTheme="minorEastAsia"/>
          <w:color w:val="000000" w:themeColor="text1"/>
          <w:sz w:val="24"/>
          <w:lang w:val="en-US" w:eastAsia="zh-CN"/>
          <w14:textFill>
            <w14:solidFill>
              <w14:schemeClr w14:val="tx1"/>
            </w14:solidFill>
          </w14:textFill>
        </w:rPr>
        <w:t>2.8</w:t>
      </w:r>
      <w:r>
        <w:rPr>
          <w:rFonts w:hint="eastAsia" w:cs="Times New Roman" w:hAnsiTheme="minorEastAsia" w:eastAsiaTheme="minorEastAsia"/>
          <w:color w:val="000000" w:themeColor="text1"/>
          <w:sz w:val="24"/>
          <w14:textFill>
            <w14:solidFill>
              <w14:schemeClr w14:val="tx1"/>
            </w14:solidFill>
          </w14:textFill>
        </w:rPr>
        <w:t>-8</w:t>
      </w:r>
      <w:r>
        <w:rPr>
          <w:rFonts w:cs="Times New Roman" w:hAnsiTheme="minorEastAsia" w:eastAsiaTheme="minorEastAsia"/>
          <w:color w:val="000000" w:themeColor="text1"/>
          <w:sz w:val="24"/>
          <w14:textFill>
            <w14:solidFill>
              <w14:schemeClr w14:val="tx1"/>
            </w14:solidFill>
          </w14:textFill>
        </w:rPr>
        <w:t xml:space="preserve">  </w:t>
      </w:r>
      <w:r>
        <w:rPr>
          <w:rFonts w:hint="eastAsia" w:cs="Times New Roman" w:hAnsiTheme="minorEastAsia" w:eastAsiaTheme="minorEastAsia"/>
          <w:color w:val="000000" w:themeColor="text1"/>
          <w:sz w:val="24"/>
          <w14:textFill>
            <w14:solidFill>
              <w14:schemeClr w14:val="tx1"/>
            </w14:solidFill>
          </w14:textFill>
        </w:rPr>
        <w:t>城镇污水处理厂污染物排放标准单位 （mg/L，pH 值除外）</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1196"/>
        <w:gridCol w:w="1195"/>
        <w:gridCol w:w="1195"/>
        <w:gridCol w:w="1195"/>
        <w:gridCol w:w="1195"/>
        <w:gridCol w:w="11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8"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类别</w:t>
            </w:r>
          </w:p>
        </w:tc>
        <w:tc>
          <w:tcPr>
            <w:tcW w:w="1196"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pH</w:t>
            </w:r>
            <w:r>
              <w:rPr>
                <w:rFonts w:ascii="Times New Roman" w:hAnsi="宋体"/>
                <w:color w:val="000000" w:themeColor="text1"/>
                <w:szCs w:val="21"/>
                <w14:textFill>
                  <w14:solidFill>
                    <w14:schemeClr w14:val="tx1"/>
                  </w14:solidFill>
                </w14:textFill>
              </w:rPr>
              <w:t>值</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CODcr</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BOD</w:t>
            </w:r>
            <w:r>
              <w:rPr>
                <w:rFonts w:ascii="Times New Roman" w:hAnsi="Times New Roman"/>
                <w:color w:val="000000" w:themeColor="text1"/>
                <w:szCs w:val="21"/>
                <w:vertAlign w:val="subscript"/>
                <w14:textFill>
                  <w14:solidFill>
                    <w14:schemeClr w14:val="tx1"/>
                  </w14:solidFill>
                </w14:textFill>
              </w:rPr>
              <w:t>5</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-N</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SS</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8"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一级</w:t>
            </w:r>
            <w:r>
              <w:rPr>
                <w:rFonts w:ascii="Times New Roman" w:hAnsi="Times New Roman"/>
                <w:color w:val="000000" w:themeColor="text1"/>
                <w:szCs w:val="21"/>
                <w14:textFill>
                  <w14:solidFill>
                    <w14:schemeClr w14:val="tx1"/>
                  </w14:solidFill>
                </w14:textFill>
              </w:rPr>
              <w:t xml:space="preserve">A </w:t>
            </w:r>
            <w:r>
              <w:rPr>
                <w:rFonts w:ascii="Times New Roman" w:hAnsi="宋体"/>
                <w:color w:val="000000" w:themeColor="text1"/>
                <w:szCs w:val="21"/>
                <w14:textFill>
                  <w14:solidFill>
                    <w14:schemeClr w14:val="tx1"/>
                  </w14:solidFill>
                </w14:textFill>
              </w:rPr>
              <w:t>标准值</w:t>
            </w:r>
          </w:p>
        </w:tc>
        <w:tc>
          <w:tcPr>
            <w:tcW w:w="1196"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6~9</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50</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119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0.5</w:t>
            </w:r>
          </w:p>
        </w:tc>
      </w:tr>
    </w:tbl>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2.8.2.3</w:t>
      </w:r>
      <w:r>
        <w:rPr>
          <w:rFonts w:ascii="黑体" w:hAnsi="黑体" w:eastAsia="黑体"/>
          <w:b/>
          <w:color w:val="000000" w:themeColor="text1"/>
          <w:sz w:val="24"/>
          <w:szCs w:val="24"/>
          <w14:textFill>
            <w14:solidFill>
              <w14:schemeClr w14:val="tx1"/>
            </w14:solidFill>
          </w14:textFill>
        </w:rPr>
        <w:t>噪声排放标准</w:t>
      </w:r>
    </w:p>
    <w:p>
      <w:pPr>
        <w:autoSpaceDE w:val="0"/>
        <w:autoSpaceDN w:val="0"/>
        <w:adjustRightInd w:val="0"/>
        <w:snapToGrid w:val="0"/>
        <w:spacing w:line="520" w:lineRule="exact"/>
        <w:ind w:firstLine="480" w:firstLineChars="200"/>
        <w:rPr>
          <w:rFonts w:ascii="Times New Roman" w:hAnsi="Times New Roman" w:eastAsiaTheme="minorEastAsia"/>
          <w:bCs/>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lang w:val="zh-CN"/>
          <w14:textFill>
            <w14:solidFill>
              <w14:schemeClr w14:val="tx1"/>
            </w14:solidFill>
          </w14:textFill>
        </w:rPr>
        <w:t>施工期</w:t>
      </w:r>
      <w:r>
        <w:rPr>
          <w:rFonts w:ascii="Times New Roman" w:hAnsiTheme="minorEastAsia" w:eastAsiaTheme="minorEastAsia"/>
          <w:bCs/>
          <w:color w:val="000000" w:themeColor="text1"/>
          <w:sz w:val="24"/>
          <w:szCs w:val="24"/>
          <w14:textFill>
            <w14:solidFill>
              <w14:schemeClr w14:val="tx1"/>
            </w14:solidFill>
          </w14:textFill>
        </w:rPr>
        <w:t>噪声执行《建筑施工场界噪声噪声排放标准》</w:t>
      </w:r>
      <w:r>
        <w:rPr>
          <w:rFonts w:ascii="Times New Roman" w:hAnsi="Times New Roman" w:eastAsiaTheme="minorEastAsia"/>
          <w:bCs/>
          <w:color w:val="000000" w:themeColor="text1"/>
          <w:sz w:val="24"/>
          <w:szCs w:val="24"/>
          <w14:textFill>
            <w14:solidFill>
              <w14:schemeClr w14:val="tx1"/>
            </w14:solidFill>
          </w14:textFill>
        </w:rPr>
        <w:t>(GB12523-2011)</w:t>
      </w:r>
      <w:r>
        <w:rPr>
          <w:rFonts w:ascii="Times New Roman" w:hAnsiTheme="minorEastAsia" w:eastAsiaTheme="minorEastAsia"/>
          <w:bCs/>
          <w:color w:val="000000" w:themeColor="text1"/>
          <w:sz w:val="24"/>
          <w:szCs w:val="24"/>
          <w14:textFill>
            <w14:solidFill>
              <w14:schemeClr w14:val="tx1"/>
            </w14:solidFill>
          </w14:textFill>
        </w:rPr>
        <w:t>中标准要求，</w:t>
      </w:r>
      <w:r>
        <w:rPr>
          <w:rFonts w:ascii="Times New Roman" w:hAnsiTheme="minorEastAsia" w:eastAsiaTheme="minorEastAsia"/>
          <w:color w:val="000000" w:themeColor="text1"/>
          <w:sz w:val="24"/>
          <w:lang w:val="zh-CN"/>
          <w14:textFill>
            <w14:solidFill>
              <w14:schemeClr w14:val="tx1"/>
            </w14:solidFill>
          </w14:textFill>
        </w:rPr>
        <w:t>运行期</w:t>
      </w:r>
      <w:r>
        <w:rPr>
          <w:rFonts w:ascii="Times New Roman" w:hAnsiTheme="minorEastAsia" w:eastAsiaTheme="minorEastAsia"/>
          <w:color w:val="000000" w:themeColor="text1"/>
          <w:sz w:val="24"/>
          <w14:textFill>
            <w14:solidFill>
              <w14:schemeClr w14:val="tx1"/>
            </w14:solidFill>
          </w14:textFill>
        </w:rPr>
        <w:t>项目厂界噪声执行《工业企业厂界环境噪声排放标准》</w:t>
      </w:r>
      <w:r>
        <w:rPr>
          <w:rFonts w:ascii="Times New Roman" w:hAnsi="Times New Roman" w:eastAsiaTheme="minorEastAsia"/>
          <w:color w:val="000000" w:themeColor="text1"/>
          <w:sz w:val="24"/>
          <w14:textFill>
            <w14:solidFill>
              <w14:schemeClr w14:val="tx1"/>
            </w14:solidFill>
          </w14:textFill>
        </w:rPr>
        <w:t>(GB12348-2008)</w:t>
      </w:r>
      <w:r>
        <w:rPr>
          <w:rFonts w:ascii="Times New Roman" w:hAnsiTheme="minorEastAsia" w:eastAsiaTheme="minorEastAsia"/>
          <w:color w:val="000000" w:themeColor="text1"/>
          <w:sz w:val="24"/>
          <w14:textFill>
            <w14:solidFill>
              <w14:schemeClr w14:val="tx1"/>
            </w14:solidFill>
          </w14:textFill>
        </w:rPr>
        <w:t>中</w:t>
      </w:r>
      <w:r>
        <w:rPr>
          <w:rFonts w:ascii="Times New Roman" w:hAnsi="Times New Roman" w:eastAsiaTheme="minorEastAsia"/>
          <w:color w:val="000000" w:themeColor="text1"/>
          <w:sz w:val="24"/>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类</w:t>
      </w:r>
      <w:r>
        <w:rPr>
          <w:rFonts w:hint="eastAsia" w:ascii="Times New Roman" w:hAnsiTheme="minorEastAsia" w:eastAsiaTheme="minorEastAsia"/>
          <w:color w:val="000000" w:themeColor="text1"/>
          <w:sz w:val="24"/>
          <w14:textFill>
            <w14:solidFill>
              <w14:schemeClr w14:val="tx1"/>
            </w14:solidFill>
          </w14:textFill>
        </w:rPr>
        <w:t>标准</w:t>
      </w:r>
      <w:r>
        <w:rPr>
          <w:rFonts w:ascii="Times New Roman" w:hAnsi="Times New Roman" w:eastAsiaTheme="minorEastAsia"/>
          <w:color w:val="000000" w:themeColor="text1"/>
          <w:sz w:val="24"/>
          <w14:textFill>
            <w14:solidFill>
              <w14:schemeClr w14:val="tx1"/>
            </w14:solidFill>
          </w14:textFill>
        </w:rPr>
        <w:t>，详见表</w:t>
      </w:r>
      <w:r>
        <w:rPr>
          <w:rFonts w:hint="eastAsia" w:ascii="Times New Roman" w:hAnsi="Times New Roman" w:eastAsiaTheme="minorEastAsia"/>
          <w:bCs/>
          <w:color w:val="000000" w:themeColor="text1"/>
          <w:sz w:val="24"/>
          <w:szCs w:val="24"/>
          <w:lang w:val="en-US" w:eastAsia="zh-CN"/>
          <w14:textFill>
            <w14:solidFill>
              <w14:schemeClr w14:val="tx1"/>
            </w14:solidFill>
          </w14:textFill>
        </w:rPr>
        <w:t>2.8</w:t>
      </w:r>
      <w:r>
        <w:rPr>
          <w:rFonts w:ascii="Times New Roman" w:hAnsi="Times New Roman" w:eastAsiaTheme="minorEastAsia"/>
          <w:bCs/>
          <w:color w:val="000000" w:themeColor="text1"/>
          <w:sz w:val="24"/>
          <w:szCs w:val="24"/>
          <w14:textFill>
            <w14:solidFill>
              <w14:schemeClr w14:val="tx1"/>
            </w14:solidFill>
          </w14:textFill>
        </w:rPr>
        <w:t>-</w:t>
      </w:r>
      <w:r>
        <w:rPr>
          <w:rFonts w:hint="eastAsia" w:ascii="Times New Roman" w:hAnsi="Times New Roman" w:eastAsiaTheme="minorEastAsia"/>
          <w:bCs/>
          <w:color w:val="000000" w:themeColor="text1"/>
          <w:sz w:val="24"/>
          <w:szCs w:val="24"/>
          <w14:textFill>
            <w14:solidFill>
              <w14:schemeClr w14:val="tx1"/>
            </w14:solidFill>
          </w14:textFill>
        </w:rPr>
        <w:t>9</w:t>
      </w:r>
      <w:r>
        <w:rPr>
          <w:rFonts w:ascii="Times New Roman" w:hAnsiTheme="minorEastAsia" w:eastAsiaTheme="minorEastAsia"/>
          <w:bCs/>
          <w:color w:val="000000" w:themeColor="text1"/>
          <w:sz w:val="24"/>
          <w14:textFill>
            <w14:solidFill>
              <w14:schemeClr w14:val="tx1"/>
            </w14:solidFill>
          </w14:textFill>
        </w:rPr>
        <w:t>。</w:t>
      </w:r>
    </w:p>
    <w:p>
      <w:pPr>
        <w:pStyle w:val="262"/>
        <w:adjustRightInd w:val="0"/>
        <w:snapToGrid w:val="0"/>
        <w:spacing w:before="120" w:beforeLines="50" w:line="240" w:lineRule="auto"/>
        <w:ind w:firstLine="0"/>
        <w:jc w:val="center"/>
        <w:rPr>
          <w:rFonts w:ascii="Times New Roman" w:hAnsi="Times New Roman" w:eastAsiaTheme="minorEastAsia"/>
          <w:b/>
          <w:bCs w:val="0"/>
          <w:color w:val="000000" w:themeColor="text1"/>
          <w:sz w:val="24"/>
          <w:szCs w:val="24"/>
          <w:lang w:val="zh-CN"/>
          <w14:textFill>
            <w14:solidFill>
              <w14:schemeClr w14:val="tx1"/>
            </w14:solidFill>
          </w14:textFill>
        </w:rPr>
      </w:pPr>
      <w:r>
        <w:rPr>
          <w:rFonts w:ascii="Times New Roman" w:hAnsiTheme="minorEastAsia" w:eastAsiaTheme="minorEastAsia"/>
          <w:b/>
          <w:bCs w:val="0"/>
          <w:color w:val="000000" w:themeColor="text1"/>
          <w:sz w:val="24"/>
          <w:szCs w:val="24"/>
          <w:lang w:val="zh-CN"/>
          <w14:textFill>
            <w14:solidFill>
              <w14:schemeClr w14:val="tx1"/>
            </w14:solidFill>
          </w14:textFill>
        </w:rPr>
        <w:t>表</w:t>
      </w:r>
      <w:r>
        <w:rPr>
          <w:rFonts w:hint="eastAsia" w:ascii="Times New Roman" w:hAnsiTheme="minorEastAsia" w:eastAsiaTheme="minorEastAsia"/>
          <w:b/>
          <w:bCs w:val="0"/>
          <w:color w:val="000000" w:themeColor="text1"/>
          <w:sz w:val="24"/>
          <w:szCs w:val="24"/>
          <w:lang w:val="en-US" w:eastAsia="zh-CN"/>
          <w14:textFill>
            <w14:solidFill>
              <w14:schemeClr w14:val="tx1"/>
            </w14:solidFill>
          </w14:textFill>
        </w:rPr>
        <w:t>2.8</w:t>
      </w:r>
      <w:r>
        <w:rPr>
          <w:rFonts w:ascii="Times New Roman" w:hAnsiTheme="minorEastAsia" w:eastAsiaTheme="minorEastAsia"/>
          <w:b/>
          <w:bCs w:val="0"/>
          <w:color w:val="000000" w:themeColor="text1"/>
          <w:sz w:val="24"/>
          <w:szCs w:val="24"/>
          <w:lang w:val="zh-CN"/>
          <w14:textFill>
            <w14:solidFill>
              <w14:schemeClr w14:val="tx1"/>
            </w14:solidFill>
          </w14:textFill>
        </w:rPr>
        <w:t>-</w:t>
      </w:r>
      <w:r>
        <w:rPr>
          <w:rFonts w:hint="eastAsia" w:ascii="Times New Roman" w:hAnsiTheme="minorEastAsia" w:eastAsiaTheme="minorEastAsia"/>
          <w:b/>
          <w:bCs w:val="0"/>
          <w:color w:val="000000" w:themeColor="text1"/>
          <w:sz w:val="24"/>
          <w:szCs w:val="24"/>
          <w14:textFill>
            <w14:solidFill>
              <w14:schemeClr w14:val="tx1"/>
            </w14:solidFill>
          </w14:textFill>
        </w:rPr>
        <w:t>9</w:t>
      </w:r>
      <w:r>
        <w:rPr>
          <w:rFonts w:ascii="Times New Roman" w:hAnsiTheme="minorEastAsia" w:eastAsiaTheme="minorEastAsia"/>
          <w:b/>
          <w:bCs w:val="0"/>
          <w:color w:val="000000" w:themeColor="text1"/>
          <w:sz w:val="24"/>
          <w:szCs w:val="24"/>
          <w:lang w:val="zh-CN"/>
          <w14:textFill>
            <w14:solidFill>
              <w14:schemeClr w14:val="tx1"/>
            </w14:solidFill>
          </w14:textFill>
        </w:rPr>
        <w:t xml:space="preserve"> </w:t>
      </w:r>
      <w:r>
        <w:rPr>
          <w:rFonts w:ascii="Times New Roman" w:hAnsi="Times New Roman" w:eastAsiaTheme="minorEastAsia"/>
          <w:b/>
          <w:bCs w:val="0"/>
          <w:color w:val="000000" w:themeColor="text1"/>
          <w:sz w:val="24"/>
          <w:szCs w:val="24"/>
          <w:lang w:val="zh-CN"/>
          <w14:textFill>
            <w14:solidFill>
              <w14:schemeClr w14:val="tx1"/>
            </w14:solidFill>
          </w14:textFill>
        </w:rPr>
        <w:t xml:space="preserve">   </w:t>
      </w:r>
      <w:r>
        <w:rPr>
          <w:rFonts w:ascii="Times New Roman" w:hAnsiTheme="minorEastAsia" w:eastAsiaTheme="minorEastAsia"/>
          <w:b/>
          <w:bCs w:val="0"/>
          <w:color w:val="000000" w:themeColor="text1"/>
          <w:sz w:val="24"/>
          <w:szCs w:val="24"/>
          <w:lang w:val="zh-CN"/>
          <w14:textFill>
            <w14:solidFill>
              <w14:schemeClr w14:val="tx1"/>
            </w14:solidFill>
          </w14:textFill>
        </w:rPr>
        <w:t>噪声排放标准一览表</w:t>
      </w:r>
      <w:r>
        <w:rPr>
          <w:rFonts w:hint="eastAsia" w:ascii="Times New Roman" w:hAnsi="Times New Roman" w:eastAsiaTheme="minorEastAsia"/>
          <w:b/>
          <w:bCs w:val="0"/>
          <w:color w:val="000000" w:themeColor="text1"/>
          <w:sz w:val="24"/>
          <w:szCs w:val="24"/>
          <w:lang w:val="zh-CN"/>
          <w14:textFill>
            <w14:solidFill>
              <w14:schemeClr w14:val="tx1"/>
            </w14:solidFill>
          </w14:textFill>
        </w:rPr>
        <w:t>（</w:t>
      </w:r>
      <w:r>
        <w:rPr>
          <w:rFonts w:ascii="Times New Roman" w:hAnsiTheme="minorEastAsia" w:eastAsiaTheme="minorEastAsia"/>
          <w:b/>
          <w:bCs w:val="0"/>
          <w:color w:val="000000" w:themeColor="text1"/>
          <w:sz w:val="24"/>
          <w:szCs w:val="24"/>
          <w:lang w:val="zh-CN"/>
          <w14:textFill>
            <w14:solidFill>
              <w14:schemeClr w14:val="tx1"/>
            </w14:solidFill>
          </w14:textFill>
        </w:rPr>
        <w:t>单位：</w:t>
      </w:r>
      <w:r>
        <w:rPr>
          <w:rFonts w:ascii="Times New Roman" w:hAnsi="Times New Roman" w:eastAsiaTheme="minorEastAsia"/>
          <w:b/>
          <w:bCs w:val="0"/>
          <w:color w:val="000000" w:themeColor="text1"/>
          <w:sz w:val="24"/>
          <w:szCs w:val="24"/>
          <w:lang w:val="zh-CN"/>
          <w14:textFill>
            <w14:solidFill>
              <w14:schemeClr w14:val="tx1"/>
            </w14:solidFill>
          </w14:textFill>
        </w:rPr>
        <w:t>dB(A)</w:t>
      </w:r>
      <w:r>
        <w:rPr>
          <w:rFonts w:hint="eastAsia" w:ascii="Times New Roman" w:hAnsi="Times New Roman" w:eastAsiaTheme="minorEastAsia"/>
          <w:b/>
          <w:bCs w:val="0"/>
          <w:color w:val="000000" w:themeColor="text1"/>
          <w:sz w:val="24"/>
          <w:szCs w:val="24"/>
          <w:lang w:val="zh-CN"/>
          <w14:textFill>
            <w14:solidFill>
              <w14:schemeClr w14:val="tx1"/>
            </w14:solidFill>
          </w14:textFill>
        </w:rPr>
        <w:t>）</w:t>
      </w:r>
    </w:p>
    <w:tbl>
      <w:tblPr>
        <w:tblStyle w:val="87"/>
        <w:tblW w:w="909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000"/>
        <w:gridCol w:w="3377"/>
        <w:gridCol w:w="1359"/>
        <w:gridCol w:w="135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377" w:type="dxa"/>
            <w:gridSpan w:val="2"/>
            <w:vAlign w:val="center"/>
          </w:tcPr>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ascii="Times New Roman" w:hAnsiTheme="minorEastAsia" w:eastAsiaTheme="minorEastAsia"/>
                <w:bCs w:val="0"/>
                <w:color w:val="000000" w:themeColor="text1"/>
                <w:sz w:val="21"/>
                <w:szCs w:val="21"/>
                <w14:textFill>
                  <w14:solidFill>
                    <w14:schemeClr w14:val="tx1"/>
                  </w14:solidFill>
                </w14:textFill>
              </w:rPr>
              <w:t>执行标准</w:t>
            </w:r>
          </w:p>
        </w:tc>
        <w:tc>
          <w:tcPr>
            <w:tcW w:w="1359" w:type="dxa"/>
            <w:vAlign w:val="center"/>
          </w:tcPr>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ascii="Times New Roman" w:hAnsiTheme="minorEastAsia" w:eastAsiaTheme="minorEastAsia"/>
                <w:bCs w:val="0"/>
                <w:color w:val="000000" w:themeColor="text1"/>
                <w:sz w:val="21"/>
                <w:szCs w:val="21"/>
                <w14:textFill>
                  <w14:solidFill>
                    <w14:schemeClr w14:val="tx1"/>
                  </w14:solidFill>
                </w14:textFill>
              </w:rPr>
              <w:t>昼间</w:t>
            </w:r>
          </w:p>
        </w:tc>
        <w:tc>
          <w:tcPr>
            <w:tcW w:w="1359" w:type="dxa"/>
            <w:vAlign w:val="center"/>
          </w:tcPr>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ascii="Times New Roman" w:hAnsiTheme="minorEastAsia" w:eastAsiaTheme="minorEastAsia"/>
                <w:bCs w:val="0"/>
                <w:color w:val="000000" w:themeColor="text1"/>
                <w:sz w:val="21"/>
                <w:szCs w:val="21"/>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0"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heme="minorEastAsia" w:eastAsiaTheme="minorEastAsia"/>
                <w:color w:val="000000" w:themeColor="text1"/>
                <w:sz w:val="21"/>
                <w:szCs w:val="21"/>
                <w14:textFill>
                  <w14:solidFill>
                    <w14:schemeClr w14:val="tx1"/>
                  </w14:solidFill>
                </w14:textFill>
              </w:rPr>
              <w:t>运营期执行</w:t>
            </w:r>
            <w:r>
              <w:rPr>
                <w:rFonts w:ascii="Times New Roman" w:hAnsiTheme="minorEastAsia" w:eastAsiaTheme="minorEastAsia"/>
                <w:color w:val="000000" w:themeColor="text1"/>
                <w:sz w:val="21"/>
                <w:szCs w:val="21"/>
                <w14:textFill>
                  <w14:solidFill>
                    <w14:schemeClr w14:val="tx1"/>
                  </w14:solidFill>
                </w14:textFill>
              </w:rPr>
              <w:t>《工业企业厂界环境噪声排放标准》</w:t>
            </w:r>
            <w:r>
              <w:rPr>
                <w:rFonts w:ascii="Times New Roman" w:hAnsi="Times New Roman" w:eastAsiaTheme="minorEastAsia"/>
                <w:color w:val="000000" w:themeColor="text1"/>
                <w:sz w:val="21"/>
                <w:szCs w:val="21"/>
                <w14:textFill>
                  <w14:solidFill>
                    <w14:schemeClr w14:val="tx1"/>
                  </w14:solidFill>
                </w14:textFill>
              </w:rPr>
              <w:t>(GB12348-2008)</w:t>
            </w:r>
          </w:p>
        </w:tc>
        <w:tc>
          <w:tcPr>
            <w:tcW w:w="3377"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3</w:t>
            </w:r>
            <w:r>
              <w:rPr>
                <w:rFonts w:ascii="Times New Roman" w:hAnsiTheme="minorEastAsia" w:eastAsiaTheme="minorEastAsia"/>
                <w:color w:val="000000" w:themeColor="text1"/>
                <w:sz w:val="21"/>
                <w:szCs w:val="21"/>
                <w14:textFill>
                  <w14:solidFill>
                    <w14:schemeClr w14:val="tx1"/>
                  </w14:solidFill>
                </w14:textFill>
              </w:rPr>
              <w:t>类</w:t>
            </w:r>
          </w:p>
        </w:tc>
        <w:tc>
          <w:tcPr>
            <w:tcW w:w="1359"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65</w:t>
            </w:r>
          </w:p>
        </w:tc>
        <w:tc>
          <w:tcPr>
            <w:tcW w:w="1359"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377" w:type="dxa"/>
            <w:gridSpan w:val="2"/>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heme="minorEastAsia" w:eastAsiaTheme="minorEastAsia"/>
                <w:color w:val="000000" w:themeColor="text1"/>
                <w:sz w:val="21"/>
                <w:szCs w:val="21"/>
                <w14:textFill>
                  <w14:solidFill>
                    <w14:schemeClr w14:val="tx1"/>
                  </w14:solidFill>
                </w14:textFill>
              </w:rPr>
              <w:t>施工期执行</w:t>
            </w:r>
            <w:r>
              <w:rPr>
                <w:rFonts w:ascii="Times New Roman" w:hAnsiTheme="minorEastAsia" w:eastAsiaTheme="minorEastAsia"/>
                <w:color w:val="000000" w:themeColor="text1"/>
                <w:sz w:val="21"/>
                <w:szCs w:val="21"/>
                <w14:textFill>
                  <w14:solidFill>
                    <w14:schemeClr w14:val="tx1"/>
                  </w14:solidFill>
                </w14:textFill>
              </w:rPr>
              <w:t>《</w:t>
            </w:r>
            <w:r>
              <w:rPr>
                <w:rFonts w:ascii="Times New Roman" w:hAnsiTheme="minorEastAsia" w:eastAsiaTheme="minorEastAsia"/>
                <w:bCs w:val="0"/>
                <w:color w:val="000000" w:themeColor="text1"/>
                <w:sz w:val="21"/>
                <w:szCs w:val="21"/>
                <w14:textFill>
                  <w14:solidFill>
                    <w14:schemeClr w14:val="tx1"/>
                  </w14:solidFill>
                </w14:textFill>
              </w:rPr>
              <w:t>建筑施工场界噪声噪声排放标准》</w:t>
            </w:r>
            <w:r>
              <w:rPr>
                <w:rFonts w:ascii="Times New Roman" w:hAnsi="Times New Roman" w:eastAsiaTheme="minorEastAsia"/>
                <w:bCs w:val="0"/>
                <w:color w:val="000000" w:themeColor="text1"/>
                <w:sz w:val="21"/>
                <w:szCs w:val="21"/>
                <w14:textFill>
                  <w14:solidFill>
                    <w14:schemeClr w14:val="tx1"/>
                  </w14:solidFill>
                </w14:textFill>
              </w:rPr>
              <w:t>(GB12523-2011)</w:t>
            </w:r>
          </w:p>
        </w:tc>
        <w:tc>
          <w:tcPr>
            <w:tcW w:w="1359"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70</w:t>
            </w:r>
          </w:p>
        </w:tc>
        <w:tc>
          <w:tcPr>
            <w:tcW w:w="1359" w:type="dxa"/>
            <w:vAlign w:val="center"/>
          </w:tcPr>
          <w:p>
            <w:pPr>
              <w:pStyle w:val="262"/>
              <w:snapToGrid w:val="0"/>
              <w:spacing w:line="300" w:lineRule="exact"/>
              <w:ind w:firstLine="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55</w:t>
            </w:r>
          </w:p>
        </w:tc>
      </w:tr>
    </w:tbl>
    <w:p>
      <w:pPr>
        <w:pStyle w:val="262"/>
        <w:numPr>
          <w:ilvl w:val="0"/>
          <w:numId w:val="0"/>
        </w:numPr>
        <w:adjustRightInd w:val="0"/>
        <w:snapToGrid w:val="0"/>
        <w:spacing w:line="520" w:lineRule="exact"/>
        <w:ind w:leftChars="0"/>
        <w:rPr>
          <w:rFonts w:ascii="黑体" w:hAnsi="黑体" w:eastAsia="黑体"/>
          <w:b/>
          <w:color w:val="000000" w:themeColor="text1"/>
          <w:sz w:val="24"/>
          <w:szCs w:val="24"/>
          <w14:textFill>
            <w14:solidFill>
              <w14:schemeClr w14:val="tx1"/>
            </w14:solidFill>
          </w14:textFill>
        </w:rPr>
      </w:pPr>
      <w:r>
        <w:rPr>
          <w:rFonts w:hint="default" w:ascii="Times New Roman" w:hAnsi="Times New Roman" w:eastAsia="黑体" w:cs="Times New Roman"/>
          <w:b/>
          <w:color w:val="000000" w:themeColor="text1"/>
          <w:sz w:val="24"/>
          <w:szCs w:val="24"/>
          <w:lang w:val="en-US" w:eastAsia="zh-CN"/>
          <w14:textFill>
            <w14:solidFill>
              <w14:schemeClr w14:val="tx1"/>
            </w14:solidFill>
          </w14:textFill>
        </w:rPr>
        <w:t>2.8.2.4</w:t>
      </w:r>
      <w:r>
        <w:rPr>
          <w:rFonts w:ascii="黑体" w:hAnsi="黑体" w:eastAsia="黑体"/>
          <w:b/>
          <w:color w:val="000000" w:themeColor="text1"/>
          <w:sz w:val="24"/>
          <w:szCs w:val="24"/>
          <w14:textFill>
            <w14:solidFill>
              <w14:schemeClr w14:val="tx1"/>
            </w14:solidFill>
          </w14:textFill>
        </w:rPr>
        <w:t>固</w:t>
      </w:r>
      <w:r>
        <w:rPr>
          <w:rFonts w:hint="eastAsia" w:ascii="黑体" w:hAnsi="黑体" w:eastAsia="黑体"/>
          <w:b/>
          <w:color w:val="000000" w:themeColor="text1"/>
          <w:sz w:val="24"/>
          <w:szCs w:val="24"/>
          <w14:textFill>
            <w14:solidFill>
              <w14:schemeClr w14:val="tx1"/>
            </w14:solidFill>
          </w14:textFill>
        </w:rPr>
        <w:t>体</w:t>
      </w:r>
      <w:r>
        <w:rPr>
          <w:rFonts w:ascii="黑体" w:hAnsi="黑体" w:eastAsia="黑体"/>
          <w:b/>
          <w:color w:val="000000" w:themeColor="text1"/>
          <w:sz w:val="24"/>
          <w:szCs w:val="24"/>
          <w14:textFill>
            <w14:solidFill>
              <w14:schemeClr w14:val="tx1"/>
            </w14:solidFill>
          </w14:textFill>
        </w:rPr>
        <w:t>废</w:t>
      </w:r>
      <w:r>
        <w:rPr>
          <w:rFonts w:hint="eastAsia" w:ascii="黑体" w:hAnsi="黑体" w:eastAsia="黑体"/>
          <w:b/>
          <w:color w:val="000000" w:themeColor="text1"/>
          <w:sz w:val="24"/>
          <w:szCs w:val="24"/>
          <w14:textFill>
            <w14:solidFill>
              <w14:schemeClr w14:val="tx1"/>
            </w14:solidFill>
          </w14:textFill>
        </w:rPr>
        <w:t>物</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危险废物执行《危险废物贮存污染控制标准》</w:t>
      </w:r>
      <w:r>
        <w:rPr>
          <w:rFonts w:ascii="Times New Roman" w:hAnsi="Times New Roman" w:eastAsiaTheme="minorEastAsia"/>
          <w:color w:val="000000" w:themeColor="text1"/>
          <w:sz w:val="24"/>
          <w:szCs w:val="24"/>
          <w14:textFill>
            <w14:solidFill>
              <w14:schemeClr w14:val="tx1"/>
            </w14:solidFill>
          </w14:textFill>
        </w:rPr>
        <w:t>(GB18597-2001)</w:t>
      </w:r>
      <w:r>
        <w:rPr>
          <w:rFonts w:ascii="Times New Roman" w:hAnsiTheme="minorEastAsia" w:eastAsiaTheme="minorEastAsia"/>
          <w:color w:val="000000" w:themeColor="text1"/>
          <w:sz w:val="24"/>
          <w:szCs w:val="24"/>
          <w14:textFill>
            <w14:solidFill>
              <w14:schemeClr w14:val="tx1"/>
            </w14:solidFill>
          </w14:textFill>
        </w:rPr>
        <w:t>及其修改单</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公告</w:t>
      </w:r>
      <w:r>
        <w:rPr>
          <w:rFonts w:ascii="Times New Roman" w:hAnsi="Times New Roman" w:eastAsiaTheme="minorEastAsia"/>
          <w:color w:val="000000" w:themeColor="text1"/>
          <w:sz w:val="24"/>
          <w:szCs w:val="24"/>
          <w14:textFill>
            <w14:solidFill>
              <w14:schemeClr w14:val="tx1"/>
            </w14:solidFill>
          </w14:textFill>
        </w:rPr>
        <w:t>2013</w:t>
      </w:r>
      <w:r>
        <w:rPr>
          <w:rFonts w:ascii="Times New Roman" w:hAnsiTheme="minorEastAsia" w:eastAsiaTheme="minorEastAsia"/>
          <w:color w:val="000000" w:themeColor="text1"/>
          <w:sz w:val="24"/>
          <w:szCs w:val="24"/>
          <w14:textFill>
            <w14:solidFill>
              <w14:schemeClr w14:val="tx1"/>
            </w14:solidFill>
          </w14:textFill>
        </w:rPr>
        <w:t>年第</w:t>
      </w:r>
      <w:r>
        <w:rPr>
          <w:rFonts w:ascii="Times New Roman" w:hAnsi="Times New Roman" w:eastAsiaTheme="minorEastAsia"/>
          <w:color w:val="000000" w:themeColor="text1"/>
          <w:sz w:val="24"/>
          <w:szCs w:val="24"/>
          <w14:textFill>
            <w14:solidFill>
              <w14:schemeClr w14:val="tx1"/>
            </w14:solidFill>
          </w14:textFill>
        </w:rPr>
        <w:t>36</w:t>
      </w:r>
      <w:r>
        <w:rPr>
          <w:rFonts w:ascii="Times New Roman" w:hAnsiTheme="minorEastAsia" w:eastAsiaTheme="minorEastAsia"/>
          <w:color w:val="000000" w:themeColor="text1"/>
          <w:sz w:val="24"/>
          <w:szCs w:val="24"/>
          <w14:textFill>
            <w14:solidFill>
              <w14:schemeClr w14:val="tx1"/>
            </w14:solidFill>
          </w14:textFill>
        </w:rPr>
        <w:t>号</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中要求；一般固体废物</w:t>
      </w:r>
      <w:r>
        <w:rPr>
          <w:rFonts w:hint="eastAsia" w:ascii="Times New Roman" w:hAnsiTheme="minorEastAsia" w:eastAsiaTheme="minorEastAsia"/>
          <w:color w:val="000000" w:themeColor="text1"/>
          <w:sz w:val="24"/>
          <w:szCs w:val="24"/>
          <w14:textFill>
            <w14:solidFill>
              <w14:schemeClr w14:val="tx1"/>
            </w14:solidFill>
          </w14:textFill>
        </w:rPr>
        <w:t>执行</w:t>
      </w:r>
      <w:r>
        <w:rPr>
          <w:rFonts w:ascii="Times New Roman" w:hAnsiTheme="minorEastAsia" w:eastAsiaTheme="minorEastAsia"/>
          <w:color w:val="000000" w:themeColor="text1"/>
          <w:sz w:val="24"/>
          <w:szCs w:val="24"/>
          <w14:textFill>
            <w14:solidFill>
              <w14:schemeClr w14:val="tx1"/>
            </w14:solidFill>
          </w14:textFill>
        </w:rPr>
        <w:t>《一般工业固体废物贮存</w:t>
      </w:r>
      <w:r>
        <w:rPr>
          <w:rFonts w:hint="eastAsia" w:ascii="Times New Roman" w:hAnsiTheme="minorEastAsia" w:eastAsiaTheme="minorEastAsia"/>
          <w:color w:val="000000" w:themeColor="text1"/>
          <w:sz w:val="24"/>
          <w:szCs w:val="24"/>
          <w14:textFill>
            <w14:solidFill>
              <w14:schemeClr w14:val="tx1"/>
            </w14:solidFill>
          </w14:textFill>
        </w:rPr>
        <w:t>和填埋污染控制标准</w:t>
      </w:r>
      <w:r>
        <w:rPr>
          <w:rFonts w:ascii="Times New Roman" w:hAnsiTheme="minorEastAsia" w:eastAsiaTheme="minorEastAsia"/>
          <w:color w:val="000000" w:themeColor="text1"/>
          <w:sz w:val="24"/>
          <w:szCs w:val="24"/>
          <w14:textFill>
            <w14:solidFill>
              <w14:schemeClr w14:val="tx1"/>
            </w14:solidFill>
          </w14:textFill>
        </w:rPr>
        <w:t>》（GB18599-20</w:t>
      </w:r>
      <w:r>
        <w:rPr>
          <w:rFonts w:hint="eastAsia" w:ascii="Times New Roman" w:hAnsiTheme="minorEastAsia" w:eastAsiaTheme="minorEastAsia"/>
          <w:color w:val="000000" w:themeColor="text1"/>
          <w:sz w:val="24"/>
          <w:szCs w:val="24"/>
          <w14:textFill>
            <w14:solidFill>
              <w14:schemeClr w14:val="tx1"/>
            </w14:solidFill>
          </w14:textFill>
        </w:rPr>
        <w:t>20</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相关规定</w:t>
      </w:r>
      <w:r>
        <w:rPr>
          <w:rFonts w:ascii="Times New Roman" w:hAnsiTheme="minorEastAsia" w:eastAsiaTheme="minorEastAsia"/>
          <w:color w:val="000000" w:themeColor="text1"/>
          <w:sz w:val="24"/>
          <w:szCs w:val="24"/>
          <w14:textFill>
            <w14:solidFill>
              <w14:schemeClr w14:val="tx1"/>
            </w14:solidFill>
          </w14:textFill>
        </w:rPr>
        <w:t>。</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31" w:name="_Toc16951"/>
      <w:r>
        <w:rPr>
          <w:rFonts w:hint="default" w:ascii="Times New Roman" w:hAnsi="Times New Roman" w:eastAsia="黑体" w:cs="Times New Roman"/>
          <w:b/>
          <w:color w:val="000000" w:themeColor="text1"/>
          <w:sz w:val="32"/>
          <w:szCs w:val="32"/>
          <w:lang w:val="en-US" w:eastAsia="zh-CN"/>
          <w14:textFill>
            <w14:solidFill>
              <w14:schemeClr w14:val="tx1"/>
            </w14:solidFill>
          </w14:textFill>
        </w:rPr>
        <w:t>2.9</w:t>
      </w:r>
      <w:r>
        <w:rPr>
          <w:rFonts w:hint="eastAsia" w:ascii="黑体" w:hAnsi="黑体" w:eastAsia="黑体"/>
          <w:b/>
          <w:color w:val="000000" w:themeColor="text1"/>
          <w:sz w:val="32"/>
          <w:szCs w:val="32"/>
          <w14:textFill>
            <w14:solidFill>
              <w14:schemeClr w14:val="tx1"/>
            </w14:solidFill>
          </w14:textFill>
        </w:rPr>
        <w:t>环境保护目标及敏感区域</w:t>
      </w:r>
      <w:bookmarkEnd w:id="131"/>
    </w:p>
    <w:p>
      <w:pPr>
        <w:adjustRightInd w:val="0"/>
        <w:snapToGrid w:val="0"/>
        <w:spacing w:line="520" w:lineRule="exact"/>
        <w:ind w:firstLine="480" w:firstLineChars="200"/>
        <w:jc w:val="left"/>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项目建设地点位于宜昌化工园宜都园区，根据现场踏勘，评价区域内无国家和省级重点文物保护对象，也无县级以上风景旅游区和重点环境保护区。评价区域内环境空气质量执行《环境空气质量标准》(GB3095-2012)二级标准要求；地表水环境执行《地表水环境质量标准》(GB3838-2002)中Ⅲ类标准要求；地下水执行《地下水质量标准》(GB/T14848-2017)中Ⅲ类标准要求；声环境执行《声环境质量标准》(GB3096-2008)中3类区标准，根据现场踏勘和相关资料收集研究，明确拟建项目评价区域内主要环境敏感点及环境保护目标见表</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2.9</w:t>
      </w:r>
      <w:r>
        <w:rPr>
          <w:rFonts w:hint="default" w:ascii="Times New Roman" w:hAnsi="Times New Roman" w:cs="Times New Roman" w:eastAsiaTheme="minorEastAsia"/>
          <w:color w:val="000000" w:themeColor="text1"/>
          <w:kern w:val="0"/>
          <w:sz w:val="24"/>
          <w14:textFill>
            <w14:solidFill>
              <w14:schemeClr w14:val="tx1"/>
            </w14:solidFill>
          </w14:textFill>
        </w:rPr>
        <w:t>-1。</w:t>
      </w:r>
    </w:p>
    <w:p>
      <w:pPr>
        <w:pStyle w:val="262"/>
        <w:adjustRightInd w:val="0"/>
        <w:snapToGrid w:val="0"/>
        <w:spacing w:before="120" w:beforeLines="50" w:line="240" w:lineRule="auto"/>
        <w:ind w:firstLine="0"/>
        <w:jc w:val="center"/>
        <w:rPr>
          <w:rFonts w:ascii="Times New Roman" w:hAnsi="Times New Roman" w:eastAsiaTheme="minorEastAsia"/>
          <w:b/>
          <w:bCs w:val="0"/>
          <w:color w:val="000000" w:themeColor="text1"/>
          <w:sz w:val="24"/>
          <w:szCs w:val="24"/>
          <w:lang w:val="zh-CN"/>
          <w14:textFill>
            <w14:solidFill>
              <w14:schemeClr w14:val="tx1"/>
            </w14:solidFill>
          </w14:textFill>
        </w:rPr>
      </w:pPr>
      <w:r>
        <w:rPr>
          <w:rFonts w:ascii="Times New Roman" w:hAnsiTheme="minorEastAsia" w:eastAsiaTheme="minorEastAsia"/>
          <w:b/>
          <w:bCs w:val="0"/>
          <w:color w:val="000000" w:themeColor="text1"/>
          <w:sz w:val="24"/>
          <w:szCs w:val="24"/>
          <w:lang w:val="zh-CN"/>
          <w14:textFill>
            <w14:solidFill>
              <w14:schemeClr w14:val="tx1"/>
            </w14:solidFill>
          </w14:textFill>
        </w:rPr>
        <w:t>表1.</w:t>
      </w:r>
      <w:r>
        <w:rPr>
          <w:rFonts w:hint="eastAsia" w:ascii="Times New Roman" w:hAnsiTheme="minorEastAsia" w:eastAsiaTheme="minorEastAsia"/>
          <w:b/>
          <w:bCs w:val="0"/>
          <w:color w:val="000000" w:themeColor="text1"/>
          <w:sz w:val="24"/>
          <w:szCs w:val="24"/>
          <w:lang w:val="zh-CN"/>
          <w14:textFill>
            <w14:solidFill>
              <w14:schemeClr w14:val="tx1"/>
            </w14:solidFill>
          </w14:textFill>
        </w:rPr>
        <w:t>10</w:t>
      </w:r>
      <w:r>
        <w:rPr>
          <w:rFonts w:ascii="Times New Roman" w:hAnsiTheme="minorEastAsia" w:eastAsiaTheme="minorEastAsia"/>
          <w:b/>
          <w:bCs w:val="0"/>
          <w:color w:val="000000" w:themeColor="text1"/>
          <w:sz w:val="24"/>
          <w:szCs w:val="24"/>
          <w:lang w:val="zh-CN"/>
          <w14:textFill>
            <w14:solidFill>
              <w14:schemeClr w14:val="tx1"/>
            </w14:solidFill>
          </w14:textFill>
        </w:rPr>
        <w:t>-</w:t>
      </w:r>
      <w:r>
        <w:rPr>
          <w:rFonts w:hint="eastAsia" w:ascii="Times New Roman" w:hAnsiTheme="minorEastAsia" w:eastAsiaTheme="minorEastAsia"/>
          <w:b/>
          <w:bCs w:val="0"/>
          <w:color w:val="000000" w:themeColor="text1"/>
          <w:sz w:val="24"/>
          <w:szCs w:val="24"/>
          <w:lang w:val="zh-CN"/>
          <w14:textFill>
            <w14:solidFill>
              <w14:schemeClr w14:val="tx1"/>
            </w14:solidFill>
          </w14:textFill>
        </w:rPr>
        <w:t xml:space="preserve">1 </w:t>
      </w:r>
      <w:r>
        <w:rPr>
          <w:rFonts w:hint="eastAsia" w:ascii="Times New Roman" w:hAnsi="Times New Roman" w:eastAsiaTheme="minorEastAsia"/>
          <w:b/>
          <w:bCs w:val="0"/>
          <w:color w:val="000000" w:themeColor="text1"/>
          <w:sz w:val="24"/>
          <w:szCs w:val="24"/>
          <w:lang w:val="zh-CN"/>
          <w14:textFill>
            <w14:solidFill>
              <w14:schemeClr w14:val="tx1"/>
            </w14:solidFill>
          </w14:textFill>
        </w:rPr>
        <w:t xml:space="preserve">   </w:t>
      </w:r>
      <w:r>
        <w:rPr>
          <w:rFonts w:ascii="Times New Roman" w:hAnsiTheme="minorEastAsia" w:eastAsiaTheme="minorEastAsia"/>
          <w:b/>
          <w:bCs w:val="0"/>
          <w:color w:val="000000" w:themeColor="text1"/>
          <w:sz w:val="24"/>
          <w:szCs w:val="24"/>
          <w:lang w:val="zh-CN"/>
          <w14:textFill>
            <w14:solidFill>
              <w14:schemeClr w14:val="tx1"/>
            </w14:solidFill>
          </w14:textFill>
        </w:rPr>
        <w:t>评价区域主要环境保护目标</w:t>
      </w:r>
    </w:p>
    <w:tbl>
      <w:tblPr>
        <w:tblStyle w:val="87"/>
        <w:tblW w:w="9098" w:type="dxa"/>
        <w:tblInd w:w="-7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06"/>
        <w:gridCol w:w="1081"/>
        <w:gridCol w:w="1253"/>
        <w:gridCol w:w="1395"/>
        <w:gridCol w:w="1620"/>
        <w:gridCol w:w="955"/>
        <w:gridCol w:w="768"/>
        <w:gridCol w:w="14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6" w:type="dxa"/>
            <w:vMerge w:val="restart"/>
            <w:tcBorders>
              <w:tl2br w:val="nil"/>
              <w:tr2bl w:val="nil"/>
            </w:tcBorders>
            <w:vAlign w:val="center"/>
          </w:tcPr>
          <w:p>
            <w:pPr>
              <w:pStyle w:val="262"/>
              <w:snapToGrid w:val="0"/>
              <w:spacing w:line="300" w:lineRule="exact"/>
              <w:ind w:firstLine="0"/>
              <w:jc w:val="center"/>
              <w:rPr>
                <w:rFonts w:ascii="Times New Roman" w:hAnsiTheme="minorEastAsia" w:eastAsiaTheme="minorEastAsia"/>
                <w:bCs w:val="0"/>
                <w:color w:val="000000" w:themeColor="text1"/>
                <w:sz w:val="18"/>
                <w:szCs w:val="18"/>
                <w14:textFill>
                  <w14:solidFill>
                    <w14:schemeClr w14:val="tx1"/>
                  </w14:solidFill>
                </w14:textFill>
              </w:rPr>
            </w:pPr>
            <w:r>
              <w:rPr>
                <w:rFonts w:hint="eastAsia" w:ascii="Times New Roman" w:hAnsiTheme="minorEastAsia" w:eastAsiaTheme="minorEastAsia"/>
                <w:bCs w:val="0"/>
                <w:color w:val="000000" w:themeColor="text1"/>
                <w:sz w:val="18"/>
                <w:szCs w:val="18"/>
                <w14:textFill>
                  <w14:solidFill>
                    <w14:schemeClr w14:val="tx1"/>
                  </w14:solidFill>
                </w14:textFill>
              </w:rPr>
              <w:t>环境</w:t>
            </w:r>
          </w:p>
          <w:p>
            <w:pPr>
              <w:pStyle w:val="262"/>
              <w:snapToGrid w:val="0"/>
              <w:spacing w:line="300" w:lineRule="exact"/>
              <w:ind w:firstLine="0"/>
              <w:jc w:val="center"/>
              <w:rPr>
                <w:rFonts w:ascii="Times New Roman" w:hAnsi="Times New Roman" w:eastAsiaTheme="minorEastAsia"/>
                <w:bCs w:val="0"/>
                <w:color w:val="000000" w:themeColor="text1"/>
                <w:sz w:val="21"/>
                <w:szCs w:val="21"/>
                <w14:textFill>
                  <w14:solidFill>
                    <w14:schemeClr w14:val="tx1"/>
                  </w14:solidFill>
                </w14:textFill>
              </w:rPr>
            </w:pPr>
            <w:r>
              <w:rPr>
                <w:rFonts w:hint="eastAsia" w:ascii="Times New Roman" w:hAnsiTheme="minorEastAsia" w:eastAsiaTheme="minorEastAsia"/>
                <w:bCs w:val="0"/>
                <w:color w:val="000000" w:themeColor="text1"/>
                <w:sz w:val="18"/>
                <w:szCs w:val="18"/>
                <w14:textFill>
                  <w14:solidFill>
                    <w14:schemeClr w14:val="tx1"/>
                  </w14:solidFill>
                </w14:textFill>
              </w:rPr>
              <w:t>要素</w:t>
            </w:r>
          </w:p>
        </w:tc>
        <w:tc>
          <w:tcPr>
            <w:tcW w:w="1081" w:type="dxa"/>
            <w:vMerge w:val="restart"/>
            <w:tcBorders>
              <w:tl2br w:val="nil"/>
              <w:tr2bl w:val="nil"/>
            </w:tcBorders>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保护目标</w:t>
            </w:r>
          </w:p>
          <w:p>
            <w:pPr>
              <w:jc w:val="center"/>
              <w:rPr>
                <w:rFonts w:ascii="Times New Roman" w:hAnsi="Times New Roman"/>
                <w:color w:val="000000" w:themeColor="text1"/>
                <w:szCs w:val="21"/>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名称</w:t>
            </w:r>
          </w:p>
        </w:tc>
        <w:tc>
          <w:tcPr>
            <w:tcW w:w="2648" w:type="dxa"/>
            <w:gridSpan w:val="2"/>
            <w:tcBorders>
              <w:tl2br w:val="nil"/>
              <w:tr2bl w:val="nil"/>
            </w:tcBorders>
          </w:tcPr>
          <w:p>
            <w:pPr>
              <w:pStyle w:val="383"/>
              <w:spacing w:before="82"/>
              <w:ind w:left="414"/>
              <w:jc w:val="left"/>
              <w:rPr>
                <w:rFonts w:ascii="宋体"/>
                <w:bCs/>
                <w:color w:val="000000" w:themeColor="text1"/>
                <w:sz w:val="18"/>
                <w14:textFill>
                  <w14:solidFill>
                    <w14:schemeClr w14:val="tx1"/>
                  </w14:solidFill>
                </w14:textFill>
              </w:rPr>
            </w:pPr>
            <w:r>
              <w:rPr>
                <w:rFonts w:hint="eastAsia" w:ascii="宋体"/>
                <w:bCs/>
                <w:color w:val="000000" w:themeColor="text1"/>
                <w:sz w:val="18"/>
                <w14:textFill>
                  <w14:solidFill>
                    <w14:schemeClr w14:val="tx1"/>
                  </w14:solidFill>
                </w14:textFill>
              </w:rPr>
              <w:t>距离厂址最近点位坐标</w:t>
            </w:r>
          </w:p>
        </w:tc>
        <w:tc>
          <w:tcPr>
            <w:tcW w:w="1620" w:type="dxa"/>
            <w:vMerge w:val="restart"/>
            <w:tcBorders>
              <w:tl2br w:val="nil"/>
              <w:tr2bl w:val="nil"/>
            </w:tcBorders>
          </w:tcPr>
          <w:p>
            <w:pPr>
              <w:pStyle w:val="383"/>
              <w:spacing w:before="4"/>
              <w:jc w:val="left"/>
              <w:rPr>
                <w:rFonts w:ascii="宋体"/>
                <w:bCs/>
                <w:color w:val="000000" w:themeColor="text1"/>
                <w:sz w:val="22"/>
                <w14:textFill>
                  <w14:solidFill>
                    <w14:schemeClr w14:val="tx1"/>
                  </w14:solidFill>
                </w14:textFill>
              </w:rPr>
            </w:pPr>
          </w:p>
          <w:p>
            <w:pPr>
              <w:pStyle w:val="383"/>
              <w:spacing w:before="1"/>
              <w:ind w:left="403"/>
              <w:jc w:val="left"/>
              <w:rPr>
                <w:rFonts w:ascii="宋体"/>
                <w:bCs/>
                <w:color w:val="000000" w:themeColor="text1"/>
                <w:sz w:val="18"/>
                <w14:textFill>
                  <w14:solidFill>
                    <w14:schemeClr w14:val="tx1"/>
                  </w14:solidFill>
                </w14:textFill>
              </w:rPr>
            </w:pPr>
            <w:r>
              <w:rPr>
                <w:rFonts w:hint="eastAsia" w:ascii="宋体"/>
                <w:bCs/>
                <w:color w:val="000000" w:themeColor="text1"/>
                <w:sz w:val="18"/>
                <w14:textFill>
                  <w14:solidFill>
                    <w14:schemeClr w14:val="tx1"/>
                  </w14:solidFill>
                </w14:textFill>
              </w:rPr>
              <w:t>保护对象</w:t>
            </w:r>
          </w:p>
        </w:tc>
        <w:tc>
          <w:tcPr>
            <w:tcW w:w="955" w:type="dxa"/>
            <w:vMerge w:val="restart"/>
            <w:tcBorders>
              <w:tl2br w:val="nil"/>
              <w:tr2bl w:val="nil"/>
            </w:tcBorders>
          </w:tcPr>
          <w:p>
            <w:pPr>
              <w:pStyle w:val="383"/>
              <w:spacing w:before="2"/>
              <w:jc w:val="left"/>
              <w:rPr>
                <w:rFonts w:ascii="宋体"/>
                <w:bCs/>
                <w:color w:val="000000" w:themeColor="text1"/>
                <w:sz w:val="13"/>
                <w14:textFill>
                  <w14:solidFill>
                    <w14:schemeClr w14:val="tx1"/>
                  </w14:solidFill>
                </w14:textFill>
              </w:rPr>
            </w:pPr>
          </w:p>
          <w:p>
            <w:pPr>
              <w:pStyle w:val="383"/>
              <w:spacing w:line="242" w:lineRule="auto"/>
              <w:ind w:left="171" w:right="69" w:hanging="92"/>
              <w:jc w:val="left"/>
              <w:rPr>
                <w:rFonts w:ascii="宋体"/>
                <w:bCs/>
                <w:color w:val="000000" w:themeColor="text1"/>
                <w:sz w:val="18"/>
                <w14:textFill>
                  <w14:solidFill>
                    <w14:schemeClr w14:val="tx1"/>
                  </w14:solidFill>
                </w14:textFill>
              </w:rPr>
            </w:pPr>
            <w:r>
              <w:rPr>
                <w:rFonts w:hint="eastAsia" w:ascii="宋体"/>
                <w:bCs/>
                <w:color w:val="000000" w:themeColor="text1"/>
                <w:sz w:val="18"/>
                <w14:textFill>
                  <w14:solidFill>
                    <w14:schemeClr w14:val="tx1"/>
                  </w14:solidFill>
                </w14:textFill>
              </w:rPr>
              <w:t>环境功能区</w:t>
            </w:r>
          </w:p>
        </w:tc>
        <w:tc>
          <w:tcPr>
            <w:tcW w:w="768" w:type="dxa"/>
            <w:vMerge w:val="restart"/>
            <w:tcBorders>
              <w:tl2br w:val="nil"/>
              <w:tr2bl w:val="nil"/>
            </w:tcBorders>
          </w:tcPr>
          <w:p>
            <w:pPr>
              <w:pStyle w:val="383"/>
              <w:spacing w:before="2"/>
              <w:jc w:val="left"/>
              <w:rPr>
                <w:rFonts w:ascii="宋体"/>
                <w:bCs/>
                <w:color w:val="000000" w:themeColor="text1"/>
                <w:sz w:val="13"/>
                <w14:textFill>
                  <w14:solidFill>
                    <w14:schemeClr w14:val="tx1"/>
                  </w14:solidFill>
                </w14:textFill>
              </w:rPr>
            </w:pPr>
          </w:p>
          <w:p>
            <w:pPr>
              <w:pStyle w:val="383"/>
              <w:spacing w:line="242" w:lineRule="auto"/>
              <w:ind w:left="86" w:right="73"/>
              <w:jc w:val="left"/>
              <w:rPr>
                <w:rFonts w:ascii="宋体"/>
                <w:bCs/>
                <w:color w:val="000000" w:themeColor="text1"/>
                <w:sz w:val="18"/>
                <w14:textFill>
                  <w14:solidFill>
                    <w14:schemeClr w14:val="tx1"/>
                  </w14:solidFill>
                </w14:textFill>
              </w:rPr>
            </w:pPr>
            <w:r>
              <w:rPr>
                <w:rFonts w:hint="eastAsia" w:ascii="宋体"/>
                <w:bCs/>
                <w:color w:val="000000" w:themeColor="text1"/>
                <w:sz w:val="18"/>
                <w14:textFill>
                  <w14:solidFill>
                    <w14:schemeClr w14:val="tx1"/>
                  </w14:solidFill>
                </w14:textFill>
              </w:rPr>
              <w:t>相对厂址方位</w:t>
            </w:r>
          </w:p>
        </w:tc>
        <w:tc>
          <w:tcPr>
            <w:tcW w:w="1420" w:type="dxa"/>
            <w:vMerge w:val="restart"/>
            <w:tcBorders>
              <w:tl2br w:val="nil"/>
              <w:tr2bl w:val="nil"/>
            </w:tcBorders>
          </w:tcPr>
          <w:p>
            <w:pPr>
              <w:pStyle w:val="383"/>
              <w:spacing w:before="169"/>
              <w:ind w:left="24"/>
              <w:jc w:val="left"/>
              <w:rPr>
                <w:rFonts w:ascii="宋体"/>
                <w:bCs/>
                <w:color w:val="000000" w:themeColor="text1"/>
                <w:sz w:val="18"/>
                <w14:textFill>
                  <w14:solidFill>
                    <w14:schemeClr w14:val="tx1"/>
                  </w14:solidFill>
                </w14:textFill>
              </w:rPr>
            </w:pPr>
            <w:r>
              <w:rPr>
                <w:rFonts w:hint="eastAsia" w:ascii="宋体"/>
                <w:bCs/>
                <w:color w:val="000000" w:themeColor="text1"/>
                <w:sz w:val="18"/>
                <w14:textFill>
                  <w14:solidFill>
                    <w14:schemeClr w14:val="tx1"/>
                  </w14:solidFill>
                </w14:textFill>
              </w:rPr>
              <w:t>相对厂界距离</w:t>
            </w:r>
            <w:r>
              <w:rPr>
                <w:bCs/>
                <w:color w:val="000000" w:themeColor="text1"/>
                <w:sz w:val="18"/>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vMerge w:val="continue"/>
            <w:tcBorders>
              <w:tl2br w:val="nil"/>
              <w:tr2bl w:val="nil"/>
            </w:tcBorders>
          </w:tcPr>
          <w:p>
            <w:pPr>
              <w:rPr>
                <w:color w:val="000000" w:themeColor="text1"/>
                <w:sz w:val="2"/>
                <w:szCs w:val="2"/>
                <w14:textFill>
                  <w14:solidFill>
                    <w14:schemeClr w14:val="tx1"/>
                  </w14:solidFill>
                </w14:textFill>
              </w:rPr>
            </w:pPr>
          </w:p>
        </w:tc>
        <w:tc>
          <w:tcPr>
            <w:tcW w:w="1253" w:type="dxa"/>
            <w:tcBorders>
              <w:tl2br w:val="nil"/>
              <w:tr2bl w:val="nil"/>
            </w:tcBorders>
          </w:tcPr>
          <w:p>
            <w:pPr>
              <w:pStyle w:val="383"/>
              <w:spacing w:before="83"/>
              <w:ind w:left="144" w:right="136"/>
              <w:jc w:val="center"/>
              <w:rPr>
                <w:rFonts w:ascii="宋体"/>
                <w:bCs/>
                <w:color w:val="000000" w:themeColor="text1"/>
                <w:sz w:val="18"/>
                <w14:textFill>
                  <w14:solidFill>
                    <w14:schemeClr w14:val="tx1"/>
                  </w14:solidFill>
                </w14:textFill>
              </w:rPr>
            </w:pPr>
            <w:r>
              <w:rPr>
                <w:rFonts w:hint="eastAsia" w:ascii="宋体"/>
                <w:bCs/>
                <w:color w:val="000000" w:themeColor="text1"/>
                <w:sz w:val="18"/>
                <w14:textFill>
                  <w14:solidFill>
                    <w14:schemeClr w14:val="tx1"/>
                  </w14:solidFill>
                </w14:textFill>
              </w:rPr>
              <w:t>经度</w:t>
            </w:r>
          </w:p>
        </w:tc>
        <w:tc>
          <w:tcPr>
            <w:tcW w:w="1395" w:type="dxa"/>
            <w:tcBorders>
              <w:tl2br w:val="nil"/>
              <w:tr2bl w:val="nil"/>
            </w:tcBorders>
          </w:tcPr>
          <w:p>
            <w:pPr>
              <w:pStyle w:val="383"/>
              <w:spacing w:before="83"/>
              <w:ind w:left="139" w:right="129"/>
              <w:jc w:val="center"/>
              <w:rPr>
                <w:rFonts w:ascii="宋体"/>
                <w:bCs/>
                <w:color w:val="000000" w:themeColor="text1"/>
                <w:sz w:val="18"/>
                <w14:textFill>
                  <w14:solidFill>
                    <w14:schemeClr w14:val="tx1"/>
                  </w14:solidFill>
                </w14:textFill>
              </w:rPr>
            </w:pPr>
            <w:r>
              <w:rPr>
                <w:rFonts w:hint="eastAsia" w:ascii="宋体"/>
                <w:bCs/>
                <w:color w:val="000000" w:themeColor="text1"/>
                <w:sz w:val="18"/>
                <w14:textFill>
                  <w14:solidFill>
                    <w14:schemeClr w14:val="tx1"/>
                  </w14:solidFill>
                </w14:textFill>
              </w:rPr>
              <w:t>纬度</w:t>
            </w:r>
          </w:p>
        </w:tc>
        <w:tc>
          <w:tcPr>
            <w:tcW w:w="1620" w:type="dxa"/>
            <w:vMerge w:val="continue"/>
            <w:tcBorders>
              <w:tl2br w:val="nil"/>
              <w:tr2bl w:val="nil"/>
            </w:tcBorders>
          </w:tcPr>
          <w:p>
            <w:pPr>
              <w:rPr>
                <w:color w:val="000000" w:themeColor="text1"/>
                <w:sz w:val="2"/>
                <w:szCs w:val="2"/>
                <w14:textFill>
                  <w14:solidFill>
                    <w14:schemeClr w14:val="tx1"/>
                  </w14:solidFill>
                </w14:textFill>
              </w:rPr>
            </w:pP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vMerge w:val="continue"/>
            <w:tcBorders>
              <w:tl2br w:val="nil"/>
              <w:tr2bl w:val="nil"/>
            </w:tcBorders>
          </w:tcPr>
          <w:p>
            <w:pPr>
              <w:rPr>
                <w:color w:val="000000" w:themeColor="text1"/>
                <w:sz w:val="2"/>
                <w:szCs w:val="2"/>
                <w14:textFill>
                  <w14:solidFill>
                    <w14:schemeClr w14:val="tx1"/>
                  </w14:solidFill>
                </w14:textFill>
              </w:rPr>
            </w:pPr>
          </w:p>
        </w:tc>
        <w:tc>
          <w:tcPr>
            <w:tcW w:w="1420" w:type="dxa"/>
            <w:vMerge w:val="continue"/>
            <w:tcBorders>
              <w:tl2br w:val="nil"/>
              <w:tr2bl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restart"/>
            <w:tcBorders>
              <w:tl2br w:val="nil"/>
              <w:tr2bl w:val="nil"/>
            </w:tcBorders>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环境</w:t>
            </w:r>
          </w:p>
          <w:p>
            <w:pPr>
              <w:jc w:val="center"/>
              <w:rPr>
                <w:rFonts w:ascii="Times New Roman" w:hAnsi="Times New Roman"/>
                <w:color w:val="000000" w:themeColor="text1"/>
                <w:szCs w:val="21"/>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空气</w:t>
            </w:r>
          </w:p>
        </w:tc>
        <w:tc>
          <w:tcPr>
            <w:tcW w:w="1081"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安桥</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30.22152</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111.53008</w:t>
            </w:r>
            <w:r>
              <w:rPr>
                <w:rFonts w:hint="eastAsia" w:ascii="Times New Roman" w:hAnsi="Times New Roman" w:cs="Times New Roman"/>
                <w:color w:val="000000" w:themeColor="text1"/>
                <w:sz w:val="18"/>
                <w14:textFill>
                  <w14:solidFill>
                    <w14:schemeClr w14:val="tx1"/>
                  </w14:solidFill>
                </w14:textFill>
              </w:rPr>
              <w:t>1</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50</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164</w:t>
            </w:r>
            <w:r>
              <w:rPr>
                <w:rFonts w:ascii="Times New Roman" w:hAnsi="Times New Roman" w:cs="Times New Roman"/>
                <w:color w:val="000000" w:themeColor="text1"/>
                <w:sz w:val="18"/>
                <w14:textFill>
                  <w14:solidFill>
                    <w14:schemeClr w14:val="tx1"/>
                  </w14:solidFill>
                </w14:textFill>
              </w:rPr>
              <w:t>人</w:t>
            </w:r>
          </w:p>
        </w:tc>
        <w:tc>
          <w:tcPr>
            <w:tcW w:w="955" w:type="dxa"/>
            <w:vMerge w:val="restart"/>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《环境空气质量标准》(GB3095-2012)二类区域</w:t>
            </w:r>
          </w:p>
        </w:tc>
        <w:tc>
          <w:tcPr>
            <w:tcW w:w="768" w:type="dxa"/>
            <w:tcBorders>
              <w:tl2br w:val="nil"/>
              <w:tr2bl w:val="nil"/>
            </w:tcBorders>
          </w:tcPr>
          <w:p>
            <w:pPr>
              <w:pStyle w:val="383"/>
              <w:spacing w:before="94"/>
              <w:ind w:left="174" w:right="165"/>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S</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2549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石马冲</w:t>
            </w:r>
          </w:p>
        </w:tc>
        <w:tc>
          <w:tcPr>
            <w:tcW w:w="1253" w:type="dxa"/>
            <w:tcBorders>
              <w:tl2br w:val="nil"/>
              <w:tr2bl w:val="nil"/>
            </w:tcBorders>
          </w:tcPr>
          <w:p>
            <w:pPr>
              <w:pStyle w:val="383"/>
              <w:spacing w:before="95"/>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30.231047</w:t>
            </w:r>
          </w:p>
        </w:tc>
        <w:tc>
          <w:tcPr>
            <w:tcW w:w="1395" w:type="dxa"/>
            <w:tcBorders>
              <w:tl2br w:val="nil"/>
              <w:tr2bl w:val="nil"/>
            </w:tcBorders>
          </w:tcPr>
          <w:p>
            <w:pPr>
              <w:pStyle w:val="383"/>
              <w:spacing w:before="95"/>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111.529546</w:t>
            </w:r>
          </w:p>
        </w:tc>
        <w:tc>
          <w:tcPr>
            <w:tcW w:w="1620" w:type="dxa"/>
            <w:tcBorders>
              <w:tl2br w:val="nil"/>
              <w:tr2bl w:val="nil"/>
            </w:tcBorders>
          </w:tcPr>
          <w:p>
            <w:pPr>
              <w:pStyle w:val="383"/>
              <w:spacing w:before="83"/>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15</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47</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5"/>
              <w:ind w:left="10"/>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SW</w:t>
            </w:r>
          </w:p>
        </w:tc>
        <w:tc>
          <w:tcPr>
            <w:tcW w:w="1420" w:type="dxa"/>
            <w:tcBorders>
              <w:tl2br w:val="nil"/>
              <w:tr2bl w:val="nil"/>
            </w:tcBorders>
          </w:tcPr>
          <w:p>
            <w:pPr>
              <w:pStyle w:val="383"/>
              <w:spacing w:before="95"/>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1517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黄家湾</w:t>
            </w:r>
          </w:p>
        </w:tc>
        <w:tc>
          <w:tcPr>
            <w:tcW w:w="1253" w:type="dxa"/>
            <w:tcBorders>
              <w:tl2br w:val="nil"/>
              <w:tr2bl w:val="nil"/>
            </w:tcBorders>
          </w:tcPr>
          <w:p>
            <w:pPr>
              <w:pStyle w:val="383"/>
              <w:spacing w:before="130"/>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30.230768</w:t>
            </w:r>
          </w:p>
        </w:tc>
        <w:tc>
          <w:tcPr>
            <w:tcW w:w="1395" w:type="dxa"/>
            <w:tcBorders>
              <w:tl2br w:val="nil"/>
              <w:tr2bl w:val="nil"/>
            </w:tcBorders>
          </w:tcPr>
          <w:p>
            <w:pPr>
              <w:pStyle w:val="383"/>
              <w:spacing w:before="130"/>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111.512273</w:t>
            </w:r>
          </w:p>
        </w:tc>
        <w:tc>
          <w:tcPr>
            <w:tcW w:w="1620" w:type="dxa"/>
            <w:tcBorders>
              <w:tl2br w:val="nil"/>
              <w:tr2bl w:val="nil"/>
            </w:tcBorders>
          </w:tcPr>
          <w:p>
            <w:pPr>
              <w:pStyle w:val="383"/>
              <w:spacing w:before="118"/>
              <w:ind w:left="68" w:right="6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64</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202</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130"/>
              <w:ind w:left="174" w:right="165"/>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SW</w:t>
            </w:r>
          </w:p>
        </w:tc>
        <w:tc>
          <w:tcPr>
            <w:tcW w:w="1420" w:type="dxa"/>
            <w:tcBorders>
              <w:tl2br w:val="nil"/>
              <w:tr2bl w:val="nil"/>
            </w:tcBorders>
          </w:tcPr>
          <w:p>
            <w:pPr>
              <w:pStyle w:val="383"/>
              <w:spacing w:before="130"/>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2556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官坪村</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30.247602</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111.528699</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62</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179</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WN</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633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回龙垱村</w:t>
            </w:r>
          </w:p>
        </w:tc>
        <w:tc>
          <w:tcPr>
            <w:tcW w:w="1253" w:type="dxa"/>
            <w:tcBorders>
              <w:tl2br w:val="nil"/>
              <w:tr2bl w:val="nil"/>
            </w:tcBorders>
          </w:tcPr>
          <w:p>
            <w:pPr>
              <w:pStyle w:val="383"/>
              <w:spacing w:before="93"/>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30.243707</w:t>
            </w:r>
          </w:p>
        </w:tc>
        <w:tc>
          <w:tcPr>
            <w:tcW w:w="1395" w:type="dxa"/>
            <w:tcBorders>
              <w:tl2br w:val="nil"/>
              <w:tr2bl w:val="nil"/>
            </w:tcBorders>
          </w:tcPr>
          <w:p>
            <w:pPr>
              <w:pStyle w:val="383"/>
              <w:spacing w:before="93"/>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111.514622</w:t>
            </w:r>
          </w:p>
        </w:tc>
        <w:tc>
          <w:tcPr>
            <w:tcW w:w="1620" w:type="dxa"/>
            <w:tcBorders>
              <w:tl2br w:val="nil"/>
              <w:tr2bl w:val="nil"/>
            </w:tcBorders>
          </w:tcPr>
          <w:p>
            <w:pPr>
              <w:pStyle w:val="383"/>
              <w:spacing w:before="81"/>
              <w:ind w:left="68" w:right="6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97</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286</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3"/>
              <w:ind w:left="174" w:right="168"/>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W</w:t>
            </w:r>
          </w:p>
        </w:tc>
        <w:tc>
          <w:tcPr>
            <w:tcW w:w="1420" w:type="dxa"/>
            <w:tcBorders>
              <w:tl2br w:val="nil"/>
              <w:tr2bl w:val="nil"/>
            </w:tcBorders>
          </w:tcPr>
          <w:p>
            <w:pPr>
              <w:pStyle w:val="383"/>
              <w:spacing w:before="93"/>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1817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桃子岭</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30.238386</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111.548010</w:t>
            </w:r>
          </w:p>
        </w:tc>
        <w:tc>
          <w:tcPr>
            <w:tcW w:w="1620" w:type="dxa"/>
            <w:tcBorders>
              <w:tl2br w:val="nil"/>
              <w:tr2bl w:val="nil"/>
            </w:tcBorders>
          </w:tcPr>
          <w:p>
            <w:pPr>
              <w:pStyle w:val="383"/>
              <w:spacing w:before="82"/>
              <w:ind w:left="68" w:right="6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26</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75</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8"/>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SE</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1448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朱家湾</w:t>
            </w:r>
          </w:p>
        </w:tc>
        <w:tc>
          <w:tcPr>
            <w:tcW w:w="1253" w:type="dxa"/>
            <w:tcBorders>
              <w:tl2br w:val="nil"/>
              <w:tr2bl w:val="nil"/>
            </w:tcBorders>
          </w:tcPr>
          <w:p>
            <w:pPr>
              <w:pStyle w:val="383"/>
              <w:spacing w:before="95"/>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30.236154</w:t>
            </w:r>
          </w:p>
        </w:tc>
        <w:tc>
          <w:tcPr>
            <w:tcW w:w="1395" w:type="dxa"/>
            <w:tcBorders>
              <w:tl2br w:val="nil"/>
              <w:tr2bl w:val="nil"/>
            </w:tcBorders>
          </w:tcPr>
          <w:p>
            <w:pPr>
              <w:pStyle w:val="383"/>
              <w:spacing w:before="95"/>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111.530480</w:t>
            </w:r>
          </w:p>
        </w:tc>
        <w:tc>
          <w:tcPr>
            <w:tcW w:w="1620" w:type="dxa"/>
            <w:tcBorders>
              <w:tl2br w:val="nil"/>
              <w:tr2bl w:val="nil"/>
            </w:tcBorders>
          </w:tcPr>
          <w:p>
            <w:pPr>
              <w:pStyle w:val="383"/>
              <w:spacing w:before="83"/>
              <w:ind w:left="68" w:right="6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35</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102</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5"/>
              <w:ind w:left="1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t>
            </w:r>
            <w:r>
              <w:rPr>
                <w:rFonts w:hint="eastAsia" w:ascii="Times New Roman" w:hAnsi="Times New Roman" w:cs="Times New Roman"/>
                <w:color w:val="000000" w:themeColor="text1"/>
                <w:sz w:val="18"/>
                <w14:textFill>
                  <w14:solidFill>
                    <w14:schemeClr w14:val="tx1"/>
                  </w14:solidFill>
                </w14:textFill>
              </w:rPr>
              <w:t>W</w:t>
            </w:r>
          </w:p>
        </w:tc>
        <w:tc>
          <w:tcPr>
            <w:tcW w:w="1420" w:type="dxa"/>
            <w:tcBorders>
              <w:tl2br w:val="nil"/>
              <w:tr2bl w:val="nil"/>
            </w:tcBorders>
          </w:tcPr>
          <w:p>
            <w:pPr>
              <w:pStyle w:val="383"/>
              <w:spacing w:before="95"/>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931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洋溪村</w:t>
            </w:r>
          </w:p>
        </w:tc>
        <w:tc>
          <w:tcPr>
            <w:tcW w:w="1253" w:type="dxa"/>
            <w:tcBorders>
              <w:tl2br w:val="nil"/>
              <w:tr2bl w:val="nil"/>
            </w:tcBorders>
          </w:tcPr>
          <w:p>
            <w:pPr>
              <w:pStyle w:val="383"/>
              <w:spacing w:before="93"/>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30.253599</w:t>
            </w:r>
          </w:p>
        </w:tc>
        <w:tc>
          <w:tcPr>
            <w:tcW w:w="1395" w:type="dxa"/>
            <w:tcBorders>
              <w:tl2br w:val="nil"/>
              <w:tr2bl w:val="nil"/>
            </w:tcBorders>
          </w:tcPr>
          <w:p>
            <w:pPr>
              <w:pStyle w:val="383"/>
              <w:spacing w:before="93"/>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111.555091</w:t>
            </w:r>
          </w:p>
        </w:tc>
        <w:tc>
          <w:tcPr>
            <w:tcW w:w="1620" w:type="dxa"/>
            <w:tcBorders>
              <w:tl2br w:val="nil"/>
              <w:tr2bl w:val="nil"/>
            </w:tcBorders>
          </w:tcPr>
          <w:p>
            <w:pPr>
              <w:pStyle w:val="383"/>
              <w:spacing w:before="81"/>
              <w:ind w:left="68" w:right="6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968</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3246</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3"/>
              <w:ind w:left="10"/>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NE</w:t>
            </w:r>
          </w:p>
        </w:tc>
        <w:tc>
          <w:tcPr>
            <w:tcW w:w="1420" w:type="dxa"/>
            <w:tcBorders>
              <w:tl2br w:val="nil"/>
              <w:tr2bl w:val="nil"/>
            </w:tcBorders>
          </w:tcPr>
          <w:p>
            <w:pPr>
              <w:pStyle w:val="383"/>
              <w:spacing w:before="93"/>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2359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洋溪小学</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30.253599</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111.555091</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300人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E</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2271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文家冲</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30.235178</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111.541487</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50</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160</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4"/>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SE</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1192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艾家冲</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30.230618</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111.541938</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10</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30</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4"/>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SE</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1673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孙家冲</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30.225468</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111.542195</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40</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136</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4"/>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SE</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2191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徐家溪</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30.259543</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111.535114</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4</w:t>
            </w:r>
            <w:r>
              <w:rPr>
                <w:rFonts w:ascii="Times New Roman" w:hAnsi="Times New Roman" w:cs="Times New Roman"/>
                <w:color w:val="000000" w:themeColor="text1"/>
                <w:sz w:val="18"/>
                <w14:textFill>
                  <w14:solidFill>
                    <w14:schemeClr w14:val="tx1"/>
                  </w14:solidFill>
                </w14:textFill>
              </w:rPr>
              <w:t>户约</w:t>
            </w:r>
            <w:r>
              <w:rPr>
                <w:rFonts w:hint="eastAsia" w:ascii="Times New Roman" w:hAnsi="Times New Roman" w:cs="Times New Roman"/>
                <w:color w:val="000000" w:themeColor="text1"/>
                <w:sz w:val="18"/>
                <w14:textFill>
                  <w14:solidFill>
                    <w14:schemeClr w14:val="tx1"/>
                  </w14:solidFill>
                </w14:textFill>
              </w:rPr>
              <w:t>15</w:t>
            </w:r>
            <w:r>
              <w:rPr>
                <w:rFonts w:ascii="Times New Roman" w:hAnsi="Times New Roman" w:cs="Times New Roman"/>
                <w:color w:val="000000" w:themeColor="text1"/>
                <w:sz w:val="18"/>
                <w14:textFill>
                  <w14:solidFill>
                    <w14:schemeClr w14:val="tx1"/>
                  </w14:solidFill>
                </w14:textFill>
              </w:rPr>
              <w:t>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4"/>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N</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2077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6" w:type="dxa"/>
            <w:vMerge w:val="continue"/>
            <w:tcBorders>
              <w:tl2br w:val="nil"/>
              <w:tr2bl w:val="nil"/>
            </w:tcBorders>
          </w:tcPr>
          <w:p>
            <w:pPr>
              <w:rPr>
                <w:color w:val="000000" w:themeColor="text1"/>
                <w:sz w:val="2"/>
                <w:szCs w:val="2"/>
                <w14:textFill>
                  <w14:solidFill>
                    <w14:schemeClr w14:val="tx1"/>
                  </w14:solidFill>
                </w14:textFill>
              </w:rPr>
            </w:pPr>
          </w:p>
        </w:tc>
        <w:tc>
          <w:tcPr>
            <w:tcW w:w="1081"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石柱</w:t>
            </w:r>
          </w:p>
        </w:tc>
        <w:tc>
          <w:tcPr>
            <w:tcW w:w="1253" w:type="dxa"/>
            <w:tcBorders>
              <w:tl2br w:val="nil"/>
              <w:tr2bl w:val="nil"/>
            </w:tcBorders>
          </w:tcPr>
          <w:p>
            <w:pPr>
              <w:pStyle w:val="383"/>
              <w:spacing w:before="94"/>
              <w:ind w:left="146" w:right="13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30.255766</w:t>
            </w:r>
          </w:p>
        </w:tc>
        <w:tc>
          <w:tcPr>
            <w:tcW w:w="1395" w:type="dxa"/>
            <w:tcBorders>
              <w:tl2br w:val="nil"/>
              <w:tr2bl w:val="nil"/>
            </w:tcBorders>
          </w:tcPr>
          <w:p>
            <w:pPr>
              <w:pStyle w:val="383"/>
              <w:spacing w:before="94"/>
              <w:ind w:left="140" w:right="129"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111.548375</w:t>
            </w:r>
          </w:p>
        </w:tc>
        <w:tc>
          <w:tcPr>
            <w:tcW w:w="1620" w:type="dxa"/>
            <w:tcBorders>
              <w:tl2br w:val="nil"/>
              <w:tr2bl w:val="nil"/>
            </w:tcBorders>
          </w:tcPr>
          <w:p>
            <w:pPr>
              <w:pStyle w:val="383"/>
              <w:spacing w:before="82"/>
              <w:ind w:left="68" w:right="59"/>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50户约160人</w:t>
            </w:r>
          </w:p>
        </w:tc>
        <w:tc>
          <w:tcPr>
            <w:tcW w:w="955" w:type="dxa"/>
            <w:vMerge w:val="continue"/>
            <w:tcBorders>
              <w:tl2br w:val="nil"/>
              <w:tr2bl w:val="nil"/>
            </w:tcBorders>
          </w:tcPr>
          <w:p>
            <w:pPr>
              <w:rPr>
                <w:color w:val="000000" w:themeColor="text1"/>
                <w:sz w:val="2"/>
                <w:szCs w:val="2"/>
                <w14:textFill>
                  <w14:solidFill>
                    <w14:schemeClr w14:val="tx1"/>
                  </w14:solidFill>
                </w14:textFill>
              </w:rPr>
            </w:pPr>
          </w:p>
        </w:tc>
        <w:tc>
          <w:tcPr>
            <w:tcW w:w="768" w:type="dxa"/>
            <w:tcBorders>
              <w:tl2br w:val="nil"/>
              <w:tr2bl w:val="nil"/>
            </w:tcBorders>
          </w:tcPr>
          <w:p>
            <w:pPr>
              <w:pStyle w:val="383"/>
              <w:spacing w:before="94"/>
              <w:ind w:left="174" w:right="164"/>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NE</w:t>
            </w:r>
          </w:p>
        </w:tc>
        <w:tc>
          <w:tcPr>
            <w:tcW w:w="1420" w:type="dxa"/>
            <w:tcBorders>
              <w:tl2br w:val="nil"/>
              <w:tr2bl w:val="nil"/>
            </w:tcBorders>
          </w:tcPr>
          <w:p>
            <w:pPr>
              <w:pStyle w:val="383"/>
              <w:spacing w:before="94"/>
              <w:ind w:left="461" w:right="451"/>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1910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06"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噪声</w:t>
            </w:r>
          </w:p>
        </w:tc>
        <w:tc>
          <w:tcPr>
            <w:tcW w:w="3729" w:type="dxa"/>
            <w:gridSpan w:val="3"/>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项目周边200m范围内</w:t>
            </w:r>
          </w:p>
        </w:tc>
        <w:tc>
          <w:tcPr>
            <w:tcW w:w="1620"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w:t>
            </w:r>
          </w:p>
        </w:tc>
        <w:tc>
          <w:tcPr>
            <w:tcW w:w="955"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《声环境质量标准》（GB3096-2008）3类标准</w:t>
            </w:r>
          </w:p>
        </w:tc>
        <w:tc>
          <w:tcPr>
            <w:tcW w:w="768"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w:t>
            </w:r>
          </w:p>
        </w:tc>
        <w:tc>
          <w:tcPr>
            <w:tcW w:w="1420"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06" w:type="dxa"/>
            <w:tcBorders>
              <w:tl2br w:val="nil"/>
              <w:tr2bl w:val="nil"/>
            </w:tcBorders>
            <w:vAlign w:val="center"/>
          </w:tcPr>
          <w:p>
            <w:pPr>
              <w:widowControl/>
              <w:jc w:val="center"/>
              <w:rPr>
                <w:color w:val="000000" w:themeColor="text1"/>
                <w:sz w:val="2"/>
                <w:szCs w:val="2"/>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地表水</w:t>
            </w:r>
          </w:p>
        </w:tc>
        <w:tc>
          <w:tcPr>
            <w:tcW w:w="1081"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长江</w:t>
            </w:r>
          </w:p>
        </w:tc>
        <w:tc>
          <w:tcPr>
            <w:tcW w:w="1253"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w:t>
            </w:r>
          </w:p>
        </w:tc>
        <w:tc>
          <w:tcPr>
            <w:tcW w:w="1395"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w:t>
            </w:r>
          </w:p>
        </w:tc>
        <w:tc>
          <w:tcPr>
            <w:tcW w:w="1620"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长江水体</w:t>
            </w:r>
          </w:p>
        </w:tc>
        <w:tc>
          <w:tcPr>
            <w:tcW w:w="955" w:type="dxa"/>
            <w:tcBorders>
              <w:tl2br w:val="nil"/>
              <w:tr2bl w:val="nil"/>
            </w:tcBorders>
            <w:vAlign w:val="center"/>
          </w:tcPr>
          <w:p>
            <w:pPr>
              <w:widowControl/>
              <w:jc w:val="center"/>
              <w:rPr>
                <w:color w:val="000000" w:themeColor="text1"/>
                <w:sz w:val="2"/>
                <w:szCs w:val="2"/>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《地表水环境质量标准》</w:t>
            </w:r>
            <w:r>
              <w:rPr>
                <w:rFonts w:hint="eastAsia" w:ascii="Times New Roman" w:hAnsi="Times New Roman"/>
                <w:color w:val="000000" w:themeColor="text1"/>
                <w:sz w:val="18"/>
                <w:szCs w:val="18"/>
                <w14:textFill>
                  <w14:solidFill>
                    <w14:schemeClr w14:val="tx1"/>
                  </w14:solidFill>
                </w14:textFill>
              </w:rPr>
              <w:t>（GB3838-2002）</w:t>
            </w:r>
            <w:r>
              <w:rPr>
                <w:rFonts w:ascii="Times New Roman" w:hAnsi="Times New Roman"/>
                <w:color w:val="000000" w:themeColor="text1"/>
                <w:sz w:val="18"/>
                <w:szCs w:val="18"/>
                <w14:textFill>
                  <w14:solidFill>
                    <w14:schemeClr w14:val="tx1"/>
                  </w14:solidFill>
                </w14:textFill>
              </w:rPr>
              <w:t>III类</w:t>
            </w:r>
          </w:p>
        </w:tc>
        <w:tc>
          <w:tcPr>
            <w:tcW w:w="768"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SE</w:t>
            </w:r>
          </w:p>
        </w:tc>
        <w:tc>
          <w:tcPr>
            <w:tcW w:w="1420" w:type="dxa"/>
            <w:tcBorders>
              <w:tl2br w:val="nil"/>
              <w:tr2bl w:val="nil"/>
            </w:tcBorders>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宋体"/>
                <w:color w:val="000000" w:themeColor="text1"/>
                <w:kern w:val="0"/>
                <w:sz w:val="18"/>
                <w:szCs w:val="18"/>
                <w:lang w:val="en-US" w:eastAsia="zh-CN"/>
                <w14:textFill>
                  <w14:solidFill>
                    <w14:schemeClr w14:val="tx1"/>
                  </w14:solidFill>
                </w14:textFill>
              </w:rPr>
              <w:t>22</w:t>
            </w:r>
            <w:r>
              <w:rPr>
                <w:rFonts w:hint="eastAsia" w:ascii="Times New Roman" w:hAnsi="宋体"/>
                <w:color w:val="000000" w:themeColor="text1"/>
                <w:kern w:val="0"/>
                <w:sz w:val="18"/>
                <w:szCs w:val="18"/>
                <w14:textFill>
                  <w14:solidFill>
                    <w14:schemeClr w14:val="tx1"/>
                  </w14:solidFill>
                </w14:textFill>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06"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地下水</w:t>
            </w:r>
          </w:p>
        </w:tc>
        <w:tc>
          <w:tcPr>
            <w:tcW w:w="5349" w:type="dxa"/>
            <w:gridSpan w:val="4"/>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项目所在区域地下水水文地质单元6km</w:t>
            </w:r>
            <w:r>
              <w:rPr>
                <w:rFonts w:hint="eastAsia" w:ascii="Times New Roman" w:hAnsi="宋体"/>
                <w:color w:val="000000" w:themeColor="text1"/>
                <w:kern w:val="0"/>
                <w:sz w:val="18"/>
                <w:szCs w:val="18"/>
                <w:vertAlign w:val="superscript"/>
                <w14:textFill>
                  <w14:solidFill>
                    <w14:schemeClr w14:val="tx1"/>
                  </w14:solidFill>
                </w14:textFill>
              </w:rPr>
              <w:t>2</w:t>
            </w:r>
          </w:p>
        </w:tc>
        <w:tc>
          <w:tcPr>
            <w:tcW w:w="3143" w:type="dxa"/>
            <w:gridSpan w:val="3"/>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《地下水质量标准》（GB/T14848-2017）III类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06" w:type="dxa"/>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土壤</w:t>
            </w:r>
          </w:p>
        </w:tc>
        <w:tc>
          <w:tcPr>
            <w:tcW w:w="5349" w:type="dxa"/>
            <w:gridSpan w:val="4"/>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项目区为边界外扩200m的范围</w:t>
            </w:r>
          </w:p>
        </w:tc>
        <w:tc>
          <w:tcPr>
            <w:tcW w:w="3143" w:type="dxa"/>
            <w:gridSpan w:val="3"/>
            <w:tcBorders>
              <w:tl2br w:val="nil"/>
              <w:tr2bl w:val="nil"/>
            </w:tcBorders>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《土壤环境质量 建设用地土壤污染风险管控标准（试行）》</w:t>
            </w:r>
            <w:r>
              <w:rPr>
                <w:rFonts w:hint="eastAsia" w:ascii="Times New Roman" w:hAnsi="Times New Roman"/>
                <w:color w:val="000000" w:themeColor="text1"/>
                <w:sz w:val="18"/>
                <w:szCs w:val="18"/>
                <w14:textFill>
                  <w14:solidFill>
                    <w14:schemeClr w14:val="tx1"/>
                  </w14:solidFill>
                </w14:textFill>
              </w:rPr>
              <w:t>（GB36600-2018）</w:t>
            </w:r>
          </w:p>
        </w:tc>
      </w:tr>
    </w:tbl>
    <w:p>
      <w:pPr>
        <w:spacing w:line="480" w:lineRule="exact"/>
        <w:rPr>
          <w:rFonts w:eastAsia="仿宋_GB2312"/>
          <w:color w:val="000000" w:themeColor="text1"/>
          <w14:textFill>
            <w14:solidFill>
              <w14:schemeClr w14:val="tx1"/>
            </w14:solidFill>
          </w14:textFill>
        </w:rPr>
      </w:pPr>
    </w:p>
    <w:p>
      <w:pPr>
        <w:spacing w:line="480" w:lineRule="exact"/>
        <w:rPr>
          <w:rFonts w:eastAsia="仿宋_GB2312"/>
          <w:color w:val="000000" w:themeColor="text1"/>
          <w14:textFill>
            <w14:solidFill>
              <w14:schemeClr w14:val="tx1"/>
            </w14:solidFill>
          </w14:textFill>
        </w:rPr>
      </w:pPr>
    </w:p>
    <w:p>
      <w:pPr>
        <w:rPr>
          <w:rFonts w:ascii="黑体" w:hAnsi="黑体" w:eastAsia="黑体"/>
          <w:b/>
          <w:color w:val="000000" w:themeColor="text1"/>
          <w:sz w:val="44"/>
          <w:szCs w:val="44"/>
          <w14:textFill>
            <w14:solidFill>
              <w14:schemeClr w14:val="tx1"/>
            </w14:solidFill>
          </w14:textFill>
        </w:rPr>
      </w:pPr>
    </w:p>
    <w:p>
      <w:pPr>
        <w:pStyle w:val="380"/>
        <w:adjustRightInd w:val="0"/>
        <w:snapToGrid w:val="0"/>
        <w:spacing w:after="360" w:afterLines="150"/>
        <w:ind w:firstLine="0" w:firstLineChars="0"/>
        <w:jc w:val="center"/>
        <w:outlineLvl w:val="1"/>
        <w:rPr>
          <w:rFonts w:ascii="黑体" w:hAnsi="黑体" w:eastAsia="黑体"/>
          <w:b/>
          <w:color w:val="000000" w:themeColor="text1"/>
          <w:sz w:val="44"/>
          <w:szCs w:val="44"/>
          <w14:textFill>
            <w14:solidFill>
              <w14:schemeClr w14:val="tx1"/>
            </w14:solidFill>
          </w14:textFill>
        </w:rPr>
      </w:pPr>
      <w:bookmarkStart w:id="132" w:name="_Toc14661"/>
      <w:r>
        <w:rPr>
          <w:rFonts w:hint="eastAsia" w:ascii="Times New Roman" w:hAnsi="Times New Roman" w:eastAsia="黑体"/>
          <w:b/>
          <w:color w:val="000000" w:themeColor="text1"/>
          <w:sz w:val="44"/>
          <w:szCs w:val="44"/>
          <w:lang w:val="en-US" w:eastAsia="zh-CN"/>
          <w14:textFill>
            <w14:solidFill>
              <w14:schemeClr w14:val="tx1"/>
            </w14:solidFill>
          </w14:textFill>
        </w:rPr>
        <w:t>3</w:t>
      </w:r>
      <w:r>
        <w:rPr>
          <w:rFonts w:ascii="黑体" w:hAnsi="黑体" w:eastAsia="黑体"/>
          <w:b/>
          <w:color w:val="000000" w:themeColor="text1"/>
          <w:sz w:val="44"/>
          <w:szCs w:val="44"/>
          <w14:textFill>
            <w14:solidFill>
              <w14:schemeClr w14:val="tx1"/>
            </w14:solidFill>
          </w14:textFill>
        </w:rPr>
        <w:t>建设项目概况</w:t>
      </w:r>
      <w:bookmarkEnd w:id="132"/>
    </w:p>
    <w:p>
      <w:pPr>
        <w:pStyle w:val="380"/>
        <w:adjustRightInd w:val="0"/>
        <w:snapToGrid w:val="0"/>
        <w:spacing w:before="48" w:beforeLines="20" w:after="48" w:afterLines="20"/>
        <w:ind w:firstLine="0" w:firstLineChars="0"/>
        <w:jc w:val="left"/>
        <w:outlineLvl w:val="2"/>
        <w:rPr>
          <w:rFonts w:hint="default" w:ascii="黑体" w:hAnsi="黑体" w:eastAsia="黑体"/>
          <w:b/>
          <w:color w:val="000000" w:themeColor="text1"/>
          <w:sz w:val="32"/>
          <w:szCs w:val="32"/>
          <w:lang w:val="en-US" w:eastAsia="zh-CN"/>
          <w14:textFill>
            <w14:solidFill>
              <w14:schemeClr w14:val="tx1"/>
            </w14:solidFill>
          </w14:textFill>
        </w:rPr>
      </w:pPr>
      <w:bookmarkStart w:id="133" w:name="_Toc32332"/>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.1</w:t>
      </w:r>
      <w:r>
        <w:rPr>
          <w:rFonts w:hint="eastAsia" w:ascii="Times New Roman" w:hAnsi="Times New Roman" w:eastAsia="黑体"/>
          <w:b/>
          <w:color w:val="000000" w:themeColor="text1"/>
          <w:sz w:val="32"/>
          <w:szCs w:val="32"/>
          <w:lang w:val="en-US" w:eastAsia="zh-CN"/>
          <w14:textFill>
            <w14:solidFill>
              <w14:schemeClr w14:val="tx1"/>
            </w14:solidFill>
          </w14:textFill>
        </w:rPr>
        <w:t>建设地点及周边环境状况</w:t>
      </w:r>
      <w:bookmarkEnd w:id="133"/>
    </w:p>
    <w:p>
      <w:pPr>
        <w:tabs>
          <w:tab w:val="left" w:pos="-2160"/>
          <w:tab w:val="left" w:pos="3024"/>
        </w:tabs>
        <w:adjustRightInd w:val="0"/>
        <w:snapToGrid w:val="0"/>
        <w:spacing w:line="520" w:lineRule="exact"/>
        <w:ind w:firstLine="480" w:firstLineChars="200"/>
        <w:rPr>
          <w:rFonts w:hint="eastAsia" w:ascii="Times New Roman" w:hAnsi="宋体"/>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本项目</w:t>
      </w:r>
      <w:r>
        <w:rPr>
          <w:rFonts w:hint="eastAsia" w:ascii="Times New Roman" w:hAnsi="宋体"/>
          <w:color w:val="000000" w:themeColor="text1"/>
          <w:sz w:val="24"/>
          <w:szCs w:val="24"/>
          <w:lang w:val="en-US" w:eastAsia="zh-CN"/>
          <w14:textFill>
            <w14:solidFill>
              <w14:schemeClr w14:val="tx1"/>
            </w14:solidFill>
          </w14:textFill>
        </w:rPr>
        <w:t>建设地点位于</w:t>
      </w:r>
      <w:r>
        <w:rPr>
          <w:rFonts w:hint="eastAsia" w:ascii="Times New Roman" w:hAnsi="宋体"/>
          <w:color w:val="000000" w:themeColor="text1"/>
          <w:sz w:val="24"/>
          <w:szCs w:val="24"/>
          <w14:textFill>
            <w14:solidFill>
              <w14:schemeClr w14:val="tx1"/>
            </w14:solidFill>
          </w14:textFill>
        </w:rPr>
        <w:t>宜昌化工园宜都园区</w:t>
      </w:r>
      <w:r>
        <w:rPr>
          <w:rFonts w:hint="eastAsia" w:ascii="Times New Roman" w:hAnsi="宋体"/>
          <w:color w:val="000000" w:themeColor="text1"/>
          <w:sz w:val="24"/>
          <w:szCs w:val="24"/>
          <w:lang w:eastAsia="zh-CN"/>
          <w14:textFill>
            <w14:solidFill>
              <w14:schemeClr w14:val="tx1"/>
            </w14:solidFill>
          </w14:textFill>
        </w:rPr>
        <w:t>（</w:t>
      </w:r>
      <w:r>
        <w:rPr>
          <w:rFonts w:hint="eastAsia" w:ascii="Times New Roman" w:hAnsi="宋体"/>
          <w:color w:val="000000" w:themeColor="text1"/>
          <w:sz w:val="24"/>
          <w:szCs w:val="24"/>
          <w:lang w:val="en-US" w:eastAsia="zh-CN"/>
          <w14:textFill>
            <w14:solidFill>
              <w14:schemeClr w14:val="tx1"/>
            </w14:solidFill>
          </w14:textFill>
        </w:rPr>
        <w:t>宜都市枝城镇官坪村</w:t>
      </w:r>
      <w:r>
        <w:rPr>
          <w:rFonts w:hint="eastAsia" w:ascii="Times New Roman" w:hAnsi="宋体"/>
          <w:color w:val="000000" w:themeColor="text1"/>
          <w:sz w:val="24"/>
          <w:szCs w:val="24"/>
          <w:lang w:eastAsia="zh-CN"/>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lang w:val="en-US" w:eastAsia="zh-CN"/>
          <w14:textFill>
            <w14:solidFill>
              <w14:schemeClr w14:val="tx1"/>
            </w14:solidFill>
          </w14:textFill>
        </w:rPr>
        <w:t>项目中心地理坐标为东经</w:t>
      </w:r>
      <w:r>
        <w:rPr>
          <w:rFonts w:ascii="Times New Roman" w:hAnsi="Times New Roman" w:eastAsia="Times New Roman"/>
          <w:color w:val="000000" w:themeColor="text1"/>
          <w:sz w:val="24"/>
          <w:szCs w:val="24"/>
          <w14:textFill>
            <w14:solidFill>
              <w14:schemeClr w14:val="tx1"/>
            </w14:solidFill>
          </w14:textFill>
        </w:rPr>
        <w:t>111°31'46.33"</w:t>
      </w: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宋体"/>
          <w:color w:val="000000" w:themeColor="text1"/>
          <w:sz w:val="24"/>
          <w:szCs w:val="24"/>
          <w:lang w:val="en-US" w:eastAsia="zh-CN"/>
          <w14:textFill>
            <w14:solidFill>
              <w14:schemeClr w14:val="tx1"/>
            </w14:solidFill>
          </w14:textFill>
        </w:rPr>
        <w:t>北纬</w:t>
      </w:r>
      <w:r>
        <w:rPr>
          <w:rFonts w:hint="eastAsia" w:ascii="Times New Roman" w:hAnsi="Times New Roman"/>
          <w:color w:val="000000" w:themeColor="text1"/>
          <w:sz w:val="24"/>
          <w:szCs w:val="24"/>
          <w:lang w:val="en-US" w:eastAsia="zh-CN"/>
          <w14:textFill>
            <w14:solidFill>
              <w14:schemeClr w14:val="tx1"/>
            </w14:solidFill>
          </w14:textFill>
        </w:rPr>
        <w:t>30</w:t>
      </w:r>
      <w:r>
        <w:rPr>
          <w:rFonts w:ascii="Times New Roman" w:hAnsi="Times New Roman" w:eastAsia="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14</w:t>
      </w:r>
      <w:r>
        <w:rPr>
          <w:rFonts w:ascii="Times New Roman" w:hAnsi="Times New Roman" w:eastAsia="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37.64</w:t>
      </w:r>
      <w:r>
        <w:rPr>
          <w:rFonts w:ascii="Times New Roman" w:hAnsi="Times New Roman" w:eastAsia="Times New Roman"/>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w:t>
      </w:r>
    </w:p>
    <w:p>
      <w:pPr>
        <w:tabs>
          <w:tab w:val="left" w:pos="-2160"/>
          <w:tab w:val="left" w:pos="3024"/>
        </w:tabs>
        <w:adjustRightInd w:val="0"/>
        <w:snapToGrid w:val="0"/>
        <w:spacing w:line="520" w:lineRule="exact"/>
        <w:ind w:firstLine="480" w:firstLineChars="200"/>
        <w:rPr>
          <w:rFonts w:ascii="Times New Roman" w:hAnsi="宋体"/>
          <w:color w:val="000000" w:themeColor="text1"/>
          <w:sz w:val="24"/>
          <w:szCs w:val="24"/>
          <w14:textFill>
            <w14:solidFill>
              <w14:schemeClr w14:val="tx1"/>
            </w14:solidFill>
          </w14:textFill>
        </w:rPr>
      </w:pPr>
      <w:r>
        <w:rPr>
          <w:rFonts w:hint="eastAsia" w:ascii="Times New Roman" w:hAnsi="宋体"/>
          <w:color w:val="000000" w:themeColor="text1"/>
          <w:sz w:val="24"/>
          <w:szCs w:val="24"/>
          <w:lang w:val="en-US" w:eastAsia="zh-CN"/>
          <w14:textFill>
            <w14:solidFill>
              <w14:schemeClr w14:val="tx1"/>
            </w14:solidFill>
          </w14:textFill>
        </w:rPr>
        <w:t>本项目厂区北侧紧邻园区道路</w:t>
      </w:r>
      <w:r>
        <w:rPr>
          <w:rFonts w:hint="eastAsia"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lang w:val="en-US" w:eastAsia="zh-CN"/>
          <w14:textFill>
            <w14:solidFill>
              <w14:schemeClr w14:val="tx1"/>
            </w14:solidFill>
          </w14:textFill>
        </w:rPr>
        <w:t>东、西、南侧现状均为空地</w:t>
      </w:r>
      <w:r>
        <w:rPr>
          <w:rFonts w:hint="eastAsia"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lang w:val="en-US" w:eastAsia="zh-CN"/>
          <w14:textFill>
            <w14:solidFill>
              <w14:schemeClr w14:val="tx1"/>
            </w14:solidFill>
          </w14:textFill>
        </w:rPr>
        <w:t>厂区西北106m为宜昌新洋丰肥业有限公司，东北侧30m为宜昌七朵云环境治理有限公司，项目厂区距离长江最近距离约为2.2km。</w:t>
      </w:r>
      <w:r>
        <w:rPr>
          <w:rFonts w:hint="eastAsia" w:ascii="Times New Roman" w:hAnsi="宋体"/>
          <w:color w:val="000000" w:themeColor="text1"/>
          <w:sz w:val="24"/>
          <w:szCs w:val="24"/>
          <w14:textFill>
            <w14:solidFill>
              <w14:schemeClr w14:val="tx1"/>
            </w14:solidFill>
          </w14:textFill>
        </w:rPr>
        <w:t>项目所在地理位置见下图：</w:t>
      </w:r>
    </w:p>
    <w:p>
      <w:pP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4601845</wp:posOffset>
            </wp:positionH>
            <wp:positionV relativeFrom="paragraph">
              <wp:posOffset>105410</wp:posOffset>
            </wp:positionV>
            <wp:extent cx="1035050" cy="1001395"/>
            <wp:effectExtent l="0" t="0" r="12700" b="8255"/>
            <wp:wrapNone/>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11"/>
                    <a:stretch>
                      <a:fillRect/>
                    </a:stretch>
                  </pic:blipFill>
                  <pic:spPr>
                    <a:xfrm>
                      <a:off x="0" y="0"/>
                      <a:ext cx="1035050" cy="1001395"/>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74624" behindDoc="1" locked="0" layoutInCell="1" allowOverlap="1">
            <wp:simplePos x="0" y="0"/>
            <wp:positionH relativeFrom="column">
              <wp:posOffset>133985</wp:posOffset>
            </wp:positionH>
            <wp:positionV relativeFrom="paragraph">
              <wp:posOffset>122555</wp:posOffset>
            </wp:positionV>
            <wp:extent cx="5485130" cy="5716270"/>
            <wp:effectExtent l="0" t="0" r="1270" b="1778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485130" cy="5716270"/>
                    </a:xfrm>
                    <a:prstGeom prst="rect">
                      <a:avLst/>
                    </a:prstGeom>
                    <a:noFill/>
                    <a:ln>
                      <a:noFill/>
                    </a:ln>
                  </pic:spPr>
                </pic:pic>
              </a:graphicData>
            </a:graphic>
          </wp:anchor>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4335145</wp:posOffset>
                </wp:positionH>
                <wp:positionV relativeFrom="paragraph">
                  <wp:posOffset>17145</wp:posOffset>
                </wp:positionV>
                <wp:extent cx="967105" cy="345440"/>
                <wp:effectExtent l="5080" t="4445" r="18415" b="793115"/>
                <wp:wrapNone/>
                <wp:docPr id="38" name="自选图形 250"/>
                <wp:cNvGraphicFramePr/>
                <a:graphic xmlns:a="http://schemas.openxmlformats.org/drawingml/2006/main">
                  <a:graphicData uri="http://schemas.microsoft.com/office/word/2010/wordprocessingShape">
                    <wps:wsp>
                      <wps:cNvSpPr/>
                      <wps:spPr>
                        <a:xfrm>
                          <a:off x="0" y="0"/>
                          <a:ext cx="967105" cy="345440"/>
                        </a:xfrm>
                        <a:prstGeom prst="wedgeRoundRectCallout">
                          <a:avLst>
                            <a:gd name="adj1" fmla="val -625"/>
                            <a:gd name="adj2" fmla="val 268935"/>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ascii="黑体" w:hAnsi="黑体" w:eastAsia="黑体" w:cs="黑体"/>
                                <w:b/>
                                <w:bCs/>
                                <w:szCs w:val="21"/>
                              </w:rPr>
                            </w:pPr>
                            <w:r>
                              <w:rPr>
                                <w:rFonts w:hint="eastAsia" w:ascii="黑体" w:hAnsi="黑体" w:eastAsia="黑体" w:cs="黑体"/>
                                <w:b/>
                                <w:bCs/>
                                <w:szCs w:val="21"/>
                              </w:rPr>
                              <w:t>本项目位置</w:t>
                            </w:r>
                          </w:p>
                        </w:txbxContent>
                      </wps:txbx>
                      <wps:bodyPr upright="1"/>
                    </wps:wsp>
                  </a:graphicData>
                </a:graphic>
              </wp:anchor>
            </w:drawing>
          </mc:Choice>
          <mc:Fallback>
            <w:pict>
              <v:shape id="自选图形 250" o:spid="_x0000_s1026" o:spt="62" type="#_x0000_t62" style="position:absolute;left:0pt;margin-left:341.35pt;margin-top:1.35pt;height:27.2pt;width:76.15pt;z-index:251676672;mso-width-relative:page;mso-height-relative:page;" fillcolor="#FFFFFF" filled="t" stroked="t" coordsize="21600,21600" o:gfxdata="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tOkr9cAAAAIAQAADwAAAAAAAAABACAA&#10;AAAiAAAAZHJzL2Rvd25yZXYueG1sUEsBAhQAFAAAAAgAh07iQATcQixHAgAAtwQAAA4AAAAAAAAA&#10;AQAgAAAAJgEAAGRycy9lMm9Eb2MueG1sUEsFBgAAAAAGAAYAWQEAAN8FAAAAAA==&#10;" adj="10665,68890,14400">
                <v:fill on="t" focussize="0,0"/>
                <v:stroke color="#000000" joinstyle="miter"/>
                <v:imagedata o:title=""/>
                <o:lock v:ext="edit" aspectratio="f"/>
                <v:textbox>
                  <w:txbxContent>
                    <w:p>
                      <w:pPr>
                        <w:rPr>
                          <w:rFonts w:ascii="黑体" w:hAnsi="黑体" w:eastAsia="黑体" w:cs="黑体"/>
                          <w:b/>
                          <w:bCs/>
                          <w:szCs w:val="21"/>
                        </w:rPr>
                      </w:pPr>
                      <w:r>
                        <w:rPr>
                          <w:rFonts w:hint="eastAsia" w:ascii="黑体" w:hAnsi="黑体" w:eastAsia="黑体" w:cs="黑体"/>
                          <w:b/>
                          <w:bCs/>
                          <w:szCs w:val="21"/>
                        </w:rPr>
                        <w:t>本项目位置</w:t>
                      </w:r>
                    </w:p>
                  </w:txbxContent>
                </v:textbox>
              </v:shape>
            </w:pict>
          </mc:Fallback>
        </mc:AlternateContent>
      </w: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rPr>
          <w:color w:val="000000" w:themeColor="text1"/>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both"/>
        <w:rPr>
          <w:rFonts w:ascii="Times New Roman"/>
          <w:b/>
          <w:color w:val="000000" w:themeColor="text1"/>
          <w:sz w:val="24"/>
          <w:szCs w:val="24"/>
          <w14:textFill>
            <w14:solidFill>
              <w14:schemeClr w14:val="tx1"/>
            </w14:solidFill>
          </w14:textFill>
        </w:rPr>
      </w:pPr>
    </w:p>
    <w:p>
      <w:pPr>
        <w:jc w:val="center"/>
        <w:rPr>
          <w:rFonts w:ascii="Times New Roman"/>
          <w:b/>
          <w:color w:val="000000" w:themeColor="text1"/>
          <w:sz w:val="24"/>
          <w:szCs w:val="24"/>
          <w14:textFill>
            <w14:solidFill>
              <w14:schemeClr w14:val="tx1"/>
            </w14:solidFill>
          </w14:textFill>
        </w:rPr>
      </w:pPr>
    </w:p>
    <w:p>
      <w:pPr>
        <w:jc w:val="center"/>
        <w:rPr>
          <w:color w:val="000000" w:themeColor="text1"/>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图</w:t>
      </w:r>
      <w:r>
        <w:rPr>
          <w:rFonts w:hint="eastAsia" w:ascii="Times New Roman" w:hAnsi="Times New Roman"/>
          <w:b/>
          <w:color w:val="000000" w:themeColor="text1"/>
          <w:sz w:val="24"/>
          <w:szCs w:val="24"/>
          <w:lang w:val="en-US" w:eastAsia="zh-CN"/>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.1-1  拟建项目地理位置图</w:t>
      </w:r>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34" w:name="_Toc12174"/>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.2</w:t>
      </w:r>
      <w:r>
        <w:rPr>
          <w:rFonts w:ascii="黑体" w:hAnsi="黑体" w:eastAsia="黑体"/>
          <w:b/>
          <w:color w:val="000000" w:themeColor="text1"/>
          <w:sz w:val="32"/>
          <w:szCs w:val="32"/>
          <w14:textFill>
            <w14:solidFill>
              <w14:schemeClr w14:val="tx1"/>
            </w14:solidFill>
          </w14:textFill>
        </w:rPr>
        <w:t>项目基本情况</w:t>
      </w:r>
      <w:bookmarkEnd w:id="134"/>
    </w:p>
    <w:p>
      <w:pPr>
        <w:spacing w:line="520" w:lineRule="exact"/>
        <w:ind w:firstLine="480" w:firstLineChars="200"/>
        <w:rPr>
          <w:rFonts w:hint="eastAsia" w:ascii="Times New Roman" w:eastAsia="宋体" w:hAnsiTheme="minorEastAsia"/>
          <w:b/>
          <w:bCs/>
          <w:color w:val="000000" w:themeColor="text1"/>
          <w:sz w:val="24"/>
          <w:szCs w:val="24"/>
          <w:lang w:eastAsia="zh-CN"/>
          <w14:textFill>
            <w14:solidFill>
              <w14:schemeClr w14:val="tx1"/>
            </w14:solidFill>
          </w14:textFill>
        </w:rPr>
      </w:pPr>
      <w:r>
        <w:rPr>
          <w:rFonts w:hint="eastAsia" w:ascii="Times New Roman"/>
          <w:color w:val="000000" w:themeColor="text1"/>
          <w:sz w:val="24"/>
          <w:szCs w:val="24"/>
          <w14:textFill>
            <w14:solidFill>
              <w14:schemeClr w14:val="tx1"/>
            </w14:solidFill>
          </w14:textFill>
        </w:rPr>
        <w:t>本项目建设地点位于宜昌化工园宜都园区，项目总投资5500万元，主要建设内容包括1栋氟硅酸钠生产车间（内设3条氟硅酸钠生产线，变配电站、循环水系统、空压设备），配套建设1栋综合仓库（含维修间）、综合楼（含控制室、中心化验室等）、罐区、事故应急池（兼初期雨水收集池）、消防水池、水泵房等。项目</w:t>
      </w:r>
      <w:r>
        <w:rPr>
          <w:rFonts w:hint="eastAsia" w:ascii="Times New Roman" w:hAnsi="Times New Roman"/>
          <w:color w:val="000000" w:themeColor="text1"/>
          <w:sz w:val="24"/>
          <w:szCs w:val="24"/>
          <w14:textFill>
            <w14:solidFill>
              <w14:schemeClr w14:val="tx1"/>
            </w14:solidFill>
          </w14:textFill>
        </w:rPr>
        <w:t>基本建设概况见下表</w:t>
      </w:r>
      <w:r>
        <w:rPr>
          <w:rFonts w:hint="eastAsia" w:ascii="Times New Roman" w:hAnsi="Times New Roman"/>
          <w:color w:val="000000" w:themeColor="text1"/>
          <w:sz w:val="24"/>
          <w:szCs w:val="24"/>
          <w:lang w:eastAsia="zh-CN"/>
          <w14:textFill>
            <w14:solidFill>
              <w14:schemeClr w14:val="tx1"/>
            </w14:solidFill>
          </w14:textFill>
        </w:rPr>
        <w:t>：</w:t>
      </w:r>
    </w:p>
    <w:p>
      <w:pPr>
        <w:widowControl/>
        <w:shd w:val="clear" w:color="auto" w:fill="FFFFFF"/>
        <w:overflowPunct w:val="0"/>
        <w:autoSpaceDE w:val="0"/>
        <w:autoSpaceDN w:val="0"/>
        <w:adjustRightInd w:val="0"/>
        <w:snapToGrid w:val="0"/>
        <w:spacing w:line="520" w:lineRule="exact"/>
        <w:jc w:val="center"/>
        <w:rPr>
          <w:rFonts w:ascii="Times New Roman" w:hAnsiTheme="minorEastAsia" w:eastAsiaTheme="minorEastAsia"/>
          <w:b/>
          <w:bCs/>
          <w:color w:val="000000" w:themeColor="text1"/>
          <w:sz w:val="24"/>
          <w:szCs w:val="24"/>
          <w14:textFill>
            <w14:solidFill>
              <w14:schemeClr w14:val="tx1"/>
            </w14:solidFill>
          </w14:textFill>
        </w:rPr>
      </w:pPr>
      <w:r>
        <w:rPr>
          <w:rFonts w:ascii="Times New Roman" w:hAnsiTheme="minorEastAsia" w:eastAsiaTheme="minorEastAsia"/>
          <w:b/>
          <w:bCs/>
          <w:color w:val="000000" w:themeColor="text1"/>
          <w:sz w:val="24"/>
          <w:szCs w:val="24"/>
          <w14:textFill>
            <w14:solidFill>
              <w14:schemeClr w14:val="tx1"/>
            </w14:solidFill>
          </w14:textFill>
        </w:rPr>
        <w:t>表</w:t>
      </w:r>
      <w:r>
        <w:rPr>
          <w:rFonts w:hint="eastAsia" w:ascii="Times New Roman" w:hAnsiTheme="minorEastAsia" w:eastAsiaTheme="minorEastAsia"/>
          <w:b/>
          <w:bCs/>
          <w:color w:val="000000" w:themeColor="text1"/>
          <w:sz w:val="24"/>
          <w:szCs w:val="24"/>
          <w:lang w:val="en-US" w:eastAsia="zh-CN"/>
          <w14:textFill>
            <w14:solidFill>
              <w14:schemeClr w14:val="tx1"/>
            </w14:solidFill>
          </w14:textFill>
        </w:rPr>
        <w:t>3</w:t>
      </w:r>
      <w:r>
        <w:rPr>
          <w:rFonts w:ascii="Times New Roman" w:hAnsiTheme="minorEastAsia" w:eastAsiaTheme="minorEastAsia"/>
          <w:b/>
          <w:bCs/>
          <w:color w:val="000000" w:themeColor="text1"/>
          <w:sz w:val="24"/>
          <w:szCs w:val="24"/>
          <w14:textFill>
            <w14:solidFill>
              <w14:schemeClr w14:val="tx1"/>
            </w14:solidFill>
          </w14:textFill>
        </w:rPr>
        <w:t>.</w:t>
      </w:r>
      <w:r>
        <w:rPr>
          <w:rFonts w:hint="eastAsia" w:ascii="Times New Roman" w:hAnsiTheme="minorEastAsia" w:eastAsiaTheme="minorEastAsia"/>
          <w:b/>
          <w:bCs/>
          <w:color w:val="000000" w:themeColor="text1"/>
          <w:sz w:val="24"/>
          <w:szCs w:val="24"/>
          <w14:textFill>
            <w14:solidFill>
              <w14:schemeClr w14:val="tx1"/>
            </w14:solidFill>
          </w14:textFill>
        </w:rPr>
        <w:t>2</w:t>
      </w:r>
      <w:r>
        <w:rPr>
          <w:rFonts w:ascii="Times New Roman" w:hAnsiTheme="minorEastAsia" w:eastAsiaTheme="minorEastAsia"/>
          <w:b/>
          <w:bCs/>
          <w:color w:val="000000" w:themeColor="text1"/>
          <w:sz w:val="24"/>
          <w:szCs w:val="24"/>
          <w14:textFill>
            <w14:solidFill>
              <w14:schemeClr w14:val="tx1"/>
            </w14:solidFill>
          </w14:textFill>
        </w:rPr>
        <w:t>-1 工程基本概况一览表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77"/>
        <w:gridCol w:w="1563"/>
        <w:gridCol w:w="69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项目名称</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氟硅酸钠生产加工项目一期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建设地点</w:t>
            </w:r>
          </w:p>
        </w:tc>
        <w:tc>
          <w:tcPr>
            <w:tcW w:w="6955" w:type="dxa"/>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宜昌化工园宜都园区</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宜都市枝城镇官坪村</w:t>
            </w:r>
            <w:r>
              <w:rPr>
                <w:rFonts w:ascii="Times New Roman" w:hAnsi="Times New Roman"/>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建设单位</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宜都市吉洪化工有限公司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建设性质</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项目投资</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项目总投资</w:t>
            </w:r>
            <w:r>
              <w:rPr>
                <w:rFonts w:hint="eastAsia" w:ascii="Times New Roman" w:hAnsi="Times New Roman"/>
                <w:color w:val="000000" w:themeColor="text1"/>
                <w:szCs w:val="21"/>
                <w14:textFill>
                  <w14:solidFill>
                    <w14:schemeClr w14:val="tx1"/>
                  </w14:solidFill>
                </w14:textFill>
              </w:rPr>
              <w:t>5500</w:t>
            </w:r>
            <w:r>
              <w:rPr>
                <w:rFonts w:ascii="Times New Roman" w:hAnsi="Times New Roman"/>
                <w:color w:val="000000" w:themeColor="text1"/>
                <w:szCs w:val="21"/>
                <w14:textFill>
                  <w14:solidFill>
                    <w14:schemeClr w14:val="tx1"/>
                  </w14:solidFill>
                </w14:textFill>
              </w:rPr>
              <w:t>万元，其中环保投资</w:t>
            </w:r>
            <w:r>
              <w:rPr>
                <w:rFonts w:hint="eastAsia" w:ascii="Times New Roman" w:hAnsi="Times New Roman"/>
                <w:color w:val="000000" w:themeColor="text1"/>
                <w:szCs w:val="21"/>
                <w14:textFill>
                  <w14:solidFill>
                    <w14:schemeClr w14:val="tx1"/>
                  </w14:solidFill>
                </w14:textFill>
              </w:rPr>
              <w:t>305</w:t>
            </w:r>
            <w:r>
              <w:rPr>
                <w:rFonts w:ascii="Times New Roman" w:hAnsi="Times New Roman"/>
                <w:color w:val="000000" w:themeColor="text1"/>
                <w:szCs w:val="2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用地面积</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13289.28</w:t>
            </w:r>
            <w:r>
              <w:rPr>
                <w:rFonts w:ascii="Times New Roman" w:hAnsi="Times New Roman"/>
                <w:color w:val="000000" w:themeColor="text1"/>
                <w:szCs w:val="21"/>
                <w14:textFill>
                  <w14:solidFill>
                    <w14:schemeClr w14:val="tx1"/>
                  </w14:solidFill>
                </w14:textFill>
              </w:rPr>
              <w:t>m</w:t>
            </w:r>
            <w:r>
              <w:rPr>
                <w:rFonts w:ascii="Times New Roman" w:hAnsi="Times New Roman"/>
                <w:color w:val="000000" w:themeColor="text1"/>
                <w:szCs w:val="2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行业类别</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《国民经济行业分类》（GB/T 4754-2017）及其修改单中</w:t>
            </w:r>
            <w:r>
              <w:rPr>
                <w:rFonts w:ascii="Times New Roman" w:hAnsi="Times New Roman"/>
                <w:color w:val="000000" w:themeColor="text1"/>
                <w:kern w:val="0"/>
                <w:szCs w:val="21"/>
                <w14:textFill>
                  <w14:solidFill>
                    <w14:schemeClr w14:val="tx1"/>
                  </w14:solidFill>
                </w14:textFill>
              </w:rPr>
              <w:t>C</w:t>
            </w:r>
            <w:r>
              <w:rPr>
                <w:rFonts w:hint="eastAsia" w:ascii="Times New Roman" w:hAnsi="Times New Roman"/>
                <w:color w:val="000000" w:themeColor="text1"/>
                <w:kern w:val="0"/>
                <w:szCs w:val="21"/>
                <w14:textFill>
                  <w14:solidFill>
                    <w14:schemeClr w14:val="tx1"/>
                  </w14:solidFill>
                </w14:textFill>
              </w:rPr>
              <w:t>2613无机盐制造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建设内容</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新建1栋氟硅酸钠生产车间（内设3条氟硅酸钠生产线，变配电站、循环水系统、空压设备），配套建设1栋综合仓库（含维修间）、综合楼（含控制室、中心化验室等）、罐区、事故</w:t>
            </w:r>
            <w:r>
              <w:rPr>
                <w:rFonts w:hint="eastAsia" w:ascii="Times New Roman" w:hAnsi="Times New Roman"/>
                <w:color w:val="000000" w:themeColor="text1"/>
                <w:szCs w:val="21"/>
                <w14:textFill>
                  <w14:solidFill>
                    <w14:schemeClr w14:val="tx1"/>
                  </w14:solidFill>
                </w14:textFill>
              </w:rPr>
              <w:t>应急</w:t>
            </w:r>
            <w:r>
              <w:rPr>
                <w:rFonts w:ascii="Times New Roman" w:hAnsi="Times New Roman"/>
                <w:color w:val="000000" w:themeColor="text1"/>
                <w:szCs w:val="21"/>
                <w14:textFill>
                  <w14:solidFill>
                    <w14:schemeClr w14:val="tx1"/>
                  </w14:solidFill>
                </w14:textFill>
              </w:rPr>
              <w:t>池（兼初期雨水收集池）</w:t>
            </w:r>
            <w:r>
              <w:rPr>
                <w:rFonts w:hint="eastAsia" w:ascii="Times New Roman" w:hAnsi="Times New Roman"/>
                <w:color w:val="000000" w:themeColor="text1"/>
                <w:szCs w:val="21"/>
                <w14:textFill>
                  <w14:solidFill>
                    <w14:schemeClr w14:val="tx1"/>
                  </w14:solidFill>
                </w14:textFill>
              </w:rPr>
              <w:t>、消防水池、水泵房</w:t>
            </w:r>
            <w:r>
              <w:rPr>
                <w:rFonts w:ascii="Times New Roman" w:hAnsi="Times New Roman"/>
                <w:color w:val="000000" w:themeColor="text1"/>
                <w:szCs w:val="21"/>
                <w14:textFill>
                  <w14:solidFill>
                    <w14:schemeClr w14:val="tx1"/>
                  </w14:solidFill>
                </w14:textFill>
              </w:rPr>
              <w:t>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建设周期</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项目建设期共</w:t>
            </w:r>
            <w:r>
              <w:rPr>
                <w:rFonts w:hint="eastAsia" w:ascii="Times New Roman" w:hAnsi="Times New Roman"/>
                <w:color w:val="000000" w:themeColor="text1"/>
                <w:szCs w:val="21"/>
                <w14:textFill>
                  <w14:solidFill>
                    <w14:schemeClr w14:val="tx1"/>
                  </w14:solidFill>
                </w14:textFill>
              </w:rPr>
              <w:t>12</w:t>
            </w:r>
            <w:r>
              <w:rPr>
                <w:rFonts w:ascii="Times New Roman" w:hAnsi="Times New Roman"/>
                <w:color w:val="000000" w:themeColor="text1"/>
                <w:szCs w:val="21"/>
                <w14:textFill>
                  <w14:solidFill>
                    <w14:schemeClr w14:val="tx1"/>
                  </w14:solidFill>
                </w14:textFill>
              </w:rPr>
              <w:t>个月。项目计划于2021年</w:t>
            </w:r>
            <w:r>
              <w:rPr>
                <w:rFonts w:hint="eastAsia" w:ascii="Times New Roman" w:hAnsi="Times New Roman"/>
                <w:color w:val="000000" w:themeColor="text1"/>
                <w:szCs w:val="21"/>
                <w14:textFill>
                  <w14:solidFill>
                    <w14:schemeClr w14:val="tx1"/>
                  </w14:solidFill>
                </w14:textFill>
              </w:rPr>
              <w:t>9</w:t>
            </w:r>
            <w:r>
              <w:rPr>
                <w:rFonts w:ascii="Times New Roman" w:hAnsi="Times New Roman"/>
                <w:color w:val="000000" w:themeColor="text1"/>
                <w:szCs w:val="21"/>
                <w14:textFill>
                  <w14:solidFill>
                    <w14:schemeClr w14:val="tx1"/>
                  </w14:solidFill>
                </w14:textFill>
              </w:rPr>
              <w:t>月上旬开工，202</w:t>
            </w:r>
            <w:r>
              <w:rPr>
                <w:rFonts w:hint="eastAsia" w:ascii="Times New Roman" w:hAnsi="Times New Roman"/>
                <w:color w:val="000000" w:themeColor="text1"/>
                <w:szCs w:val="21"/>
                <w14:textFill>
                  <w14:solidFill>
                    <w14:schemeClr w14:val="tx1"/>
                  </w14:solidFill>
                </w14:textFill>
              </w:rPr>
              <w:t>2</w:t>
            </w:r>
            <w:r>
              <w:rPr>
                <w:rFonts w:ascii="Times New Roman" w:hAnsi="Times New Roman"/>
                <w:color w:val="000000" w:themeColor="text1"/>
                <w:szCs w:val="21"/>
                <w14:textFill>
                  <w14:solidFill>
                    <w14:schemeClr w14:val="tx1"/>
                  </w14:solidFill>
                </w14:textFill>
              </w:rPr>
              <w:t>年</w:t>
            </w:r>
            <w:r>
              <w:rPr>
                <w:rFonts w:hint="eastAsia" w:ascii="Times New Roman" w:hAnsi="Times New Roman"/>
                <w:color w:val="000000" w:themeColor="text1"/>
                <w:szCs w:val="21"/>
                <w14:textFill>
                  <w14:solidFill>
                    <w14:schemeClr w14:val="tx1"/>
                  </w14:solidFill>
                </w14:textFill>
              </w:rPr>
              <w:t>9</w:t>
            </w:r>
            <w:r>
              <w:rPr>
                <w:rFonts w:ascii="Times New Roman" w:hAnsi="Times New Roman"/>
                <w:color w:val="000000" w:themeColor="text1"/>
                <w:szCs w:val="21"/>
                <w14:textFill>
                  <w14:solidFill>
                    <w14:schemeClr w14:val="tx1"/>
                  </w14:solidFill>
                </w14:textFill>
              </w:rPr>
              <w:t>月正式投产。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备案单位</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宜都市</w:t>
            </w:r>
            <w:r>
              <w:rPr>
                <w:rFonts w:ascii="Times New Roman" w:hAnsi="Times New Roman"/>
                <w:color w:val="000000" w:themeColor="text1"/>
                <w:szCs w:val="21"/>
                <w14:textFill>
                  <w14:solidFill>
                    <w14:schemeClr w14:val="tx1"/>
                  </w14:solidFill>
                </w14:textFill>
              </w:rPr>
              <w:t>发展和改革局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w:t>
            </w:r>
          </w:p>
        </w:tc>
        <w:tc>
          <w:tcPr>
            <w:tcW w:w="1563"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登记备案</w:t>
            </w:r>
          </w:p>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r>
              <w:rPr>
                <w:rFonts w:hint="eastAsia" w:ascii="Times New Roman" w:hAnsi="Times New Roman"/>
                <w:color w:val="000000" w:themeColor="text1"/>
                <w:szCs w:val="21"/>
                <w14:textFill>
                  <w14:solidFill>
                    <w14:schemeClr w14:val="tx1"/>
                  </w14:solidFill>
                </w14:textFill>
              </w:rPr>
              <w:t>代码</w:t>
            </w:r>
          </w:p>
        </w:tc>
        <w:tc>
          <w:tcPr>
            <w:tcW w:w="6955"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r>
              <w:rPr>
                <w:rFonts w:hint="eastAsia" w:ascii="Times New Roman" w:hAnsi="Times New Roman"/>
                <w:color w:val="000000" w:themeColor="text1"/>
                <w:szCs w:val="21"/>
                <w14:textFill>
                  <w14:solidFill>
                    <w14:schemeClr w14:val="tx1"/>
                  </w14:solidFill>
                </w14:textFill>
              </w:rPr>
              <w:t>19</w:t>
            </w:r>
            <w:r>
              <w:rPr>
                <w:rFonts w:ascii="Times New Roman" w:hAnsi="Times New Roman"/>
                <w:color w:val="000000" w:themeColor="text1"/>
                <w:szCs w:val="21"/>
                <w14:textFill>
                  <w14:solidFill>
                    <w14:schemeClr w14:val="tx1"/>
                  </w14:solidFill>
                </w14:textFill>
              </w:rPr>
              <w:t>-420</w:t>
            </w:r>
            <w:r>
              <w:rPr>
                <w:rFonts w:hint="eastAsia" w:ascii="Times New Roman" w:hAnsi="Times New Roman"/>
                <w:color w:val="000000" w:themeColor="text1"/>
                <w:szCs w:val="21"/>
                <w14:textFill>
                  <w14:solidFill>
                    <w14:schemeClr w14:val="tx1"/>
                  </w14:solidFill>
                </w14:textFill>
              </w:rPr>
              <w:t>581</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26</w:t>
            </w:r>
            <w:r>
              <w:rPr>
                <w:rFonts w:ascii="Times New Roman" w:hAnsi="Times New Roman"/>
                <w:color w:val="000000" w:themeColor="text1"/>
                <w:szCs w:val="21"/>
                <w14:textFill>
                  <w14:solidFill>
                    <w14:schemeClr w14:val="tx1"/>
                  </w14:solidFill>
                </w14:textFill>
              </w:rPr>
              <w:t>-03-0</w:t>
            </w:r>
            <w:r>
              <w:rPr>
                <w:rFonts w:hint="eastAsia" w:ascii="Times New Roman" w:hAnsi="Times New Roman"/>
                <w:color w:val="000000" w:themeColor="text1"/>
                <w:szCs w:val="21"/>
                <w14:textFill>
                  <w14:solidFill>
                    <w14:schemeClr w14:val="tx1"/>
                  </w14:solidFill>
                </w14:textFill>
              </w:rPr>
              <w:t>59329</w:t>
            </w:r>
          </w:p>
        </w:tc>
      </w:tr>
    </w:tbl>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35" w:name="_Toc24052"/>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.3</w:t>
      </w:r>
      <w:r>
        <w:rPr>
          <w:rFonts w:hint="eastAsia" w:ascii="黑体" w:hAnsi="黑体" w:eastAsia="黑体"/>
          <w:b/>
          <w:color w:val="000000" w:themeColor="text1"/>
          <w:sz w:val="32"/>
          <w:szCs w:val="32"/>
          <w14:textFill>
            <w14:solidFill>
              <w14:schemeClr w14:val="tx1"/>
            </w14:solidFill>
          </w14:textFill>
        </w:rPr>
        <w:t>职工定员及生产制度</w:t>
      </w:r>
      <w:bookmarkEnd w:id="135"/>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cs="Times New Roman" w:hAnsiTheme="minorEastAsia"/>
          <w:bCs/>
          <w:color w:val="000000" w:themeColor="text1"/>
          <w:sz w:val="24"/>
          <w:szCs w:val="24"/>
          <w14:textFill>
            <w14:solidFill>
              <w14:schemeClr w14:val="tx1"/>
            </w14:solidFill>
          </w14:textFill>
        </w:rPr>
        <w:t>本项目定员为48人，其中技术人员3人，专职安全员1人，生产及辅助人员33人，其它11人。生产工人实行四班三运转，每班8小时工作制，行政办公人员为8小时工作制，全年生产天数为300天。</w:t>
      </w:r>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36" w:name="_Toc688"/>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.4</w:t>
      </w:r>
      <w:r>
        <w:rPr>
          <w:rFonts w:hint="eastAsia" w:ascii="黑体" w:hAnsi="黑体" w:eastAsia="黑体"/>
          <w:b/>
          <w:color w:val="000000" w:themeColor="text1"/>
          <w:sz w:val="32"/>
          <w:szCs w:val="32"/>
          <w14:textFill>
            <w14:solidFill>
              <w14:schemeClr w14:val="tx1"/>
            </w14:solidFill>
          </w14:textFill>
        </w:rPr>
        <w:t>拟建项目生产规模及产品方案</w:t>
      </w:r>
      <w:bookmarkEnd w:id="136"/>
    </w:p>
    <w:p>
      <w:pPr>
        <w:pStyle w:val="382"/>
        <w:spacing w:before="0" w:after="0" w:line="52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本项目生产规模及产品方案见表</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.4-1所示：</w:t>
      </w:r>
    </w:p>
    <w:p>
      <w:pPr>
        <w:pStyle w:val="2"/>
        <w:snapToGrid w:val="0"/>
        <w:spacing w:after="0" w:line="520" w:lineRule="exact"/>
        <w:ind w:firstLine="361" w:firstLineChars="150"/>
        <w:jc w:val="center"/>
        <w:rPr>
          <w:rFonts w:ascii="Times New Roman" w:hAnsi="Times New Roman" w:eastAsia="宋体" w:cs="Times New Roman"/>
          <w:b/>
          <w:bCs/>
          <w:color w:val="000000" w:themeColor="text1"/>
          <w:sz w:val="24"/>
          <w:szCs w:val="24"/>
          <w14:textFill>
            <w14:solidFill>
              <w14:schemeClr w14:val="tx1"/>
            </w14:solidFill>
          </w14:textFill>
        </w:rPr>
      </w:pPr>
    </w:p>
    <w:p>
      <w:pPr>
        <w:pStyle w:val="2"/>
        <w:snapToGrid w:val="0"/>
        <w:spacing w:after="0" w:line="520" w:lineRule="exact"/>
        <w:ind w:firstLine="361" w:firstLineChars="150"/>
        <w:jc w:val="center"/>
        <w:rPr>
          <w:rFonts w:ascii="Times New Roman" w:hAnsi="Times New Roman" w:eastAsia="宋体" w:cs="Times New Roman"/>
          <w:b/>
          <w:bCs/>
          <w:color w:val="000000" w:themeColor="text1"/>
          <w:sz w:val="24"/>
          <w:szCs w:val="24"/>
          <w14:textFill>
            <w14:solidFill>
              <w14:schemeClr w14:val="tx1"/>
            </w14:solidFill>
          </w14:textFill>
        </w:rPr>
      </w:pPr>
    </w:p>
    <w:p>
      <w:pPr>
        <w:pStyle w:val="2"/>
        <w:snapToGrid w:val="0"/>
        <w:spacing w:after="0" w:line="520" w:lineRule="exact"/>
        <w:ind w:firstLine="361" w:firstLineChars="150"/>
        <w:jc w:val="center"/>
        <w:rPr>
          <w:rFonts w:ascii="Times New Roman" w:hAnsi="Times New Roman" w:eastAsia="宋体" w:cs="Times New Roman"/>
          <w:b/>
          <w:bCs/>
          <w:color w:val="000000" w:themeColor="text1"/>
          <w:sz w:val="24"/>
          <w:szCs w:val="24"/>
          <w14:textFill>
            <w14:solidFill>
              <w14:schemeClr w14:val="tx1"/>
            </w14:solidFill>
          </w14:textFill>
        </w:rPr>
      </w:pPr>
    </w:p>
    <w:p>
      <w:pPr>
        <w:pStyle w:val="2"/>
        <w:snapToGrid w:val="0"/>
        <w:spacing w:after="0" w:line="520" w:lineRule="exact"/>
        <w:ind w:firstLine="361" w:firstLineChars="15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14:textFill>
            <w14:solidFill>
              <w14:schemeClr w14:val="tx1"/>
            </w14:solidFill>
          </w14:textFill>
        </w:rPr>
        <w:t>4</w:t>
      </w:r>
      <w:r>
        <w:rPr>
          <w:rFonts w:ascii="Times New Roman" w:hAnsi="Times New Roman" w:eastAsia="宋体" w:cs="Times New Roman"/>
          <w:b/>
          <w:bCs/>
          <w:color w:val="000000" w:themeColor="text1"/>
          <w:sz w:val="24"/>
          <w:szCs w:val="24"/>
          <w14:textFill>
            <w14:solidFill>
              <w14:schemeClr w14:val="tx1"/>
            </w14:solidFill>
          </w14:textFill>
        </w:rPr>
        <w:t>-1</w:t>
      </w:r>
      <w:r>
        <w:rPr>
          <w:rFonts w:ascii="Times New Roman" w:hAnsi="Times New Roman" w:eastAsia="宋体" w:cs="Times New Roman"/>
          <w:b/>
          <w:bCs/>
          <w:color w:val="000000" w:themeColor="text1"/>
          <w:sz w:val="24"/>
          <w:szCs w:val="24"/>
          <w14:textFill>
            <w14:solidFill>
              <w14:schemeClr w14:val="tx1"/>
            </w14:solidFill>
          </w14:textFill>
        </w:rPr>
        <w:tab/>
      </w:r>
      <w:r>
        <w:rPr>
          <w:rFonts w:ascii="Times New Roman" w:hAnsi="Times New Roman" w:eastAsia="宋体" w:cs="Times New Roman"/>
          <w:b/>
          <w:bCs/>
          <w:color w:val="000000" w:themeColor="text1"/>
          <w:sz w:val="24"/>
          <w:szCs w:val="24"/>
          <w14:textFill>
            <w14:solidFill>
              <w14:schemeClr w14:val="tx1"/>
            </w14:solidFill>
          </w14:textFill>
        </w:rPr>
        <w:t>产品方案和建设规模</w:t>
      </w:r>
    </w:p>
    <w:tbl>
      <w:tblPr>
        <w:tblStyle w:val="87"/>
        <w:tblW w:w="89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4"/>
        <w:gridCol w:w="1380"/>
        <w:gridCol w:w="1992"/>
        <w:gridCol w:w="1395"/>
        <w:gridCol w:w="1580"/>
        <w:gridCol w:w="18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24"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序号</w:t>
            </w:r>
          </w:p>
        </w:tc>
        <w:tc>
          <w:tcPr>
            <w:tcW w:w="1380"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产品品种</w:t>
            </w:r>
          </w:p>
        </w:tc>
        <w:tc>
          <w:tcPr>
            <w:tcW w:w="1992"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生产规模</w:t>
            </w:r>
          </w:p>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95"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生产量</w:t>
            </w:r>
          </w:p>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580"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商品量</w:t>
            </w:r>
          </w:p>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857"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24"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1</w:t>
            </w:r>
          </w:p>
        </w:tc>
        <w:tc>
          <w:tcPr>
            <w:tcW w:w="1380"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氟硅酸钠</w:t>
            </w:r>
          </w:p>
        </w:tc>
        <w:tc>
          <w:tcPr>
            <w:tcW w:w="1992"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15</w:t>
            </w:r>
            <w:r>
              <w:rPr>
                <w:rFonts w:ascii="Times New Roman" w:hAnsi="Times New Roman"/>
                <w:color w:val="000000" w:themeColor="text1"/>
                <w14:textFill>
                  <w14:solidFill>
                    <w14:schemeClr w14:val="tx1"/>
                  </w14:solidFill>
                </w14:textFill>
              </w:rPr>
              <w:t>000</w:t>
            </w:r>
          </w:p>
        </w:tc>
        <w:tc>
          <w:tcPr>
            <w:tcW w:w="1395"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15</w:t>
            </w:r>
            <w:r>
              <w:rPr>
                <w:rFonts w:ascii="Times New Roman" w:hAnsi="Times New Roman"/>
                <w:color w:val="000000" w:themeColor="text1"/>
                <w14:textFill>
                  <w14:solidFill>
                    <w14:schemeClr w14:val="tx1"/>
                  </w14:solidFill>
                </w14:textFill>
              </w:rPr>
              <w:t>000</w:t>
            </w:r>
          </w:p>
        </w:tc>
        <w:tc>
          <w:tcPr>
            <w:tcW w:w="1580"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lang w:val="en-US"/>
                <w14:textFill>
                  <w14:solidFill>
                    <w14:schemeClr w14:val="tx1"/>
                  </w14:solidFill>
                </w14:textFill>
              </w:rPr>
              <w:t>15</w:t>
            </w:r>
            <w:r>
              <w:rPr>
                <w:rFonts w:ascii="Times New Roman" w:hAnsi="Times New Roman"/>
                <w:color w:val="000000" w:themeColor="text1"/>
                <w14:textFill>
                  <w14:solidFill>
                    <w14:schemeClr w14:val="tx1"/>
                  </w14:solidFill>
                </w14:textFill>
              </w:rPr>
              <w:t>000</w:t>
            </w:r>
          </w:p>
        </w:tc>
        <w:tc>
          <w:tcPr>
            <w:tcW w:w="1857" w:type="dxa"/>
            <w:vAlign w:val="center"/>
          </w:tcPr>
          <w:p>
            <w:pPr>
              <w:pStyle w:val="214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主产品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4"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2</w:t>
            </w:r>
          </w:p>
        </w:tc>
        <w:tc>
          <w:tcPr>
            <w:tcW w:w="1380"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w:t>
            </w:r>
            <w:r>
              <w:rPr>
                <w:rFonts w:ascii="Times New Roman" w:hAnsi="Times New Roman"/>
                <w:color w:val="000000" w:themeColor="text1"/>
                <w:lang w:val="en-US"/>
                <w14:textFill>
                  <w14:solidFill>
                    <w14:schemeClr w14:val="tx1"/>
                  </w14:solidFill>
                </w14:textFill>
              </w:rPr>
              <w:t>氯化钙水溶液</w:t>
            </w:r>
          </w:p>
        </w:tc>
        <w:tc>
          <w:tcPr>
            <w:tcW w:w="1992" w:type="dxa"/>
            <w:vAlign w:val="center"/>
          </w:tcPr>
          <w:p>
            <w:pPr>
              <w:pStyle w:val="2142"/>
              <w:rPr>
                <w:rFonts w:ascii="Times New Roman" w:hAnsi="Times New Roman"/>
                <w:color w:val="000000" w:themeColor="text1"/>
                <w14:textFill>
                  <w14:solidFill>
                    <w14:schemeClr w14:val="tx1"/>
                  </w14:solidFill>
                </w14:textFill>
              </w:rPr>
            </w:pPr>
          </w:p>
        </w:tc>
        <w:tc>
          <w:tcPr>
            <w:tcW w:w="1395"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35586.92</w:t>
            </w:r>
          </w:p>
        </w:tc>
        <w:tc>
          <w:tcPr>
            <w:tcW w:w="1580"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35586.92</w:t>
            </w:r>
          </w:p>
        </w:tc>
        <w:tc>
          <w:tcPr>
            <w:tcW w:w="1857" w:type="dxa"/>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副产品</w:t>
            </w:r>
          </w:p>
        </w:tc>
      </w:tr>
    </w:tbl>
    <w:p>
      <w:pPr>
        <w:pStyle w:val="2"/>
        <w:snapToGrid w:val="0"/>
        <w:spacing w:after="0" w:line="520" w:lineRule="exact"/>
        <w:ind w:firstLine="360" w:firstLineChars="150"/>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产品氟硅酸钠质量标准见表</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。副产品30%氯化钙水溶液质量标准见表</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.4-3。</w:t>
      </w:r>
    </w:p>
    <w:p>
      <w:pPr>
        <w:pStyle w:val="2"/>
        <w:snapToGrid w:val="0"/>
        <w:spacing w:after="0" w:line="520" w:lineRule="exact"/>
        <w:ind w:firstLine="361" w:firstLineChars="150"/>
        <w:jc w:val="center"/>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w:t>
      </w:r>
      <w:r>
        <w:rPr>
          <w:rFonts w:hint="eastAsia" w:ascii="Times New Roman" w:hAnsi="Times New Roman" w:eastAsia="宋体"/>
          <w:b/>
          <w:bCs/>
          <w:color w:val="000000" w:themeColor="text1"/>
          <w:sz w:val="24"/>
          <w:szCs w:val="24"/>
          <w:lang w:val="en-US" w:eastAsia="zh-CN"/>
          <w14:textFill>
            <w14:solidFill>
              <w14:schemeClr w14:val="tx1"/>
            </w14:solidFill>
          </w14:textFill>
        </w:rPr>
        <w:t>3</w:t>
      </w:r>
      <w:r>
        <w:rPr>
          <w:rFonts w:hint="eastAsia" w:ascii="Times New Roman" w:hAnsi="Times New Roman" w:eastAsia="宋体"/>
          <w:b/>
          <w:bCs/>
          <w:color w:val="000000" w:themeColor="text1"/>
          <w:sz w:val="24"/>
          <w:szCs w:val="24"/>
          <w14:textFill>
            <w14:solidFill>
              <w14:schemeClr w14:val="tx1"/>
            </w14:solidFill>
          </w14:textFill>
        </w:rPr>
        <w:t>.4</w:t>
      </w:r>
      <w:r>
        <w:rPr>
          <w:rFonts w:ascii="Times New Roman" w:hAnsi="Times New Roman" w:eastAsia="宋体"/>
          <w:b/>
          <w:bCs/>
          <w:color w:val="000000" w:themeColor="text1"/>
          <w:sz w:val="24"/>
          <w:szCs w:val="24"/>
          <w14:textFill>
            <w14:solidFill>
              <w14:schemeClr w14:val="tx1"/>
            </w14:solidFill>
          </w14:textFill>
        </w:rPr>
        <w:t>-2 工业氟硅酸钠质量标准（GB 23936-2018）</w:t>
      </w:r>
    </w:p>
    <w:tbl>
      <w:tblPr>
        <w:tblStyle w:val="87"/>
        <w:tblW w:w="871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481"/>
        <w:gridCol w:w="1411"/>
        <w:gridCol w:w="1446"/>
        <w:gridCol w:w="13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项     目</w:t>
            </w:r>
          </w:p>
        </w:tc>
        <w:tc>
          <w:tcPr>
            <w:tcW w:w="4238" w:type="dxa"/>
            <w:gridSpan w:val="3"/>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指     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氟硅酸钠（Na2SiF6），ω/%    ≥</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99.0</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98.5</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97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游离酸（以HCl计），ω/%      ≤</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0.10</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0.15</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0.20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105℃干燥减量，ω/%</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0.30</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0.40</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氯化物（以Cl计），ω/%</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0.15</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0.20</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水不溶物，ω/%     ≤</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0.4</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0.5</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硫酸盐（以SO</w:t>
            </w:r>
            <w:r>
              <w:rPr>
                <w:rFonts w:ascii="Times New Roman" w:hAnsi="Times New Roman"/>
                <w:color w:val="000000" w:themeColor="text1"/>
                <w:vertAlign w:val="subscript"/>
                <w:lang w:val="en-US"/>
                <w14:textFill>
                  <w14:solidFill>
                    <w14:schemeClr w14:val="tx1"/>
                  </w14:solidFill>
                </w14:textFill>
              </w:rPr>
              <w:t>4</w:t>
            </w:r>
            <w:r>
              <w:rPr>
                <w:rFonts w:ascii="Times New Roman" w:hAnsi="Times New Roman"/>
                <w:color w:val="000000" w:themeColor="text1"/>
                <w:lang w:val="en-US"/>
                <w14:textFill>
                  <w14:solidFill>
                    <w14:schemeClr w14:val="tx1"/>
                  </w14:solidFill>
                </w14:textFill>
              </w:rPr>
              <w:t xml:space="preserve">计），ω/%      </w:t>
            </w:r>
            <w:r>
              <w:rPr>
                <w:rFonts w:hint="eastAsia" w:ascii="Times New Roman" w:hAnsi="Times New Roman"/>
                <w:color w:val="000000" w:themeColor="text1"/>
                <w:lang w:val="en-US"/>
                <w14:textFill>
                  <w14:solidFill>
                    <w14:schemeClr w14:val="tx1"/>
                  </w14:solidFill>
                </w14:textFill>
              </w:rPr>
              <w:t>≤</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0.25</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铁（Fe）ω/%       ≤</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0.02</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五氧化二磷（P</w:t>
            </w:r>
            <w:r>
              <w:rPr>
                <w:rFonts w:ascii="Times New Roman" w:hAnsi="Times New Roman"/>
                <w:color w:val="000000" w:themeColor="text1"/>
                <w:vertAlign w:val="subscript"/>
                <w:lang w:val="en-US"/>
                <w14:textFill>
                  <w14:solidFill>
                    <w14:schemeClr w14:val="tx1"/>
                  </w14:solidFill>
                </w14:textFill>
              </w:rPr>
              <w:t>2</w:t>
            </w:r>
            <w:r>
              <w:rPr>
                <w:rFonts w:ascii="Times New Roman" w:hAnsi="Times New Roman"/>
                <w:color w:val="000000" w:themeColor="text1"/>
                <w:lang w:val="en-US"/>
                <w14:textFill>
                  <w14:solidFill>
                    <w14:schemeClr w14:val="tx1"/>
                  </w14:solidFill>
                </w14:textFill>
              </w:rPr>
              <w:t>O</w:t>
            </w:r>
            <w:r>
              <w:rPr>
                <w:rFonts w:ascii="Times New Roman" w:hAnsi="Times New Roman"/>
                <w:color w:val="000000" w:themeColor="text1"/>
                <w:vertAlign w:val="subscript"/>
                <w:lang w:val="en-US"/>
                <w14:textFill>
                  <w14:solidFill>
                    <w14:schemeClr w14:val="tx1"/>
                  </w14:solidFill>
                </w14:textFill>
              </w:rPr>
              <w:t>5</w:t>
            </w:r>
            <w:r>
              <w:rPr>
                <w:rFonts w:ascii="Times New Roman" w:hAnsi="Times New Roman"/>
                <w:color w:val="000000" w:themeColor="text1"/>
                <w:lang w:val="en-US"/>
                <w14:textFill>
                  <w14:solidFill>
                    <w14:schemeClr w14:val="tx1"/>
                  </w14:solidFill>
                </w14:textFill>
              </w:rPr>
              <w:t>）， ω/%    ≤</w:t>
            </w:r>
          </w:p>
        </w:tc>
        <w:tc>
          <w:tcPr>
            <w:tcW w:w="2857" w:type="dxa"/>
            <w:gridSpan w:val="2"/>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14:textFill>
                  <w14:solidFill>
                    <w14:schemeClr w14:val="tx1"/>
                  </w14:solidFill>
                </w14:textFill>
              </w:rPr>
              <w:t>协商</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481" w:type="dxa"/>
            <w:vAlign w:val="center"/>
          </w:tcPr>
          <w:p>
            <w:pPr>
              <w:pStyle w:val="2142"/>
              <w:rPr>
                <w:rFonts w:ascii="Times New Roman" w:hAnsi="Times New Roman"/>
                <w:color w:val="000000" w:themeColor="text1"/>
                <w:lang w:val="en-US"/>
                <w14:textFill>
                  <w14:solidFill>
                    <w14:schemeClr w14:val="tx1"/>
                  </w14:solidFill>
                </w14:textFill>
              </w:rPr>
            </w:pPr>
            <w:r>
              <w:rPr>
                <w:rFonts w:ascii="Times New Roman" w:hAnsi="Times New Roman"/>
                <w:color w:val="000000" w:themeColor="text1"/>
                <w:lang w:val="en-US"/>
                <w14:textFill>
                  <w14:solidFill>
                    <w14:schemeClr w14:val="tx1"/>
                  </w14:solidFill>
                </w14:textFill>
              </w:rPr>
              <w:t xml:space="preserve">细度（通过250μm试验筛），ω/% </w:t>
            </w:r>
            <w:r>
              <w:rPr>
                <w:rFonts w:hint="eastAsia" w:ascii="Times New Roman" w:hAnsi="Times New Roman"/>
                <w:color w:val="000000" w:themeColor="text1"/>
                <w:lang w:val="en-US"/>
                <w14:textFill>
                  <w14:solidFill>
                    <w14:schemeClr w14:val="tx1"/>
                  </w14:solidFill>
                </w14:textFill>
              </w:rPr>
              <w:t xml:space="preserve"> </w:t>
            </w:r>
            <w:r>
              <w:rPr>
                <w:rFonts w:ascii="Times New Roman" w:hAnsi="Times New Roman"/>
                <w:color w:val="000000" w:themeColor="text1"/>
                <w:lang w:val="en-US"/>
                <w14:textFill>
                  <w14:solidFill>
                    <w14:schemeClr w14:val="tx1"/>
                  </w14:solidFill>
                </w14:textFill>
              </w:rPr>
              <w:t>≥</w:t>
            </w:r>
          </w:p>
        </w:tc>
        <w:tc>
          <w:tcPr>
            <w:tcW w:w="141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90</w:t>
            </w:r>
          </w:p>
        </w:tc>
        <w:tc>
          <w:tcPr>
            <w:tcW w:w="1446"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90</w:t>
            </w:r>
          </w:p>
        </w:tc>
        <w:tc>
          <w:tcPr>
            <w:tcW w:w="1381" w:type="dxa"/>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90</w:t>
            </w:r>
          </w:p>
        </w:tc>
      </w:tr>
    </w:tbl>
    <w:p>
      <w:pPr>
        <w:pStyle w:val="2"/>
        <w:snapToGrid w:val="0"/>
        <w:spacing w:after="0" w:line="520" w:lineRule="exact"/>
        <w:ind w:firstLine="361" w:firstLineChars="150"/>
        <w:jc w:val="center"/>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w:t>
      </w:r>
      <w:r>
        <w:rPr>
          <w:rFonts w:hint="eastAsia" w:ascii="Times New Roman" w:hAnsi="Times New Roman" w:eastAsia="宋体"/>
          <w:b/>
          <w:bCs/>
          <w:color w:val="000000" w:themeColor="text1"/>
          <w:sz w:val="24"/>
          <w:szCs w:val="24"/>
          <w:lang w:val="en-US" w:eastAsia="zh-CN"/>
          <w14:textFill>
            <w14:solidFill>
              <w14:schemeClr w14:val="tx1"/>
            </w14:solidFill>
          </w14:textFill>
        </w:rPr>
        <w:t>3</w:t>
      </w:r>
      <w:r>
        <w:rPr>
          <w:rFonts w:hint="eastAsia" w:ascii="Times New Roman" w:hAnsi="Times New Roman" w:eastAsia="宋体"/>
          <w:b/>
          <w:bCs/>
          <w:color w:val="000000" w:themeColor="text1"/>
          <w:sz w:val="24"/>
          <w:szCs w:val="24"/>
          <w14:textFill>
            <w14:solidFill>
              <w14:schemeClr w14:val="tx1"/>
            </w14:solidFill>
          </w14:textFill>
        </w:rPr>
        <w:t>.4</w:t>
      </w:r>
      <w:r>
        <w:rPr>
          <w:rFonts w:ascii="Times New Roman" w:hAnsi="Times New Roman" w:eastAsia="宋体"/>
          <w:b/>
          <w:bCs/>
          <w:color w:val="000000" w:themeColor="text1"/>
          <w:sz w:val="24"/>
          <w:szCs w:val="24"/>
          <w14:textFill>
            <w14:solidFill>
              <w14:schemeClr w14:val="tx1"/>
            </w14:solidFill>
          </w14:textFill>
        </w:rPr>
        <w:t>-</w:t>
      </w:r>
      <w:r>
        <w:rPr>
          <w:rFonts w:hint="eastAsia" w:ascii="Times New Roman" w:hAnsi="Times New Roman" w:eastAsia="宋体"/>
          <w:b/>
          <w:bCs/>
          <w:color w:val="000000" w:themeColor="text1"/>
          <w:sz w:val="24"/>
          <w:szCs w:val="24"/>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 xml:space="preserve"> 工业</w:t>
      </w:r>
      <w:r>
        <w:rPr>
          <w:rFonts w:hint="eastAsia" w:ascii="Times New Roman" w:hAnsi="Times New Roman" w:eastAsia="宋体"/>
          <w:b/>
          <w:bCs/>
          <w:color w:val="000000" w:themeColor="text1"/>
          <w:sz w:val="24"/>
          <w:szCs w:val="24"/>
          <w14:textFill>
            <w14:solidFill>
              <w14:schemeClr w14:val="tx1"/>
            </w14:solidFill>
          </w14:textFill>
        </w:rPr>
        <w:t>氯化钠</w:t>
      </w:r>
      <w:r>
        <w:rPr>
          <w:rFonts w:ascii="Times New Roman" w:hAnsi="Times New Roman" w:eastAsia="宋体"/>
          <w:b/>
          <w:bCs/>
          <w:color w:val="000000" w:themeColor="text1"/>
          <w:sz w:val="24"/>
          <w:szCs w:val="24"/>
          <w14:textFill>
            <w14:solidFill>
              <w14:schemeClr w14:val="tx1"/>
            </w14:solidFill>
          </w14:textFill>
        </w:rPr>
        <w:t xml:space="preserve">质量标准（GB </w:t>
      </w:r>
      <w:r>
        <w:rPr>
          <w:rFonts w:hint="eastAsia" w:ascii="Times New Roman" w:hAnsi="Times New Roman" w:eastAsia="宋体"/>
          <w:b/>
          <w:bCs/>
          <w:color w:val="000000" w:themeColor="text1"/>
          <w:sz w:val="24"/>
          <w:szCs w:val="24"/>
          <w14:textFill>
            <w14:solidFill>
              <w14:schemeClr w14:val="tx1"/>
            </w14:solidFill>
          </w14:textFill>
        </w:rPr>
        <w:t>26520</w:t>
      </w:r>
      <w:r>
        <w:rPr>
          <w:rFonts w:ascii="Times New Roman" w:hAnsi="Times New Roman" w:eastAsia="宋体"/>
          <w:b/>
          <w:bCs/>
          <w:color w:val="000000" w:themeColor="text1"/>
          <w:sz w:val="24"/>
          <w:szCs w:val="24"/>
          <w14:textFill>
            <w14:solidFill>
              <w14:schemeClr w14:val="tx1"/>
            </w14:solidFill>
          </w14:textFill>
        </w:rPr>
        <w:t>-</w:t>
      </w:r>
      <w:r>
        <w:rPr>
          <w:rFonts w:hint="eastAsia" w:ascii="Times New Roman" w:hAnsi="Times New Roman" w:eastAsia="宋体"/>
          <w:b/>
          <w:bCs/>
          <w:color w:val="000000" w:themeColor="text1"/>
          <w:sz w:val="24"/>
          <w:szCs w:val="24"/>
          <w14:textFill>
            <w14:solidFill>
              <w14:schemeClr w14:val="tx1"/>
            </w14:solidFill>
          </w14:textFill>
        </w:rPr>
        <w:t>2011</w:t>
      </w:r>
      <w:r>
        <w:rPr>
          <w:rFonts w:ascii="Times New Roman" w:hAnsi="Times New Roman" w:eastAsia="宋体"/>
          <w:b/>
          <w:bCs/>
          <w:color w:val="000000" w:themeColor="text1"/>
          <w:sz w:val="24"/>
          <w:szCs w:val="24"/>
          <w14:textFill>
            <w14:solidFill>
              <w14:schemeClr w14:val="tx1"/>
            </w14:solidFill>
          </w14:textFill>
        </w:rPr>
        <w:t>）</w:t>
      </w:r>
    </w:p>
    <w:p>
      <w:pPr>
        <w:pStyle w:val="380"/>
        <w:adjustRightInd w:val="0"/>
        <w:snapToGrid w:val="0"/>
        <w:spacing w:before="48" w:beforeLines="20" w:after="48" w:afterLines="20"/>
        <w:ind w:firstLine="0" w:firstLineChars="0"/>
        <w:jc w:val="left"/>
        <w:outlineLvl w:val="2"/>
        <w:rPr>
          <w:rFonts w:ascii="Times New Roman" w:hAnsi="Times New Roman" w:eastAsia="黑体"/>
          <w:b/>
          <w:color w:val="000000" w:themeColor="text1"/>
          <w:sz w:val="32"/>
          <w:szCs w:val="32"/>
          <w14:textFill>
            <w14:solidFill>
              <w14:schemeClr w14:val="tx1"/>
            </w14:solidFill>
          </w14:textFill>
        </w:rPr>
      </w:pPr>
      <w:bookmarkStart w:id="137" w:name="_Toc16900"/>
      <w:bookmarkStart w:id="138" w:name="_Toc28471"/>
      <w:bookmarkStart w:id="139" w:name="_Toc24926"/>
      <w:r>
        <w:rPr>
          <w:color w:val="000000" w:themeColor="text1"/>
          <w14:textFill>
            <w14:solidFill>
              <w14:schemeClr w14:val="tx1"/>
            </w14:solidFill>
          </w14:textFill>
        </w:rPr>
        <w:drawing>
          <wp:inline distT="0" distB="0" distL="114300" distR="114300">
            <wp:extent cx="5758815" cy="2567305"/>
            <wp:effectExtent l="0" t="0" r="13335" b="444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
                    <a:stretch>
                      <a:fillRect/>
                    </a:stretch>
                  </pic:blipFill>
                  <pic:spPr>
                    <a:xfrm>
                      <a:off x="0" y="0"/>
                      <a:ext cx="5758815" cy="2567305"/>
                    </a:xfrm>
                    <a:prstGeom prst="rect">
                      <a:avLst/>
                    </a:prstGeom>
                    <a:noFill/>
                    <a:ln>
                      <a:noFill/>
                    </a:ln>
                  </pic:spPr>
                </pic:pic>
              </a:graphicData>
            </a:graphic>
          </wp:inline>
        </w:drawing>
      </w:r>
      <w:bookmarkEnd w:id="137"/>
      <w:bookmarkEnd w:id="138"/>
      <w:bookmarkEnd w:id="139"/>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40" w:name="_Toc2207"/>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.5</w:t>
      </w:r>
      <w:r>
        <w:rPr>
          <w:rFonts w:ascii="黑体" w:hAnsi="黑体" w:eastAsia="黑体"/>
          <w:b/>
          <w:color w:val="000000" w:themeColor="text1"/>
          <w:sz w:val="32"/>
          <w:szCs w:val="32"/>
          <w14:textFill>
            <w14:solidFill>
              <w14:schemeClr w14:val="tx1"/>
            </w14:solidFill>
          </w14:textFill>
        </w:rPr>
        <w:t>建设</w:t>
      </w:r>
      <w:r>
        <w:rPr>
          <w:rFonts w:hint="eastAsia" w:ascii="黑体" w:hAnsi="黑体" w:eastAsia="黑体"/>
          <w:b/>
          <w:color w:val="000000" w:themeColor="text1"/>
          <w:sz w:val="32"/>
          <w:szCs w:val="32"/>
          <w14:textFill>
            <w14:solidFill>
              <w14:schemeClr w14:val="tx1"/>
            </w14:solidFill>
          </w14:textFill>
        </w:rPr>
        <w:t>内容</w:t>
      </w:r>
      <w:bookmarkEnd w:id="140"/>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项目由主体工程、辅助工程、公用工程、储运工程、环保工程组成，具体建设内容详见表</w:t>
      </w:r>
      <w:r>
        <w:rPr>
          <w:rFonts w:hint="eastAsia" w:ascii="Times New Roman" w:hAnsi="Times New Roman" w:eastAsiaTheme="minorEastAsia"/>
          <w:color w:val="000000" w:themeColor="text1"/>
          <w:sz w:val="24"/>
          <w:szCs w:val="24"/>
          <w:lang w:val="en-US" w:eastAsia="zh-CN"/>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.5-1</w:t>
      </w:r>
      <w:r>
        <w:rPr>
          <w:rFonts w:ascii="Times New Roman" w:hAnsiTheme="minorEastAsia" w:eastAsiaTheme="minorEastAsia"/>
          <w:color w:val="000000" w:themeColor="text1"/>
          <w:sz w:val="24"/>
          <w:szCs w:val="24"/>
          <w14:textFill>
            <w14:solidFill>
              <w14:schemeClr w14:val="tx1"/>
            </w14:solidFill>
          </w14:textFill>
        </w:rPr>
        <w:t>。</w:t>
      </w:r>
    </w:p>
    <w:p>
      <w:pPr>
        <w:widowControl/>
        <w:shd w:val="clear" w:color="auto" w:fill="FFFFFF"/>
        <w:overflowPunct w:val="0"/>
        <w:autoSpaceDE w:val="0"/>
        <w:autoSpaceDN w:val="0"/>
        <w:adjustRightInd w:val="0"/>
        <w:snapToGrid w:val="0"/>
        <w:spacing w:line="520" w:lineRule="exact"/>
        <w:jc w:val="center"/>
        <w:rPr>
          <w:rFonts w:ascii="Times New Roman" w:hAnsiTheme="minorEastAsia" w:eastAsiaTheme="minorEastAsia"/>
          <w:b/>
          <w:bCs/>
          <w:color w:val="000000" w:themeColor="text1"/>
          <w:sz w:val="24"/>
          <w:szCs w:val="24"/>
          <w14:textFill>
            <w14:solidFill>
              <w14:schemeClr w14:val="tx1"/>
            </w14:solidFill>
          </w14:textFill>
        </w:rPr>
      </w:pPr>
      <w:r>
        <w:rPr>
          <w:rFonts w:ascii="Times New Roman" w:hAnsiTheme="minorEastAsia" w:eastAsiaTheme="minorEastAsia"/>
          <w:b/>
          <w:bCs/>
          <w:color w:val="000000" w:themeColor="text1"/>
          <w:sz w:val="24"/>
          <w:szCs w:val="24"/>
          <w14:textFill>
            <w14:solidFill>
              <w14:schemeClr w14:val="tx1"/>
            </w14:solidFill>
          </w14:textFill>
        </w:rPr>
        <w:t>表</w:t>
      </w: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3</w:t>
      </w:r>
      <w:r>
        <w:rPr>
          <w:rFonts w:ascii="Times New Roman" w:hAnsi="Times New Roman" w:eastAsiaTheme="minorEastAsia"/>
          <w:b/>
          <w:bCs/>
          <w:color w:val="000000" w:themeColor="text1"/>
          <w:sz w:val="24"/>
          <w:szCs w:val="24"/>
          <w14:textFill>
            <w14:solidFill>
              <w14:schemeClr w14:val="tx1"/>
            </w14:solidFill>
          </w14:textFill>
        </w:rPr>
        <w:t>.5-1</w:t>
      </w:r>
      <w:r>
        <w:rPr>
          <w:rFonts w:hint="eastAsia"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heme="minorEastAsia" w:eastAsiaTheme="minorEastAsia"/>
          <w:b/>
          <w:bCs/>
          <w:color w:val="000000" w:themeColor="text1"/>
          <w:sz w:val="24"/>
          <w:szCs w:val="24"/>
          <w14:textFill>
            <w14:solidFill>
              <w14:schemeClr w14:val="tx1"/>
            </w14:solidFill>
          </w14:textFill>
        </w:rPr>
        <w:t>拟建项目</w:t>
      </w:r>
      <w:r>
        <w:rPr>
          <w:rFonts w:hint="eastAsia" w:ascii="Times New Roman" w:hAnsiTheme="minorEastAsia" w:eastAsiaTheme="minorEastAsia"/>
          <w:b/>
          <w:bCs/>
          <w:color w:val="000000" w:themeColor="text1"/>
          <w:sz w:val="24"/>
          <w:szCs w:val="24"/>
          <w14:textFill>
            <w14:solidFill>
              <w14:schemeClr w14:val="tx1"/>
            </w14:solidFill>
          </w14:textFill>
        </w:rPr>
        <w:t>主要</w:t>
      </w:r>
      <w:r>
        <w:rPr>
          <w:rFonts w:ascii="Times New Roman" w:hAnsiTheme="minorEastAsia" w:eastAsiaTheme="minorEastAsia"/>
          <w:b/>
          <w:bCs/>
          <w:color w:val="000000" w:themeColor="text1"/>
          <w:sz w:val="24"/>
          <w:szCs w:val="24"/>
          <w14:textFill>
            <w14:solidFill>
              <w14:schemeClr w14:val="tx1"/>
            </w14:solidFill>
          </w14:textFill>
        </w:rPr>
        <w:t>建设内容一览表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006"/>
        <w:gridCol w:w="1300"/>
        <w:gridCol w:w="5645"/>
        <w:gridCol w:w="1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工程类别</w:t>
            </w: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工程名称</w:t>
            </w:r>
          </w:p>
        </w:tc>
        <w:tc>
          <w:tcPr>
            <w:tcW w:w="5645"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规模</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主体工程</w:t>
            </w:r>
          </w:p>
        </w:tc>
        <w:tc>
          <w:tcPr>
            <w:tcW w:w="1300" w:type="dxa"/>
            <w:shd w:val="clear" w:color="auto" w:fill="auto"/>
            <w:vAlign w:val="center"/>
          </w:tcPr>
          <w:p>
            <w:pPr>
              <w:pStyle w:val="214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氟硅酸钠</w:t>
            </w:r>
          </w:p>
          <w:p>
            <w:pPr>
              <w:pStyle w:val="2142"/>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14:textFill>
                  <w14:solidFill>
                    <w14:schemeClr w14:val="tx1"/>
                  </w14:solidFill>
                </w14:textFill>
              </w:rPr>
              <w:t>装置</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建筑高度13米，二层；车间占地面积1950m</w:t>
            </w:r>
            <w:r>
              <w:rPr>
                <w:rFonts w:ascii="Times New Roman" w:hAnsi="Times New Roman"/>
                <w:color w:val="000000" w:themeColor="text1"/>
                <w:kern w:val="0"/>
                <w:szCs w:val="21"/>
                <w:vertAlign w:val="superscript"/>
                <w14:textFill>
                  <w14:solidFill>
                    <w14:schemeClr w14:val="tx1"/>
                  </w14:solidFill>
                </w14:textFill>
              </w:rPr>
              <w:t>2</w:t>
            </w:r>
            <w:r>
              <w:rPr>
                <w:rFonts w:ascii="Times New Roman" w:hAnsi="Times New Roman"/>
                <w:color w:val="000000" w:themeColor="text1"/>
                <w:kern w:val="0"/>
                <w:szCs w:val="21"/>
                <w14:textFill>
                  <w14:solidFill>
                    <w14:schemeClr w14:val="tx1"/>
                  </w14:solidFill>
                </w14:textFill>
              </w:rPr>
              <w:t>，建筑面积3077.16m</w:t>
            </w:r>
            <w:r>
              <w:rPr>
                <w:rFonts w:ascii="Times New Roman" w:hAnsi="Times New Roman"/>
                <w:color w:val="000000" w:themeColor="text1"/>
                <w:kern w:val="0"/>
                <w:szCs w:val="21"/>
                <w:vertAlign w:val="superscript"/>
                <w14:textFill>
                  <w14:solidFill>
                    <w14:schemeClr w14:val="tx1"/>
                  </w14:solidFill>
                </w14:textFill>
              </w:rPr>
              <w:t>2</w:t>
            </w:r>
            <w:r>
              <w:rPr>
                <w:rFonts w:hint="eastAsia" w:ascii="Times New Roman" w:hAnsi="Times New Roman"/>
                <w:color w:val="000000" w:themeColor="text1"/>
                <w:kern w:val="0"/>
                <w:szCs w:val="21"/>
                <w14:textFill>
                  <w14:solidFill>
                    <w14:schemeClr w14:val="tx1"/>
                  </w14:solidFill>
                </w14:textFill>
              </w:rPr>
              <w:t>，</w:t>
            </w:r>
            <w:r>
              <w:rPr>
                <w:rFonts w:ascii="Times New Roman" w:hAnsi="Times New Roman"/>
                <w:color w:val="000000" w:themeColor="text1"/>
                <w:kern w:val="0"/>
                <w:szCs w:val="21"/>
                <w14:textFill>
                  <w14:solidFill>
                    <w14:schemeClr w14:val="tx1"/>
                  </w14:solidFill>
                </w14:textFill>
              </w:rPr>
              <w:t>包含氟硅酸钠生产线</w:t>
            </w:r>
            <w:r>
              <w:rPr>
                <w:rFonts w:hint="eastAsia" w:ascii="Times New Roman" w:hAnsi="Times New Roman"/>
                <w:color w:val="000000" w:themeColor="text1"/>
                <w:kern w:val="0"/>
                <w:szCs w:val="21"/>
                <w14:textFill>
                  <w14:solidFill>
                    <w14:schemeClr w14:val="tx1"/>
                  </w14:solidFill>
                </w14:textFill>
              </w:rPr>
              <w:t>3</w:t>
            </w:r>
            <w:r>
              <w:rPr>
                <w:rFonts w:ascii="Times New Roman" w:hAnsi="Times New Roman"/>
                <w:color w:val="000000" w:themeColor="text1"/>
                <w:kern w:val="0"/>
                <w:szCs w:val="21"/>
                <w14:textFill>
                  <w14:solidFill>
                    <w14:schemeClr w14:val="tx1"/>
                  </w14:solidFill>
                </w14:textFill>
              </w:rPr>
              <w:t>条；氟硅酸钠装置用实体墙分隔成变配电室、装置区、综合楼，配电室位于装置区西侧，综合</w:t>
            </w:r>
            <w:r>
              <w:rPr>
                <w:rFonts w:hint="eastAsia" w:ascii="Times New Roman" w:hAnsi="Times New Roman"/>
                <w:color w:val="000000" w:themeColor="text1"/>
                <w:kern w:val="0"/>
                <w:szCs w:val="21"/>
                <w14:textFill>
                  <w14:solidFill>
                    <w14:schemeClr w14:val="tx1"/>
                  </w14:solidFill>
                </w14:textFill>
              </w:rPr>
              <w:t>楼</w:t>
            </w:r>
            <w:r>
              <w:rPr>
                <w:rFonts w:ascii="Times New Roman" w:hAnsi="Times New Roman"/>
                <w:color w:val="000000" w:themeColor="text1"/>
                <w:kern w:val="0"/>
                <w:szCs w:val="21"/>
                <w14:textFill>
                  <w14:solidFill>
                    <w14:schemeClr w14:val="tx1"/>
                  </w14:solidFill>
                </w14:textFill>
              </w:rPr>
              <w:t>位于装置区东侧，综合楼内设置中控室、监控室/消防控制室、备件库、分析室、办公室、会议室等。空压装置、循环水系统设置在氟硅酸钠装置内</w:t>
            </w:r>
            <w:r>
              <w:rPr>
                <w:rFonts w:hint="eastAsia" w:ascii="Times New Roman" w:hAnsi="Times New Roman"/>
                <w:color w:val="000000" w:themeColor="text1"/>
                <w:kern w:val="0"/>
                <w:szCs w:val="21"/>
                <w14:textFill>
                  <w14:solidFill>
                    <w14:schemeClr w14:val="tx1"/>
                  </w14:solidFill>
                </w14:textFill>
              </w:rPr>
              <w:t>。</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restart"/>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辅助工程</w:t>
            </w: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综合楼</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占地面积</w:t>
            </w:r>
            <w:r>
              <w:rPr>
                <w:rFonts w:hint="eastAsia" w:ascii="Times New Roman" w:hAnsi="Times New Roman"/>
                <w:color w:val="000000" w:themeColor="text1"/>
                <w:kern w:val="0"/>
                <w:szCs w:val="21"/>
                <w14:textFill>
                  <w14:solidFill>
                    <w14:schemeClr w14:val="tx1"/>
                  </w14:solidFill>
                </w14:textFill>
              </w:rPr>
              <w:t>240</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1栋2层</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位于氟硅酸钠装置区东侧，内设中控室、监控室/消防控制室、备件库、分析室、办公室、会议室等</w:t>
            </w:r>
            <w:r>
              <w:rPr>
                <w:rFonts w:ascii="Times New Roman" w:hAnsi="宋体"/>
                <w:color w:val="000000" w:themeColor="text1"/>
                <w:kern w:val="0"/>
                <w:szCs w:val="21"/>
                <w14:textFill>
                  <w14:solidFill>
                    <w14:schemeClr w14:val="tx1"/>
                  </w14:solidFill>
                </w14:textFill>
              </w:rPr>
              <w:t>。</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配电室</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占地面积</w:t>
            </w:r>
            <w:r>
              <w:rPr>
                <w:rFonts w:hint="eastAsia" w:ascii="Times New Roman" w:hAnsi="Times New Roman"/>
                <w:color w:val="000000" w:themeColor="text1"/>
                <w:kern w:val="0"/>
                <w:szCs w:val="21"/>
                <w14:textFill>
                  <w14:solidFill>
                    <w14:schemeClr w14:val="tx1"/>
                  </w14:solidFill>
                </w14:textFill>
              </w:rPr>
              <w:t>125.51</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1栋1层，位于氟硅酸钠装置区西侧</w:t>
            </w:r>
          </w:p>
        </w:tc>
        <w:tc>
          <w:tcPr>
            <w:tcW w:w="1144" w:type="dxa"/>
            <w:shd w:val="clear" w:color="auto" w:fill="auto"/>
            <w:vAlign w:val="center"/>
          </w:tcPr>
          <w:p>
            <w:pPr>
              <w:widowControl/>
              <w:spacing w:before="24" w:beforeLines="10" w:after="24" w:afterLines="10"/>
              <w:jc w:val="center"/>
              <w:rPr>
                <w:rFonts w:ascii="Times New Roman" w:hAnsi="宋体"/>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地中衡</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占地面积</w:t>
            </w:r>
            <w:r>
              <w:rPr>
                <w:rFonts w:hint="eastAsia" w:ascii="Times New Roman" w:hAnsi="Times New Roman"/>
                <w:color w:val="000000" w:themeColor="text1"/>
                <w:kern w:val="0"/>
                <w:szCs w:val="21"/>
                <w14:textFill>
                  <w14:solidFill>
                    <w14:schemeClr w14:val="tx1"/>
                  </w14:solidFill>
                </w14:textFill>
              </w:rPr>
              <w:t>65.92</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用于运输车辆进出厂称重</w:t>
            </w:r>
          </w:p>
        </w:tc>
        <w:tc>
          <w:tcPr>
            <w:tcW w:w="1144" w:type="dxa"/>
            <w:shd w:val="clear" w:color="auto" w:fill="auto"/>
            <w:vAlign w:val="center"/>
          </w:tcPr>
          <w:p>
            <w:pPr>
              <w:widowControl/>
              <w:spacing w:before="24" w:beforeLines="10" w:after="24" w:afterLines="10"/>
              <w:jc w:val="center"/>
              <w:rPr>
                <w:rFonts w:ascii="Times New Roman" w:hAnsi="宋体"/>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门卫及地磅房</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占地面积</w:t>
            </w:r>
            <w:r>
              <w:rPr>
                <w:rFonts w:hint="eastAsia" w:ascii="Times New Roman" w:hAnsi="Times New Roman"/>
                <w:color w:val="000000" w:themeColor="text1"/>
                <w:kern w:val="0"/>
                <w:szCs w:val="21"/>
                <w14:textFill>
                  <w14:solidFill>
                    <w14:schemeClr w14:val="tx1"/>
                  </w14:solidFill>
                </w14:textFill>
              </w:rPr>
              <w:t>12</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水泵房</w:t>
            </w:r>
          </w:p>
        </w:tc>
        <w:tc>
          <w:tcPr>
            <w:tcW w:w="5645" w:type="dxa"/>
            <w:shd w:val="clear" w:color="auto" w:fill="auto"/>
            <w:vAlign w:val="center"/>
          </w:tcPr>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占地面积</w:t>
            </w:r>
            <w:r>
              <w:rPr>
                <w:rFonts w:hint="eastAsia" w:ascii="Times New Roman" w:hAnsi="Times New Roman"/>
                <w:color w:val="000000" w:themeColor="text1"/>
                <w:kern w:val="0"/>
                <w:szCs w:val="21"/>
                <w14:textFill>
                  <w14:solidFill>
                    <w14:schemeClr w14:val="tx1"/>
                  </w14:solidFill>
                </w14:textFill>
              </w:rPr>
              <w:t>20</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hint="eastAsia" w:ascii="Times New Roman" w:hAnsi="Times New Roman"/>
                <w:color w:val="000000" w:themeColor="text1"/>
                <w:kern w:val="0"/>
                <w:szCs w:val="21"/>
                <w14:textFill>
                  <w14:solidFill>
                    <w14:schemeClr w14:val="tx1"/>
                  </w14:solidFill>
                </w14:textFill>
              </w:rPr>
              <w:t>，地下1层，高度3.3m</w:t>
            </w:r>
          </w:p>
        </w:tc>
        <w:tc>
          <w:tcPr>
            <w:tcW w:w="1144" w:type="dxa"/>
            <w:shd w:val="clear" w:color="auto" w:fill="auto"/>
            <w:vAlign w:val="center"/>
          </w:tcPr>
          <w:p>
            <w:pPr>
              <w:widowControl/>
              <w:spacing w:before="24" w:beforeLines="10" w:after="24" w:afterLines="10"/>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管廊</w:t>
            </w:r>
          </w:p>
        </w:tc>
        <w:tc>
          <w:tcPr>
            <w:tcW w:w="5645" w:type="dxa"/>
            <w:shd w:val="clear" w:color="auto" w:fill="auto"/>
            <w:vAlign w:val="center"/>
          </w:tcPr>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宽度1.5m，长×高：96.8×30，占地面积290.4</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p>
        </w:tc>
        <w:tc>
          <w:tcPr>
            <w:tcW w:w="1144" w:type="dxa"/>
            <w:shd w:val="clear" w:color="auto" w:fill="auto"/>
            <w:vAlign w:val="center"/>
          </w:tcPr>
          <w:p>
            <w:pPr>
              <w:widowControl/>
              <w:spacing w:before="24" w:beforeLines="10" w:after="24" w:afterLines="10"/>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restart"/>
            <w:vAlign w:val="center"/>
          </w:tcPr>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公用</w:t>
            </w:r>
            <w:r>
              <w:rPr>
                <w:rFonts w:ascii="Times New Roman" w:hAnsi="宋体"/>
                <w:color w:val="000000" w:themeColor="text1"/>
                <w:kern w:val="0"/>
                <w:szCs w:val="21"/>
                <w14:textFill>
                  <w14:solidFill>
                    <w14:schemeClr w14:val="tx1"/>
                  </w14:solidFill>
                </w14:textFill>
              </w:rPr>
              <w:t>工程</w:t>
            </w:r>
          </w:p>
        </w:tc>
        <w:tc>
          <w:tcPr>
            <w:tcW w:w="1300" w:type="dxa"/>
            <w:shd w:val="clear" w:color="auto" w:fill="auto"/>
            <w:vAlign w:val="center"/>
          </w:tcPr>
          <w:p>
            <w:pPr>
              <w:pStyle w:val="2142"/>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14:textFill>
                  <w14:solidFill>
                    <w14:schemeClr w14:val="tx1"/>
                  </w14:solidFill>
                </w14:textFill>
              </w:rPr>
              <w:t>循环水系统</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循环水补水由厂区给水管网自动补给。循环水量为</w:t>
            </w:r>
            <w:r>
              <w:rPr>
                <w:rFonts w:hint="eastAsia" w:ascii="Times New Roman" w:hAnsi="Times New Roman"/>
                <w:color w:val="000000" w:themeColor="text1"/>
                <w:kern w:val="0"/>
                <w:szCs w:val="21"/>
                <w14:textFill>
                  <w14:solidFill>
                    <w14:schemeClr w14:val="tx1"/>
                  </w14:solidFill>
                </w14:textFill>
              </w:rPr>
              <w:t>550</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r>
              <w:rPr>
                <w:rFonts w:ascii="Times New Roman" w:hAnsi="Times New Roman"/>
                <w:color w:val="000000" w:themeColor="text1"/>
                <w:kern w:val="0"/>
                <w:szCs w:val="21"/>
                <w14:textFill>
                  <w14:solidFill>
                    <w14:schemeClr w14:val="tx1"/>
                  </w14:solidFill>
                </w14:textFill>
              </w:rPr>
              <w:t>/h</w:t>
            </w:r>
            <w:r>
              <w:rPr>
                <w:rFonts w:ascii="Times New Roman" w:hAnsi="宋体"/>
                <w:color w:val="000000" w:themeColor="text1"/>
                <w:kern w:val="0"/>
                <w:szCs w:val="21"/>
                <w14:textFill>
                  <w14:solidFill>
                    <w14:schemeClr w14:val="tx1"/>
                  </w14:solidFill>
                </w14:textFill>
              </w:rPr>
              <w:t>，设</w:t>
            </w:r>
            <w:r>
              <w:rPr>
                <w:rFonts w:hint="eastAsia" w:ascii="Times New Roman" w:hAnsi="宋体"/>
                <w:color w:val="000000" w:themeColor="text1"/>
                <w:kern w:val="0"/>
                <w:szCs w:val="21"/>
                <w14:textFill>
                  <w14:solidFill>
                    <w14:schemeClr w14:val="tx1"/>
                  </w14:solidFill>
                </w14:textFill>
              </w:rPr>
              <w:t>间冷开式</w:t>
            </w:r>
            <w:r>
              <w:rPr>
                <w:rFonts w:ascii="Times New Roman" w:hAnsi="宋体"/>
                <w:color w:val="000000" w:themeColor="text1"/>
                <w:kern w:val="0"/>
                <w:szCs w:val="21"/>
                <w14:textFill>
                  <w14:solidFill>
                    <w14:schemeClr w14:val="tx1"/>
                  </w14:solidFill>
                </w14:textFill>
              </w:rPr>
              <w:t>冷却塔</w:t>
            </w:r>
            <w:r>
              <w:rPr>
                <w:rFonts w:hint="eastAsia" w:ascii="Times New Roman" w:hAnsi="Times New Roman"/>
                <w:color w:val="000000" w:themeColor="text1"/>
                <w:kern w:val="0"/>
                <w:szCs w:val="21"/>
                <w14:textFill>
                  <w14:solidFill>
                    <w14:schemeClr w14:val="tx1"/>
                  </w14:solidFill>
                </w14:textFill>
              </w:rPr>
              <w:t>1</w:t>
            </w:r>
            <w:r>
              <w:rPr>
                <w:rFonts w:ascii="Times New Roman" w:hAnsi="宋体"/>
                <w:color w:val="000000" w:themeColor="text1"/>
                <w:kern w:val="0"/>
                <w:szCs w:val="21"/>
                <w14:textFill>
                  <w14:solidFill>
                    <w14:schemeClr w14:val="tx1"/>
                  </w14:solidFill>
                </w14:textFill>
              </w:rPr>
              <w:t>座，运行负荷为</w:t>
            </w:r>
            <w:r>
              <w:rPr>
                <w:rFonts w:hint="eastAsia" w:ascii="Times New Roman" w:hAnsi="Times New Roman"/>
                <w:color w:val="000000" w:themeColor="text1"/>
                <w:kern w:val="0"/>
                <w:szCs w:val="21"/>
                <w14:textFill>
                  <w14:solidFill>
                    <w14:schemeClr w14:val="tx1"/>
                  </w14:solidFill>
                </w14:textFill>
              </w:rPr>
              <w:t>550</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r>
              <w:rPr>
                <w:rFonts w:ascii="Times New Roman" w:hAnsi="Times New Roman"/>
                <w:color w:val="000000" w:themeColor="text1"/>
                <w:kern w:val="0"/>
                <w:szCs w:val="21"/>
                <w14:textFill>
                  <w14:solidFill>
                    <w14:schemeClr w14:val="tx1"/>
                  </w14:solidFill>
                </w14:textFill>
              </w:rPr>
              <w:t>/h</w:t>
            </w:r>
            <w:r>
              <w:rPr>
                <w:rFonts w:ascii="Times New Roman" w:hAnsi="宋体"/>
                <w:color w:val="000000" w:themeColor="text1"/>
                <w:kern w:val="0"/>
                <w:szCs w:val="21"/>
                <w14:textFill>
                  <w14:solidFill>
                    <w14:schemeClr w14:val="tx1"/>
                  </w14:solidFill>
                </w14:textFill>
              </w:rPr>
              <w:t>，设一座</w:t>
            </w:r>
            <w:r>
              <w:rPr>
                <w:rFonts w:hint="eastAsia" w:ascii="Times New Roman" w:hAnsi="Times New Roman"/>
                <w:color w:val="000000" w:themeColor="text1"/>
                <w:kern w:val="0"/>
                <w:szCs w:val="21"/>
                <w14:textFill>
                  <w14:solidFill>
                    <w14:schemeClr w14:val="tx1"/>
                  </w14:solidFill>
                </w14:textFill>
              </w:rPr>
              <w:t>550</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r>
              <w:rPr>
                <w:rFonts w:ascii="Times New Roman" w:hAnsi="宋体"/>
                <w:color w:val="000000" w:themeColor="text1"/>
                <w:kern w:val="0"/>
                <w:szCs w:val="21"/>
                <w14:textFill>
                  <w14:solidFill>
                    <w14:schemeClr w14:val="tx1"/>
                  </w14:solidFill>
                </w14:textFill>
              </w:rPr>
              <w:t>循环水池，可满足项目需要。</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p>
        </w:tc>
        <w:tc>
          <w:tcPr>
            <w:tcW w:w="1300" w:type="dxa"/>
            <w:shd w:val="clear" w:color="auto" w:fill="auto"/>
            <w:vAlign w:val="center"/>
          </w:tcPr>
          <w:p>
            <w:pPr>
              <w:pStyle w:val="214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给水</w:t>
            </w:r>
          </w:p>
        </w:tc>
        <w:tc>
          <w:tcPr>
            <w:tcW w:w="5645" w:type="dxa"/>
            <w:shd w:val="clear" w:color="auto" w:fill="auto"/>
            <w:vAlign w:val="center"/>
          </w:tcPr>
          <w:p>
            <w:pPr>
              <w:widowControl/>
              <w:spacing w:before="24" w:beforeLines="10" w:after="24" w:afterLines="10"/>
              <w:jc w:val="left"/>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生活用水由园区生活水管网供给，供水压力约为0.45MPa；生产用水直接从园区环状供水管网上取水，供水压力约为0.6MPa。</w:t>
            </w:r>
          </w:p>
        </w:tc>
        <w:tc>
          <w:tcPr>
            <w:tcW w:w="1144" w:type="dxa"/>
            <w:shd w:val="clear" w:color="auto" w:fill="auto"/>
            <w:vAlign w:val="center"/>
          </w:tcPr>
          <w:p>
            <w:pPr>
              <w:widowControl/>
              <w:spacing w:before="24" w:beforeLines="10" w:after="24" w:afterLines="10"/>
              <w:jc w:val="center"/>
              <w:rPr>
                <w:rFonts w:hint="default" w:ascii="Times New Roman" w:hAnsi="宋体" w:eastAsia="宋体"/>
                <w:color w:val="000000" w:themeColor="text1"/>
                <w:kern w:val="0"/>
                <w:szCs w:val="21"/>
                <w:lang w:val="en-US" w:eastAsia="zh-CN"/>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依托</w:t>
            </w:r>
            <w:r>
              <w:rPr>
                <w:rFonts w:hint="eastAsia" w:ascii="Times New Roman" w:hAnsi="宋体"/>
                <w:color w:val="000000" w:themeColor="text1"/>
                <w:kern w:val="0"/>
                <w:szCs w:val="21"/>
                <w:lang w:val="en-US" w:eastAsia="zh-CN"/>
                <w14:textFill>
                  <w14:solidFill>
                    <w14:schemeClr w14:val="tx1"/>
                  </w14:solidFill>
                </w14:textFill>
              </w:rPr>
              <w:t>园区现有给水管网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pStyle w:val="2142"/>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14:textFill>
                  <w14:solidFill>
                    <w14:schemeClr w14:val="tx1"/>
                  </w14:solidFill>
                </w14:textFill>
              </w:rPr>
              <w:t>排水</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厂区设置雨污分流制</w:t>
            </w:r>
            <w:r>
              <w:rPr>
                <w:rFonts w:ascii="Times New Roman" w:hAnsi="宋体"/>
                <w:color w:val="000000" w:themeColor="text1"/>
                <w:kern w:val="0"/>
                <w:szCs w:val="21"/>
                <w14:textFill>
                  <w14:solidFill>
                    <w14:schemeClr w14:val="tx1"/>
                  </w14:solidFill>
                </w14:textFill>
              </w:rPr>
              <w:t>、生活污水</w:t>
            </w:r>
            <w:r>
              <w:rPr>
                <w:rFonts w:hint="eastAsia" w:ascii="Times New Roman" w:hAnsi="宋体"/>
                <w:color w:val="000000" w:themeColor="text1"/>
                <w:kern w:val="0"/>
                <w:szCs w:val="21"/>
                <w14:textFill>
                  <w14:solidFill>
                    <w14:schemeClr w14:val="tx1"/>
                  </w14:solidFill>
                </w14:textFill>
              </w:rPr>
              <w:t>经厂区化粪池收集处理后排入园区污水管网；尾气洗涤废液定期泵送至中和槽回用于生产，不外排；离心洗涤废水经母液槽最终进入中和槽回用于生产，不外排；</w:t>
            </w:r>
            <w:r>
              <w:rPr>
                <w:rFonts w:hint="eastAsia" w:ascii="Times New Roman" w:hAnsi="Times New Roman"/>
                <w:snapToGrid w:val="0"/>
                <w:color w:val="000000" w:themeColor="text1"/>
                <w:szCs w:val="21"/>
                <w14:textFill>
                  <w14:solidFill>
                    <w14:schemeClr w14:val="tx1"/>
                  </w14:solidFill>
                </w14:textFill>
              </w:rPr>
              <w:t>蒸汽冷凝液部分回用于厂区绿化洒水，多余部分作为清净下水经雨水管网排放；循环冷却排水作为清净下水经雨水管网排放；污蒸汽冷凝液部分回用于溶盐槽溶盐、离心洗涤、尾气吸收、循环冷却补水，多余部分作为清净下水经雨水管网排放</w:t>
            </w:r>
            <w:r>
              <w:rPr>
                <w:rFonts w:ascii="Times New Roman" w:hAnsi="宋体"/>
                <w:color w:val="000000" w:themeColor="text1"/>
                <w:kern w:val="0"/>
                <w:szCs w:val="21"/>
                <w14:textFill>
                  <w14:solidFill>
                    <w14:schemeClr w14:val="tx1"/>
                  </w14:solidFill>
                </w14:textFill>
              </w:rPr>
              <w:t>。</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pStyle w:val="2142"/>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14:textFill>
                  <w14:solidFill>
                    <w14:schemeClr w14:val="tx1"/>
                  </w14:solidFill>
                </w14:textFill>
              </w:rPr>
              <w:t>消防</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采用临高压给水系统，室外消火栓流量15L/s，室内消火栓流量10L/s。设置有效容积180m³的消防水箱一座。厂区内设枝状消防供水管网，在供水管网上设置地上式室外消火栓，间距不大于120米</w:t>
            </w:r>
            <w:r>
              <w:rPr>
                <w:rFonts w:ascii="Times New Roman" w:hAnsi="宋体"/>
                <w:color w:val="000000" w:themeColor="text1"/>
                <w:kern w:val="0"/>
                <w:szCs w:val="21"/>
                <w14:textFill>
                  <w14:solidFill>
                    <w14:schemeClr w14:val="tx1"/>
                  </w14:solidFill>
                </w14:textFill>
              </w:rPr>
              <w:t>。</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pStyle w:val="2142"/>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14:textFill>
                  <w14:solidFill>
                    <w14:schemeClr w14:val="tx1"/>
                  </w14:solidFill>
                </w14:textFill>
              </w:rPr>
              <w:t>压缩空气</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设有空压</w:t>
            </w:r>
            <w:r>
              <w:rPr>
                <w:rFonts w:hint="eastAsia" w:ascii="Times New Roman" w:hAnsi="宋体"/>
                <w:color w:val="000000" w:themeColor="text1"/>
                <w:kern w:val="0"/>
                <w:szCs w:val="21"/>
                <w14:textFill>
                  <w14:solidFill>
                    <w14:schemeClr w14:val="tx1"/>
                  </w14:solidFill>
                </w14:textFill>
              </w:rPr>
              <w:t>设备</w:t>
            </w:r>
            <w:r>
              <w:rPr>
                <w:rFonts w:ascii="Times New Roman" w:hAnsi="宋体"/>
                <w:color w:val="000000" w:themeColor="text1"/>
                <w:kern w:val="0"/>
                <w:szCs w:val="21"/>
                <w14:textFill>
                  <w14:solidFill>
                    <w14:schemeClr w14:val="tx1"/>
                  </w14:solidFill>
                </w14:textFill>
              </w:rPr>
              <w:t>一</w:t>
            </w:r>
            <w:r>
              <w:rPr>
                <w:rFonts w:hint="eastAsia" w:ascii="Times New Roman" w:hAnsi="宋体"/>
                <w:color w:val="000000" w:themeColor="text1"/>
                <w:kern w:val="0"/>
                <w:szCs w:val="21"/>
                <w14:textFill>
                  <w14:solidFill>
                    <w14:schemeClr w14:val="tx1"/>
                  </w14:solidFill>
                </w14:textFill>
              </w:rPr>
              <w:t>套以</w:t>
            </w:r>
            <w:r>
              <w:rPr>
                <w:rFonts w:ascii="Times New Roman" w:hAnsi="宋体"/>
                <w:color w:val="000000" w:themeColor="text1"/>
                <w:kern w:val="0"/>
                <w:szCs w:val="21"/>
                <w14:textFill>
                  <w14:solidFill>
                    <w14:schemeClr w14:val="tx1"/>
                  </w14:solidFill>
                </w14:textFill>
              </w:rPr>
              <w:t>满足工艺生产中工艺生产、吹扫、仪表用压缩空气需要。本项目需要压缩空气1.0Mpa（G），总量</w:t>
            </w:r>
            <w:r>
              <w:rPr>
                <w:rFonts w:hint="eastAsia" w:ascii="Times New Roman" w:hAnsi="宋体"/>
                <w:color w:val="000000" w:themeColor="text1"/>
                <w:kern w:val="0"/>
                <w:szCs w:val="21"/>
                <w14:textFill>
                  <w14:solidFill>
                    <w14:schemeClr w14:val="tx1"/>
                  </w14:solidFill>
                </w14:textFill>
              </w:rPr>
              <w:t>3</w:t>
            </w:r>
            <w:r>
              <w:rPr>
                <w:rFonts w:ascii="Times New Roman" w:hAnsi="宋体"/>
                <w:color w:val="000000" w:themeColor="text1"/>
                <w:kern w:val="0"/>
                <w:szCs w:val="21"/>
                <w14:textFill>
                  <w14:solidFill>
                    <w14:schemeClr w14:val="tx1"/>
                  </w14:solidFill>
                </w14:textFill>
              </w:rPr>
              <w:t>00Nm</w:t>
            </w:r>
            <w:r>
              <w:rPr>
                <w:rFonts w:ascii="Times New Roman" w:hAnsi="宋体"/>
                <w:color w:val="000000" w:themeColor="text1"/>
                <w:kern w:val="0"/>
                <w:szCs w:val="21"/>
                <w:vertAlign w:val="superscript"/>
                <w14:textFill>
                  <w14:solidFill>
                    <w14:schemeClr w14:val="tx1"/>
                  </w14:solidFill>
                </w14:textFill>
              </w:rPr>
              <w:t>3</w:t>
            </w:r>
            <w:r>
              <w:rPr>
                <w:rFonts w:ascii="Times New Roman" w:hAnsi="宋体"/>
                <w:color w:val="000000" w:themeColor="text1"/>
                <w:kern w:val="0"/>
                <w:szCs w:val="21"/>
                <w14:textFill>
                  <w14:solidFill>
                    <w14:schemeClr w14:val="tx1"/>
                  </w14:solidFill>
                </w14:textFill>
              </w:rPr>
              <w:t>/h；仪表气0.7Mpa（G），总量</w:t>
            </w:r>
            <w:r>
              <w:rPr>
                <w:rFonts w:hint="eastAsia" w:ascii="Times New Roman" w:hAnsi="宋体"/>
                <w:color w:val="000000" w:themeColor="text1"/>
                <w:kern w:val="0"/>
                <w:szCs w:val="21"/>
                <w14:textFill>
                  <w14:solidFill>
                    <w14:schemeClr w14:val="tx1"/>
                  </w14:solidFill>
                </w14:textFill>
              </w:rPr>
              <w:t>3</w:t>
            </w:r>
            <w:r>
              <w:rPr>
                <w:rFonts w:ascii="Times New Roman" w:hAnsi="宋体"/>
                <w:color w:val="000000" w:themeColor="text1"/>
                <w:kern w:val="0"/>
                <w:szCs w:val="21"/>
                <w14:textFill>
                  <w14:solidFill>
                    <w14:schemeClr w14:val="tx1"/>
                  </w14:solidFill>
                </w14:textFill>
              </w:rPr>
              <w:t>00Nm</w:t>
            </w:r>
            <w:r>
              <w:rPr>
                <w:rFonts w:ascii="Times New Roman" w:hAnsi="宋体"/>
                <w:color w:val="000000" w:themeColor="text1"/>
                <w:kern w:val="0"/>
                <w:szCs w:val="21"/>
                <w:vertAlign w:val="superscript"/>
                <w14:textFill>
                  <w14:solidFill>
                    <w14:schemeClr w14:val="tx1"/>
                  </w14:solidFill>
                </w14:textFill>
              </w:rPr>
              <w:t>3</w:t>
            </w:r>
            <w:r>
              <w:rPr>
                <w:rFonts w:ascii="Times New Roman" w:hAnsi="宋体"/>
                <w:color w:val="000000" w:themeColor="text1"/>
                <w:kern w:val="0"/>
                <w:szCs w:val="21"/>
                <w14:textFill>
                  <w14:solidFill>
                    <w14:schemeClr w14:val="tx1"/>
                  </w14:solidFill>
                </w14:textFill>
              </w:rPr>
              <w:t>/h。</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pStyle w:val="2142"/>
              <w:rPr>
                <w:rFonts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14:textFill>
                  <w14:solidFill>
                    <w14:schemeClr w14:val="tx1"/>
                  </w14:solidFill>
                </w14:textFill>
              </w:rPr>
              <w:t>供电</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由园区110kV变电所接入</w:t>
            </w:r>
          </w:p>
        </w:tc>
        <w:tc>
          <w:tcPr>
            <w:tcW w:w="1144" w:type="dxa"/>
            <w:shd w:val="clear" w:color="auto" w:fill="auto"/>
            <w:vAlign w:val="center"/>
          </w:tcPr>
          <w:p>
            <w:pPr>
              <w:widowControl/>
              <w:spacing w:before="24" w:beforeLines="10" w:after="24" w:afterLines="10"/>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pStyle w:val="2142"/>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14:textFill>
                  <w14:solidFill>
                    <w14:schemeClr w14:val="tx1"/>
                  </w14:solidFill>
                </w14:textFill>
              </w:rPr>
              <w:t>供热</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本项目蒸汽由园区供给，蒸汽规格及用量如下：温度：179℃；压力：0.9MPa（G）。现园区蒸汽余量能满足本项目需求。</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pStyle w:val="2142"/>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14:textFill>
                  <w14:solidFill>
                    <w14:schemeClr w14:val="tx1"/>
                  </w14:solidFill>
                </w14:textFill>
              </w:rPr>
              <w:t>暖通</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综合楼采用单元式空调系统，</w:t>
            </w:r>
            <w:r>
              <w:rPr>
                <w:rFonts w:ascii="Times New Roman" w:hAnsi="宋体"/>
                <w:color w:val="000000" w:themeColor="text1"/>
                <w:kern w:val="0"/>
                <w:szCs w:val="21"/>
                <w14:textFill>
                  <w14:solidFill>
                    <w14:schemeClr w14:val="tx1"/>
                  </w14:solidFill>
                </w14:textFill>
              </w:rPr>
              <w:t>室内设计温度为26</w:t>
            </w:r>
            <w:r>
              <w:rPr>
                <w:rFonts w:hint="eastAsia" w:ascii="Times New Roman" w:hAnsi="宋体"/>
                <w:color w:val="000000" w:themeColor="text1"/>
                <w:kern w:val="0"/>
                <w:szCs w:val="21"/>
                <w14:textFill>
                  <w14:solidFill>
                    <w14:schemeClr w14:val="tx1"/>
                  </w14:solidFill>
                </w14:textFill>
              </w:rPr>
              <w:t>℃</w:t>
            </w:r>
            <w:r>
              <w:rPr>
                <w:rFonts w:ascii="Times New Roman" w:hAnsi="宋体"/>
                <w:color w:val="000000" w:themeColor="text1"/>
                <w:kern w:val="0"/>
                <w:szCs w:val="21"/>
                <w14:textFill>
                  <w14:solidFill>
                    <w14:schemeClr w14:val="tx1"/>
                  </w14:solidFill>
                </w14:textFill>
              </w:rPr>
              <w:t>，总冷量为120.96kW。</w:t>
            </w:r>
            <w:r>
              <w:rPr>
                <w:rFonts w:hint="eastAsia" w:ascii="Times New Roman" w:hAnsi="宋体"/>
                <w:color w:val="000000" w:themeColor="text1"/>
                <w:kern w:val="0"/>
                <w:szCs w:val="21"/>
                <w14:textFill>
                  <w14:solidFill>
                    <w14:schemeClr w14:val="tx1"/>
                  </w14:solidFill>
                </w14:textFill>
              </w:rPr>
              <w:t>综合楼</w:t>
            </w:r>
            <w:r>
              <w:rPr>
                <w:rFonts w:ascii="Times New Roman" w:hAnsi="宋体"/>
                <w:color w:val="000000" w:themeColor="text1"/>
                <w:kern w:val="0"/>
                <w:szCs w:val="21"/>
                <w14:textFill>
                  <w14:solidFill>
                    <w14:schemeClr w14:val="tx1"/>
                  </w14:solidFill>
                </w14:textFill>
              </w:rPr>
              <w:t>对室内人员卫生有要求的地方设置排风系统，如</w:t>
            </w:r>
            <w:r>
              <w:rPr>
                <w:rFonts w:hint="eastAsia" w:ascii="Times New Roman" w:hAnsi="宋体"/>
                <w:color w:val="000000" w:themeColor="text1"/>
                <w:kern w:val="0"/>
                <w:szCs w:val="21"/>
                <w14:textFill>
                  <w14:solidFill>
                    <w14:schemeClr w14:val="tx1"/>
                  </w14:solidFill>
                </w14:textFill>
              </w:rPr>
              <w:t>分析化验室</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控制室，楼内局部房间采用机械通风，通风次数为2~3次/h。</w:t>
            </w:r>
            <w:r>
              <w:rPr>
                <w:rFonts w:hint="eastAsia"/>
                <w:color w:val="000000" w:themeColor="text1"/>
                <w:szCs w:val="21"/>
                <w14:textFill>
                  <w14:solidFill>
                    <w14:schemeClr w14:val="tx1"/>
                  </w14:solidFill>
                </w14:textFill>
              </w:rPr>
              <w:t>氟硅酸钠装置属于框架结构，采用自然通风，综合</w:t>
            </w:r>
            <w:r>
              <w:rPr>
                <w:color w:val="000000" w:themeColor="text1"/>
                <w:szCs w:val="21"/>
                <w14:textFill>
                  <w14:solidFill>
                    <w14:schemeClr w14:val="tx1"/>
                  </w14:solidFill>
                </w14:textFill>
              </w:rPr>
              <w:t>仓库</w:t>
            </w:r>
            <w:r>
              <w:rPr>
                <w:rFonts w:hint="eastAsia"/>
                <w:color w:val="000000" w:themeColor="text1"/>
                <w:szCs w:val="21"/>
                <w14:textFill>
                  <w14:solidFill>
                    <w14:schemeClr w14:val="tx1"/>
                  </w14:solidFill>
                </w14:textFill>
              </w:rPr>
              <w:t>采用机械</w:t>
            </w:r>
            <w:r>
              <w:rPr>
                <w:color w:val="000000" w:themeColor="text1"/>
                <w:szCs w:val="21"/>
                <w14:textFill>
                  <w14:solidFill>
                    <w14:schemeClr w14:val="tx1"/>
                  </w14:solidFill>
                </w14:textFill>
              </w:rPr>
              <w:t>通风。</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restart"/>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储运</w:t>
            </w:r>
            <w:r>
              <w:rPr>
                <w:rFonts w:ascii="Times New Roman" w:hAnsi="宋体"/>
                <w:color w:val="000000" w:themeColor="text1"/>
                <w:kern w:val="0"/>
                <w:szCs w:val="21"/>
                <w14:textFill>
                  <w14:solidFill>
                    <w14:schemeClr w14:val="tx1"/>
                  </w14:solidFill>
                </w14:textFill>
              </w:rPr>
              <w:t>工程</w:t>
            </w: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综合仓库</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1栋1层</w:t>
            </w:r>
            <w:r>
              <w:rPr>
                <w:rFonts w:ascii="Times New Roman" w:hAnsi="宋体"/>
                <w:color w:val="000000" w:themeColor="text1"/>
                <w:kern w:val="0"/>
                <w:szCs w:val="21"/>
                <w14:textFill>
                  <w14:solidFill>
                    <w14:schemeClr w14:val="tx1"/>
                  </w14:solidFill>
                </w14:textFill>
              </w:rPr>
              <w:t>；占地面积</w:t>
            </w:r>
            <w:r>
              <w:rPr>
                <w:rFonts w:hint="eastAsia" w:ascii="Times New Roman" w:hAnsi="Times New Roman"/>
                <w:color w:val="000000" w:themeColor="text1"/>
                <w:kern w:val="0"/>
                <w:szCs w:val="21"/>
                <w14:textFill>
                  <w14:solidFill>
                    <w14:schemeClr w14:val="tx1"/>
                  </w14:solidFill>
                </w14:textFill>
              </w:rPr>
              <w:t>1453.39</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ascii="Times New Roman" w:hAnsi="Times New Roman"/>
                <w:color w:val="000000" w:themeColor="text1"/>
                <w:kern w:val="0"/>
                <w:szCs w:val="21"/>
                <w14:textFill>
                  <w14:solidFill>
                    <w14:schemeClr w14:val="tx1"/>
                  </w14:solidFill>
                </w14:textFill>
              </w:rPr>
              <w:t>,</w:t>
            </w:r>
            <w:r>
              <w:rPr>
                <w:rFonts w:ascii="Times New Roman" w:hAnsi="宋体"/>
                <w:color w:val="000000" w:themeColor="text1"/>
                <w:kern w:val="0"/>
                <w:szCs w:val="21"/>
                <w14:textFill>
                  <w14:solidFill>
                    <w14:schemeClr w14:val="tx1"/>
                  </w14:solidFill>
                </w14:textFill>
              </w:rPr>
              <w:t>建筑面积</w:t>
            </w:r>
            <w:r>
              <w:rPr>
                <w:rFonts w:hint="eastAsia" w:ascii="Times New Roman" w:hAnsi="Times New Roman"/>
                <w:color w:val="000000" w:themeColor="text1"/>
                <w:kern w:val="0"/>
                <w:szCs w:val="21"/>
                <w14:textFill>
                  <w14:solidFill>
                    <w14:schemeClr w14:val="tx1"/>
                  </w14:solidFill>
                </w14:textFill>
              </w:rPr>
              <w:t>1453.39</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hint="eastAsia" w:ascii="Times New Roman" w:hAnsi="Times New Roman"/>
                <w:color w:val="000000" w:themeColor="text1"/>
                <w:kern w:val="0"/>
                <w:szCs w:val="21"/>
                <w14:textFill>
                  <w14:solidFill>
                    <w14:schemeClr w14:val="tx1"/>
                  </w14:solidFill>
                </w14:textFill>
              </w:rPr>
              <w:t>，建筑高度9m</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用作存储项目所需原、辅材料及产品</w:t>
            </w:r>
            <w:r>
              <w:rPr>
                <w:rFonts w:ascii="Times New Roman" w:hAnsi="宋体"/>
                <w:color w:val="000000" w:themeColor="text1"/>
                <w:kern w:val="0"/>
                <w:szCs w:val="21"/>
                <w14:textFill>
                  <w14:solidFill>
                    <w14:schemeClr w14:val="tx1"/>
                  </w14:solidFill>
                </w14:textFill>
              </w:rPr>
              <w:t>。</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罐区</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占地面积为</w:t>
            </w:r>
            <w:r>
              <w:rPr>
                <w:rFonts w:hint="eastAsia" w:ascii="Times New Roman" w:hAnsi="Times New Roman"/>
                <w:color w:val="000000" w:themeColor="text1"/>
                <w:kern w:val="0"/>
                <w:szCs w:val="21"/>
                <w14:textFill>
                  <w14:solidFill>
                    <w14:schemeClr w14:val="tx1"/>
                  </w14:solidFill>
                </w14:textFill>
              </w:rPr>
              <w:t>1332.24</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2</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包括氟硅酸储槽（20%氟硅酸溶液）2台，单罐容积200</w:t>
            </w:r>
            <w:r>
              <w:rPr>
                <w:rFonts w:ascii="Times New Roman" w:hAnsi="Times New Roman"/>
                <w:color w:val="000000" w:themeColor="text1"/>
                <w:kern w:val="0"/>
                <w:sz w:val="18"/>
                <w:szCs w:val="18"/>
                <w14:textFill>
                  <w14:solidFill>
                    <w14:schemeClr w14:val="tx1"/>
                  </w14:solidFill>
                </w14:textFill>
              </w:rPr>
              <w:t>m</w:t>
            </w:r>
            <w:r>
              <w:rPr>
                <w:rFonts w:hint="eastAsia" w:ascii="Times New Roman" w:hAnsi="Times New Roman"/>
                <w:color w:val="000000" w:themeColor="text1"/>
                <w:kern w:val="0"/>
                <w:sz w:val="18"/>
                <w:szCs w:val="18"/>
                <w:vertAlign w:val="superscript"/>
                <w14:textFill>
                  <w14:solidFill>
                    <w14:schemeClr w14:val="tx1"/>
                  </w14:solidFill>
                </w14:textFill>
              </w:rPr>
              <w:t>3</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废酸储槽（15%氟硅酸、2%氢氟酸）2台，单罐容积100m</w:t>
            </w:r>
            <w:r>
              <w:rPr>
                <w:rFonts w:hint="eastAsia" w:ascii="Times New Roman" w:hAnsi="宋体"/>
                <w:color w:val="000000" w:themeColor="text1"/>
                <w:kern w:val="0"/>
                <w:szCs w:val="21"/>
                <w:vertAlign w:val="superscript"/>
                <w14:textFill>
                  <w14:solidFill>
                    <w14:schemeClr w14:val="tx1"/>
                  </w14:solidFill>
                </w14:textFill>
              </w:rPr>
              <w:t>3</w:t>
            </w:r>
            <w:r>
              <w:rPr>
                <w:rFonts w:hint="eastAsia" w:ascii="Times New Roman" w:hAnsi="宋体"/>
                <w:color w:val="000000" w:themeColor="text1"/>
                <w:kern w:val="0"/>
                <w:szCs w:val="21"/>
                <w14:textFill>
                  <w14:solidFill>
                    <w14:schemeClr w14:val="tx1"/>
                  </w14:solidFill>
                </w14:textFill>
              </w:rPr>
              <w:t>；成品液钙储槽（30%氯化钙溶液）2台，单罐容积400</w:t>
            </w:r>
            <w:r>
              <w:rPr>
                <w:rFonts w:ascii="Times New Roman" w:hAnsi="Times New Roman"/>
                <w:color w:val="000000" w:themeColor="text1"/>
                <w:kern w:val="0"/>
                <w:sz w:val="18"/>
                <w:szCs w:val="18"/>
                <w14:textFill>
                  <w14:solidFill>
                    <w14:schemeClr w14:val="tx1"/>
                  </w14:solidFill>
                </w14:textFill>
              </w:rPr>
              <w:t>m</w:t>
            </w:r>
            <w:r>
              <w:rPr>
                <w:rFonts w:hint="eastAsia"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w:t>
            </w:r>
            <w:r>
              <w:rPr>
                <w:rFonts w:hint="eastAsia" w:ascii="Times New Roman" w:hAnsi="Times New Roman"/>
                <w:color w:val="000000" w:themeColor="text1"/>
                <w:kern w:val="0"/>
                <w:szCs w:val="21"/>
                <w14:textFill>
                  <w14:solidFill>
                    <w14:schemeClr w14:val="tx1"/>
                  </w14:solidFill>
                </w14:textFill>
              </w:rPr>
              <w:t>粗钙液储槽2台，</w:t>
            </w:r>
            <w:r>
              <w:rPr>
                <w:rFonts w:hint="eastAsia" w:ascii="Times New Roman" w:hAnsi="宋体"/>
                <w:color w:val="000000" w:themeColor="text1"/>
                <w:kern w:val="0"/>
                <w:szCs w:val="21"/>
                <w14:textFill>
                  <w14:solidFill>
                    <w14:schemeClr w14:val="tx1"/>
                  </w14:solidFill>
                </w14:textFill>
              </w:rPr>
              <w:t>单罐容积400</w:t>
            </w:r>
            <w:r>
              <w:rPr>
                <w:rFonts w:ascii="Times New Roman" w:hAnsi="Times New Roman"/>
                <w:color w:val="000000" w:themeColor="text1"/>
                <w:kern w:val="0"/>
                <w:sz w:val="18"/>
                <w:szCs w:val="18"/>
                <w14:textFill>
                  <w14:solidFill>
                    <w14:schemeClr w14:val="tx1"/>
                  </w14:solidFill>
                </w14:textFill>
              </w:rPr>
              <w:t>m</w:t>
            </w:r>
            <w:r>
              <w:rPr>
                <w:rFonts w:hint="eastAsia"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道路</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厂</w:t>
            </w:r>
            <w:r>
              <w:rPr>
                <w:rFonts w:hint="eastAsia" w:ascii="Times New Roman" w:hAnsi="宋体"/>
                <w:color w:val="000000" w:themeColor="text1"/>
                <w:kern w:val="0"/>
                <w:szCs w:val="21"/>
                <w14:textFill>
                  <w14:solidFill>
                    <w14:schemeClr w14:val="tx1"/>
                  </w14:solidFill>
                </w14:textFill>
              </w:rPr>
              <w:t>区主要道路宽度7m，采用城市型道路，转弯半径12m，可以</w:t>
            </w:r>
            <w:r>
              <w:rPr>
                <w:rFonts w:ascii="Times New Roman" w:hAnsi="宋体"/>
                <w:color w:val="000000" w:themeColor="text1"/>
                <w:kern w:val="0"/>
                <w:szCs w:val="21"/>
                <w14:textFill>
                  <w14:solidFill>
                    <w14:schemeClr w14:val="tx1"/>
                  </w14:solidFill>
                </w14:textFill>
              </w:rPr>
              <w:t>满足生产运输及消防使用要求。</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restart"/>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环保</w:t>
            </w:r>
            <w:r>
              <w:rPr>
                <w:rFonts w:ascii="Times New Roman" w:hAnsi="宋体"/>
                <w:color w:val="000000" w:themeColor="text1"/>
                <w:kern w:val="0"/>
                <w:szCs w:val="21"/>
                <w14:textFill>
                  <w14:solidFill>
                    <w14:schemeClr w14:val="tx1"/>
                  </w14:solidFill>
                </w14:textFill>
              </w:rPr>
              <w:t>工程</w:t>
            </w: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废气</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①呼吸</w:t>
            </w:r>
            <w:r>
              <w:rPr>
                <w:rFonts w:ascii="Times New Roman" w:hAnsi="宋体"/>
                <w:color w:val="000000" w:themeColor="text1"/>
                <w:kern w:val="0"/>
                <w:szCs w:val="21"/>
                <w14:textFill>
                  <w14:solidFill>
                    <w14:schemeClr w14:val="tx1"/>
                  </w14:solidFill>
                </w14:textFill>
              </w:rPr>
              <w:t>废气：采用密闭负压管道收集，经1套酸性尾气吸收系统（2级水洗+1级碱洗）处理后由1根15m高排气筒排放</w:t>
            </w:r>
            <w:r>
              <w:rPr>
                <w:rFonts w:hint="eastAsia" w:ascii="Times New Roman" w:hAnsi="宋体"/>
                <w:color w:val="000000" w:themeColor="text1"/>
                <w:kern w:val="0"/>
                <w:szCs w:val="21"/>
                <w14:textFill>
                  <w14:solidFill>
                    <w14:schemeClr w14:val="tx1"/>
                  </w14:solidFill>
                </w14:textFill>
              </w:rPr>
              <w:t>DA001</w:t>
            </w:r>
            <w:r>
              <w:rPr>
                <w:rFonts w:ascii="Times New Roman" w:hAnsi="宋体"/>
                <w:color w:val="000000" w:themeColor="text1"/>
                <w:kern w:val="0"/>
                <w:szCs w:val="21"/>
                <w14:textFill>
                  <w14:solidFill>
                    <w14:schemeClr w14:val="tx1"/>
                  </w14:solidFill>
                </w14:textFill>
              </w:rPr>
              <w:t>达标排放；</w:t>
            </w:r>
            <w:r>
              <w:rPr>
                <w:rFonts w:hint="eastAsia" w:ascii="Times New Roman" w:hAnsi="Times New Roman"/>
                <w:bCs/>
                <w:color w:val="000000" w:themeColor="text1"/>
                <w:kern w:val="0"/>
                <w:szCs w:val="21"/>
                <w14:textFill>
                  <w14:solidFill>
                    <w14:schemeClr w14:val="tx1"/>
                  </w14:solidFill>
                </w14:textFill>
              </w:rPr>
              <w:t>②</w:t>
            </w:r>
            <w:r>
              <w:rPr>
                <w:rFonts w:hint="eastAsia" w:ascii="Times New Roman" w:hAnsi="宋体"/>
                <w:color w:val="000000" w:themeColor="text1"/>
                <w:kern w:val="0"/>
                <w:szCs w:val="21"/>
                <w14:textFill>
                  <w14:solidFill>
                    <w14:schemeClr w14:val="tx1"/>
                  </w14:solidFill>
                </w14:textFill>
              </w:rPr>
              <w:t>投料粉尘</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钠盐、熟石灰投料粉尘经集气管道集中</w:t>
            </w:r>
            <w:r>
              <w:rPr>
                <w:rFonts w:ascii="Times New Roman" w:hAnsi="宋体"/>
                <w:color w:val="000000" w:themeColor="text1"/>
                <w:kern w:val="0"/>
                <w:szCs w:val="21"/>
                <w14:textFill>
                  <w14:solidFill>
                    <w14:schemeClr w14:val="tx1"/>
                  </w14:solidFill>
                </w14:textFill>
              </w:rPr>
              <w:t>收集后</w:t>
            </w:r>
            <w:r>
              <w:rPr>
                <w:rFonts w:hint="eastAsia" w:ascii="Times New Roman" w:hAnsi="宋体"/>
                <w:color w:val="000000" w:themeColor="text1"/>
                <w:kern w:val="0"/>
                <w:szCs w:val="21"/>
                <w14:textFill>
                  <w14:solidFill>
                    <w14:schemeClr w14:val="tx1"/>
                  </w14:solidFill>
                </w14:textFill>
              </w:rPr>
              <w:t>通过1套中性尾气吸收系统（</w:t>
            </w:r>
            <w:r>
              <w:rPr>
                <w:rFonts w:hint="eastAsia" w:ascii="Times New Roman" w:hAnsi="Times New Roman"/>
                <w:color w:val="000000" w:themeColor="text1"/>
                <w:kern w:val="0"/>
                <w:szCs w:val="21"/>
                <w14:textFill>
                  <w14:solidFill>
                    <w14:schemeClr w14:val="tx1"/>
                  </w14:solidFill>
                </w14:textFill>
              </w:rPr>
              <w:t>2级水洗+</w:t>
            </w:r>
            <w:r>
              <w:rPr>
                <w:rFonts w:hint="eastAsia" w:ascii="Times New Roman" w:hAnsi="宋体"/>
                <w:color w:val="000000" w:themeColor="text1"/>
                <w:kern w:val="0"/>
                <w:szCs w:val="21"/>
                <w14:textFill>
                  <w14:solidFill>
                    <w14:schemeClr w14:val="tx1"/>
                  </w14:solidFill>
                </w14:textFill>
              </w:rPr>
              <w:t>1</w:t>
            </w:r>
            <w:r>
              <w:rPr>
                <w:rFonts w:ascii="Times New Roman" w:hAnsi="宋体"/>
                <w:color w:val="000000" w:themeColor="text1"/>
                <w:kern w:val="0"/>
                <w:szCs w:val="21"/>
                <w14:textFill>
                  <w14:solidFill>
                    <w14:schemeClr w14:val="tx1"/>
                  </w14:solidFill>
                </w14:textFill>
              </w:rPr>
              <w:t>碱</w:t>
            </w:r>
            <w:r>
              <w:rPr>
                <w:rFonts w:hint="eastAsia" w:ascii="Times New Roman" w:hAnsi="宋体"/>
                <w:color w:val="000000" w:themeColor="text1"/>
                <w:kern w:val="0"/>
                <w:szCs w:val="21"/>
                <w14:textFill>
                  <w14:solidFill>
                    <w14:schemeClr w14:val="tx1"/>
                  </w14:solidFill>
                </w14:textFill>
              </w:rPr>
              <w:t>洗）</w:t>
            </w:r>
            <w:r>
              <w:rPr>
                <w:rFonts w:ascii="Times New Roman" w:hAnsi="宋体"/>
                <w:color w:val="000000" w:themeColor="text1"/>
                <w:kern w:val="0"/>
                <w:szCs w:val="21"/>
                <w14:textFill>
                  <w14:solidFill>
                    <w14:schemeClr w14:val="tx1"/>
                  </w14:solidFill>
                </w14:textFill>
              </w:rPr>
              <w:t>处理后</w:t>
            </w:r>
            <w:r>
              <w:rPr>
                <w:rFonts w:hint="eastAsia" w:ascii="Times New Roman" w:hAnsi="宋体"/>
                <w:color w:val="000000" w:themeColor="text1"/>
                <w:kern w:val="0"/>
                <w:szCs w:val="21"/>
                <w14:textFill>
                  <w14:solidFill>
                    <w14:schemeClr w14:val="tx1"/>
                  </w14:solidFill>
                </w14:textFill>
              </w:rPr>
              <w:t>经15m高排气筒DA002</w:t>
            </w:r>
            <w:r>
              <w:rPr>
                <w:rFonts w:ascii="Times New Roman" w:hAnsi="宋体"/>
                <w:color w:val="000000" w:themeColor="text1"/>
                <w:kern w:val="0"/>
                <w:szCs w:val="21"/>
                <w14:textFill>
                  <w14:solidFill>
                    <w14:schemeClr w14:val="tx1"/>
                  </w14:solidFill>
                </w14:textFill>
              </w:rPr>
              <w:t>达标排放。</w:t>
            </w:r>
            <w:r>
              <w:rPr>
                <w:rFonts w:hint="eastAsia" w:ascii="Times New Roman" w:hAnsi="宋体"/>
                <w:color w:val="000000" w:themeColor="text1"/>
                <w:kern w:val="0"/>
                <w:szCs w:val="21"/>
                <w14:textFill>
                  <w14:solidFill>
                    <w14:schemeClr w14:val="tx1"/>
                  </w14:solidFill>
                </w14:textFill>
              </w:rPr>
              <w:t>③氟硅酸钠产品烘干废气经1套布袋除尘器处理后由1根15m高排气筒DA003排放。</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废水</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fldChar w:fldCharType="begin"/>
            </w:r>
            <w:r>
              <w:rPr>
                <w:rFonts w:hint="eastAsia" w:ascii="Times New Roman" w:hAnsi="宋体"/>
                <w:color w:val="000000" w:themeColor="text1"/>
                <w:kern w:val="0"/>
                <w:szCs w:val="21"/>
                <w14:textFill>
                  <w14:solidFill>
                    <w14:schemeClr w14:val="tx1"/>
                  </w14:solidFill>
                </w14:textFill>
              </w:rPr>
              <w:instrText xml:space="preserve"> = 1 \* GB3 </w:instrText>
            </w:r>
            <w:r>
              <w:rPr>
                <w:rFonts w:hint="eastAsia" w:ascii="Times New Roman" w:hAnsi="宋体"/>
                <w:color w:val="000000" w:themeColor="text1"/>
                <w:kern w:val="0"/>
                <w:szCs w:val="21"/>
                <w14:textFill>
                  <w14:solidFill>
                    <w14:schemeClr w14:val="tx1"/>
                  </w14:solidFill>
                </w14:textFill>
              </w:rPr>
              <w:fldChar w:fldCharType="separate"/>
            </w:r>
            <w:r>
              <w:rPr>
                <w:rFonts w:hint="eastAsia" w:ascii="Times New Roman" w:hAnsi="宋体"/>
                <w:color w:val="000000" w:themeColor="text1"/>
                <w:kern w:val="0"/>
                <w:szCs w:val="21"/>
                <w14:textFill>
                  <w14:solidFill>
                    <w14:schemeClr w14:val="tx1"/>
                  </w14:solidFill>
                </w14:textFill>
              </w:rPr>
              <w:t>①</w:t>
            </w:r>
            <w:r>
              <w:rPr>
                <w:rFonts w:hint="eastAsia" w:ascii="Times New Roman" w:hAnsi="宋体"/>
                <w:color w:val="000000" w:themeColor="text1"/>
                <w:kern w:val="0"/>
                <w:szCs w:val="21"/>
                <w14:textFill>
                  <w14:solidFill>
                    <w14:schemeClr w14:val="tx1"/>
                  </w14:solidFill>
                </w14:textFill>
              </w:rPr>
              <w:fldChar w:fldCharType="end"/>
            </w:r>
            <w:r>
              <w:rPr>
                <w:rFonts w:hint="eastAsia" w:ascii="Times New Roman" w:hAnsi="宋体"/>
                <w:color w:val="000000" w:themeColor="text1"/>
                <w:kern w:val="0"/>
                <w:szCs w:val="21"/>
                <w14:textFill>
                  <w14:solidFill>
                    <w14:schemeClr w14:val="tx1"/>
                  </w14:solidFill>
                </w14:textFill>
              </w:rPr>
              <w:t>生活污水：建设化粪池1座（处理能力5m</w:t>
            </w:r>
            <w:r>
              <w:rPr>
                <w:rFonts w:hint="eastAsia" w:ascii="Times New Roman" w:hAnsi="宋体"/>
                <w:color w:val="000000" w:themeColor="text1"/>
                <w:kern w:val="0"/>
                <w:szCs w:val="21"/>
                <w:vertAlign w:val="superscript"/>
                <w14:textFill>
                  <w14:solidFill>
                    <w14:schemeClr w14:val="tx1"/>
                  </w14:solidFill>
                </w14:textFill>
              </w:rPr>
              <w:t>3</w:t>
            </w:r>
            <w:r>
              <w:rPr>
                <w:rFonts w:hint="eastAsia" w:ascii="Times New Roman" w:hAnsi="宋体"/>
                <w:color w:val="000000" w:themeColor="text1"/>
                <w:kern w:val="0"/>
                <w:szCs w:val="21"/>
                <w14:textFill>
                  <w14:solidFill>
                    <w14:schemeClr w14:val="tx1"/>
                  </w14:solidFill>
                </w14:textFill>
              </w:rPr>
              <w:t>/d），生活污水经化粪池处理后排入园区污水管网</w:t>
            </w:r>
            <w:r>
              <w:rPr>
                <w:rFonts w:hint="eastAsia" w:ascii="Times New Roman" w:hAnsi="宋体"/>
                <w:color w:val="000000" w:themeColor="text1"/>
                <w:kern w:val="0"/>
                <w:szCs w:val="21"/>
                <w14:textFill>
                  <w14:solidFill>
                    <w14:schemeClr w14:val="tx1"/>
                  </w14:solidFill>
                </w14:textFill>
              </w:rPr>
              <w:fldChar w:fldCharType="begin"/>
            </w:r>
            <w:r>
              <w:rPr>
                <w:rFonts w:hint="eastAsia" w:ascii="Times New Roman" w:hAnsi="宋体"/>
                <w:color w:val="000000" w:themeColor="text1"/>
                <w:kern w:val="0"/>
                <w:szCs w:val="21"/>
                <w14:textFill>
                  <w14:solidFill>
                    <w14:schemeClr w14:val="tx1"/>
                  </w14:solidFill>
                </w14:textFill>
              </w:rPr>
              <w:instrText xml:space="preserve"> = 2 \* GB3 </w:instrText>
            </w:r>
            <w:r>
              <w:rPr>
                <w:rFonts w:hint="eastAsia" w:ascii="Times New Roman" w:hAnsi="宋体"/>
                <w:color w:val="000000" w:themeColor="text1"/>
                <w:kern w:val="0"/>
                <w:szCs w:val="21"/>
                <w14:textFill>
                  <w14:solidFill>
                    <w14:schemeClr w14:val="tx1"/>
                  </w14:solidFill>
                </w14:textFill>
              </w:rPr>
              <w:fldChar w:fldCharType="separate"/>
            </w:r>
            <w:r>
              <w:rPr>
                <w:rFonts w:hint="eastAsia" w:ascii="Times New Roman" w:hAnsi="宋体"/>
                <w:color w:val="000000" w:themeColor="text1"/>
                <w:kern w:val="0"/>
                <w:szCs w:val="21"/>
                <w14:textFill>
                  <w14:solidFill>
                    <w14:schemeClr w14:val="tx1"/>
                  </w14:solidFill>
                </w14:textFill>
              </w:rPr>
              <w:t>②</w:t>
            </w:r>
            <w:r>
              <w:rPr>
                <w:rFonts w:hint="eastAsia" w:ascii="Times New Roman" w:hAnsi="宋体"/>
                <w:color w:val="000000" w:themeColor="text1"/>
                <w:kern w:val="0"/>
                <w:szCs w:val="21"/>
                <w14:textFill>
                  <w14:solidFill>
                    <w14:schemeClr w14:val="tx1"/>
                  </w14:solidFill>
                </w14:textFill>
              </w:rPr>
              <w:fldChar w:fldCharType="end"/>
            </w:r>
            <w:r>
              <w:rPr>
                <w:rFonts w:hint="eastAsia" w:ascii="Times New Roman" w:hAnsi="宋体"/>
                <w:color w:val="000000" w:themeColor="text1"/>
                <w:kern w:val="0"/>
                <w:szCs w:val="21"/>
                <w14:textFill>
                  <w14:solidFill>
                    <w14:schemeClr w14:val="tx1"/>
                  </w14:solidFill>
                </w14:textFill>
              </w:rPr>
              <w:t>尾气洗涤废液：定期泵送至中和槽回用于生产，不外排③离心洗涤废水经母液槽最终进入中和槽回用于生产，不外排④</w:t>
            </w:r>
            <w:r>
              <w:rPr>
                <w:rFonts w:hint="eastAsia" w:ascii="Times New Roman" w:hAnsi="Times New Roman"/>
                <w:snapToGrid w:val="0"/>
                <w:color w:val="000000" w:themeColor="text1"/>
                <w:szCs w:val="21"/>
                <w14:textFill>
                  <w14:solidFill>
                    <w14:schemeClr w14:val="tx1"/>
                  </w14:solidFill>
                </w14:textFill>
              </w:rPr>
              <w:t>蒸汽冷凝液部分回用于厂区绿化洒水，多余部分作为清净下水经雨水管网排放⑤循环冷却排水作为清净下水经雨水管网排放⑥污蒸汽冷凝液部分回用于溶盐槽溶盐、离心洗涤、尾气吸收、循环冷却补水，多余部分作为清净下水经雨水管网排放。</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噪声</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采用隔声、降噪措施进行治理，空压机房采取隔声措施，厂区确保厂界噪声达标</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固废</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废包装材料交由物资部门回收处理、生活垃圾交由环卫部门统一清运处置；压滤废渣外售砖厂综合利用；布袋除尘器收集粉尘集中收集后作为产品外售；设备维修产生的废机油暂存于厂区危废暂存间，定期交由有资质单位处置。</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地下水</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重点防渗区，采用耐酸水泥</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环氧树脂</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环氧地坪漆进行防渗，等效黏土防渗层Mb≥6m，渗透系数≤10</w:t>
            </w:r>
            <w:r>
              <w:rPr>
                <w:rFonts w:hint="eastAsia" w:ascii="Times New Roman" w:hAnsi="宋体"/>
                <w:color w:val="000000" w:themeColor="text1"/>
                <w:kern w:val="0"/>
                <w:szCs w:val="21"/>
                <w:vertAlign w:val="superscript"/>
                <w14:textFill>
                  <w14:solidFill>
                    <w14:schemeClr w14:val="tx1"/>
                  </w14:solidFill>
                </w14:textFill>
              </w:rPr>
              <w:t>-7</w:t>
            </w:r>
            <w:r>
              <w:rPr>
                <w:rFonts w:hint="eastAsia" w:ascii="Times New Roman" w:hAnsi="宋体"/>
                <w:color w:val="000000" w:themeColor="text1"/>
                <w:kern w:val="0"/>
                <w:szCs w:val="21"/>
                <w14:textFill>
                  <w14:solidFill>
                    <w14:schemeClr w14:val="tx1"/>
                  </w14:solidFill>
                </w14:textFill>
              </w:rPr>
              <w:t>cm/s；一般防渗区可采用黏土、抗渗混凝土、高密度聚乙烯膜、钠基膨润土防水毯或其他防渗性能等效的材料，等效黏土防渗层Mb≥1.5m，渗透系数≤10</w:t>
            </w:r>
            <w:r>
              <w:rPr>
                <w:rFonts w:hint="eastAsia" w:ascii="Times New Roman" w:hAnsi="宋体"/>
                <w:color w:val="000000" w:themeColor="text1"/>
                <w:kern w:val="0"/>
                <w:szCs w:val="21"/>
                <w:vertAlign w:val="superscript"/>
                <w14:textFill>
                  <w14:solidFill>
                    <w14:schemeClr w14:val="tx1"/>
                  </w14:solidFill>
                </w14:textFill>
              </w:rPr>
              <w:t>-7</w:t>
            </w:r>
            <w:r>
              <w:rPr>
                <w:rFonts w:hint="eastAsia" w:ascii="Times New Roman" w:hAnsi="宋体"/>
                <w:color w:val="000000" w:themeColor="text1"/>
                <w:kern w:val="0"/>
                <w:szCs w:val="21"/>
                <w14:textFill>
                  <w14:solidFill>
                    <w14:schemeClr w14:val="tx1"/>
                  </w14:solidFill>
                </w14:textFill>
              </w:rPr>
              <w:t>cm/s</w:t>
            </w:r>
            <w:r>
              <w:rPr>
                <w:rFonts w:ascii="Times New Roman" w:hAnsi="宋体"/>
                <w:color w:val="000000" w:themeColor="text1"/>
                <w:kern w:val="0"/>
                <w:szCs w:val="21"/>
                <w14:textFill>
                  <w14:solidFill>
                    <w14:schemeClr w14:val="tx1"/>
                  </w14:solidFill>
                </w14:textFill>
              </w:rPr>
              <w:t>。</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continue"/>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p>
        </w:tc>
        <w:tc>
          <w:tcPr>
            <w:tcW w:w="1300"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环境风险</w:t>
            </w:r>
          </w:p>
        </w:tc>
        <w:tc>
          <w:tcPr>
            <w:tcW w:w="5645" w:type="dxa"/>
            <w:shd w:val="clear" w:color="auto" w:fill="auto"/>
            <w:vAlign w:val="center"/>
          </w:tcPr>
          <w:p>
            <w:pPr>
              <w:widowControl/>
              <w:spacing w:before="24" w:beforeLines="10" w:after="24" w:afterLines="10"/>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建设</w:t>
            </w:r>
            <w:r>
              <w:rPr>
                <w:rFonts w:hint="eastAsia" w:ascii="Times New Roman" w:hAnsi="Times New Roman"/>
                <w:color w:val="000000" w:themeColor="text1"/>
                <w:kern w:val="0"/>
                <w:szCs w:val="21"/>
                <w14:textFill>
                  <w14:solidFill>
                    <w14:schemeClr w14:val="tx1"/>
                  </w14:solidFill>
                </w14:textFill>
              </w:rPr>
              <w:t>450</w:t>
            </w: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r>
              <w:rPr>
                <w:rFonts w:ascii="Times New Roman" w:hAnsi="宋体"/>
                <w:color w:val="000000" w:themeColor="text1"/>
                <w:kern w:val="0"/>
                <w:szCs w:val="21"/>
                <w14:textFill>
                  <w14:solidFill>
                    <w14:schemeClr w14:val="tx1"/>
                  </w14:solidFill>
                </w14:textFill>
              </w:rPr>
              <w:t>事故应急池一座；罐区设按安全相关要求设置围堰和导流收集槽。</w:t>
            </w:r>
          </w:p>
        </w:tc>
        <w:tc>
          <w:tcPr>
            <w:tcW w:w="1144" w:type="dxa"/>
            <w:shd w:val="clear" w:color="auto" w:fill="auto"/>
            <w:vAlign w:val="center"/>
          </w:tcPr>
          <w:p>
            <w:pPr>
              <w:widowControl/>
              <w:spacing w:before="24" w:beforeLines="10" w:after="24" w:afterLines="10"/>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新建</w:t>
            </w:r>
          </w:p>
        </w:tc>
      </w:tr>
    </w:tbl>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141" w:name="_Toc1739"/>
      <w:bookmarkStart w:id="142" w:name="_Toc7875"/>
      <w:bookmarkStart w:id="143" w:name="_Toc2859"/>
      <w:r>
        <w:rPr>
          <w:rFonts w:hint="eastAsia" w:ascii="Times New Roman" w:hAnsi="Times New Roman" w:eastAsia="黑体"/>
          <w:b/>
          <w:color w:val="000000" w:themeColor="text1"/>
          <w:sz w:val="28"/>
          <w:szCs w:val="28"/>
          <w:lang w:val="en-US" w:eastAsia="zh-CN"/>
          <w14:textFill>
            <w14:solidFill>
              <w14:schemeClr w14:val="tx1"/>
            </w14:solidFill>
          </w14:textFill>
        </w:rPr>
        <w:t>3</w:t>
      </w:r>
      <w:r>
        <w:rPr>
          <w:rFonts w:ascii="Times New Roman" w:hAnsi="Times New Roman" w:eastAsia="黑体"/>
          <w:b/>
          <w:color w:val="000000" w:themeColor="text1"/>
          <w:sz w:val="28"/>
          <w:szCs w:val="28"/>
          <w14:textFill>
            <w14:solidFill>
              <w14:schemeClr w14:val="tx1"/>
            </w14:solidFill>
          </w14:textFill>
        </w:rPr>
        <w:t>.5.1</w:t>
      </w:r>
      <w:r>
        <w:rPr>
          <w:rFonts w:hint="eastAsia" w:ascii="黑体" w:hAnsi="黑体" w:eastAsia="黑体"/>
          <w:b/>
          <w:color w:val="000000" w:themeColor="text1"/>
          <w:sz w:val="28"/>
          <w:szCs w:val="28"/>
          <w14:textFill>
            <w14:solidFill>
              <w14:schemeClr w14:val="tx1"/>
            </w14:solidFill>
          </w14:textFill>
        </w:rPr>
        <w:t>本项目主要建构筑物情况</w:t>
      </w:r>
      <w:bookmarkEnd w:id="141"/>
      <w:bookmarkEnd w:id="142"/>
      <w:bookmarkEnd w:id="143"/>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项目主要构筑物建设内容详见下表所示。</w:t>
      </w:r>
    </w:p>
    <w:p>
      <w:pPr>
        <w:spacing w:line="520" w:lineRule="exact"/>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3</w:t>
      </w:r>
      <w:r>
        <w:rPr>
          <w:rFonts w:ascii="Times New Roman" w:hAnsi="Times New Roman" w:eastAsiaTheme="minorEastAsia"/>
          <w:b/>
          <w:color w:val="000000" w:themeColor="text1"/>
          <w:sz w:val="24"/>
          <w:szCs w:val="24"/>
          <w14:textFill>
            <w14:solidFill>
              <w14:schemeClr w14:val="tx1"/>
            </w14:solidFill>
          </w14:textFill>
        </w:rPr>
        <w:t>.5-</w:t>
      </w:r>
      <w:r>
        <w:rPr>
          <w:rFonts w:hint="eastAsia" w:ascii="Times New Roman" w:hAnsi="Times New Roman" w:eastAsiaTheme="minorEastAsia"/>
          <w:b/>
          <w:color w:val="000000" w:themeColor="text1"/>
          <w:sz w:val="24"/>
          <w:szCs w:val="24"/>
          <w14:textFill>
            <w14:solidFill>
              <w14:schemeClr w14:val="tx1"/>
            </w14:solidFill>
          </w14:textFill>
        </w:rPr>
        <w:t>2</w:t>
      </w:r>
      <w:r>
        <w:rPr>
          <w:rFonts w:ascii="Times New Roman" w:hAnsi="Times New Roman" w:eastAsiaTheme="minorEastAsia"/>
          <w:b/>
          <w:color w:val="000000" w:themeColor="text1"/>
          <w:sz w:val="24"/>
          <w:szCs w:val="24"/>
          <w14:textFill>
            <w14:solidFill>
              <w14:schemeClr w14:val="tx1"/>
            </w14:solidFill>
          </w14:textFill>
        </w:rPr>
        <w:t>项目拟建主要</w:t>
      </w:r>
      <w:r>
        <w:rPr>
          <w:rFonts w:hint="eastAsia" w:ascii="Times New Roman" w:hAnsi="Times New Roman" w:eastAsiaTheme="minorEastAsia"/>
          <w:b/>
          <w:color w:val="000000" w:themeColor="text1"/>
          <w:sz w:val="24"/>
          <w:szCs w:val="24"/>
          <w14:textFill>
            <w14:solidFill>
              <w14:schemeClr w14:val="tx1"/>
            </w14:solidFill>
          </w14:textFill>
        </w:rPr>
        <w:t>建</w:t>
      </w:r>
      <w:r>
        <w:rPr>
          <w:rFonts w:ascii="Times New Roman" w:hAnsi="Times New Roman" w:eastAsiaTheme="minorEastAsia"/>
          <w:b/>
          <w:color w:val="000000" w:themeColor="text1"/>
          <w:sz w:val="24"/>
          <w:szCs w:val="24"/>
          <w14:textFill>
            <w14:solidFill>
              <w14:schemeClr w14:val="tx1"/>
            </w14:solidFill>
          </w14:textFill>
        </w:rPr>
        <w:t>构筑物</w:t>
      </w:r>
      <w:r>
        <w:rPr>
          <w:rFonts w:hint="eastAsia" w:ascii="Times New Roman" w:hAnsi="Times New Roman" w:eastAsiaTheme="minorEastAsia"/>
          <w:b/>
          <w:color w:val="000000" w:themeColor="text1"/>
          <w:sz w:val="24"/>
          <w:szCs w:val="24"/>
          <w14:textFill>
            <w14:solidFill>
              <w14:schemeClr w14:val="tx1"/>
            </w14:solidFill>
          </w14:textFill>
        </w:rPr>
        <w:t>一览表</w:t>
      </w:r>
    </w:p>
    <w:tbl>
      <w:tblPr>
        <w:tblStyle w:val="87"/>
        <w:tblW w:w="87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80"/>
        <w:gridCol w:w="2077"/>
        <w:gridCol w:w="1222"/>
        <w:gridCol w:w="1222"/>
        <w:gridCol w:w="1222"/>
        <w:gridCol w:w="1222"/>
        <w:gridCol w:w="12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序号</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名称</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占地面积/m</w:t>
            </w:r>
            <w:r>
              <w:rPr>
                <w:rFonts w:ascii="Times New Roman" w:hAnsi="Times New Roman"/>
                <w:color w:val="000000" w:themeColor="text1"/>
                <w:kern w:val="0"/>
                <w:szCs w:val="21"/>
                <w:vertAlign w:val="superscript"/>
                <w14:textFill>
                  <w14:solidFill>
                    <w14:schemeClr w14:val="tx1"/>
                  </w14:solidFill>
                </w14:textFill>
              </w:rPr>
              <w:t>2</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建筑面积/m</w:t>
            </w:r>
            <w:r>
              <w:rPr>
                <w:rFonts w:ascii="Times New Roman" w:hAnsi="Times New Roman"/>
                <w:color w:val="000000" w:themeColor="text1"/>
                <w:kern w:val="0"/>
                <w:szCs w:val="21"/>
                <w:vertAlign w:val="superscript"/>
                <w14:textFill>
                  <w14:solidFill>
                    <w14:schemeClr w14:val="tx1"/>
                  </w14:solidFill>
                </w14:textFill>
              </w:rPr>
              <w:t>2</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高度/m</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层数</w:t>
            </w:r>
          </w:p>
        </w:tc>
        <w:tc>
          <w:tcPr>
            <w:tcW w:w="122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火灾危险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氟硅酸钠装置</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1950</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3077.16</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13</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w:t>
            </w:r>
          </w:p>
        </w:tc>
        <w:tc>
          <w:tcPr>
            <w:tcW w:w="122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丁类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综合仓库</w:t>
            </w:r>
            <w:r>
              <w:rPr>
                <w:rFonts w:ascii="Times New Roman" w:hAnsi="Times New Roman"/>
                <w:color w:val="000000" w:themeColor="text1"/>
                <w:kern w:val="0"/>
                <w:szCs w:val="21"/>
                <w14:textFill>
                  <w14:solidFill>
                    <w14:schemeClr w14:val="tx1"/>
                  </w14:solidFill>
                </w14:textFill>
              </w:rPr>
              <w:t xml:space="preserve"> </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1453.39</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1453.39</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9</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22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丁类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罐区</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1332.24</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丁类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门卫及地磅房</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12</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12</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3.3</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22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民建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5</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水泵房、消防水池、事故水池/初期雨水池</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219.23</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41.4</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3.3</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w:t>
            </w:r>
          </w:p>
        </w:tc>
        <w:tc>
          <w:tcPr>
            <w:tcW w:w="122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戊类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地中衡</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65.92</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8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7</w:t>
            </w:r>
          </w:p>
        </w:tc>
        <w:tc>
          <w:tcPr>
            <w:tcW w:w="207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1.5m宽管廊</w:t>
            </w:r>
          </w:p>
        </w:tc>
        <w:tc>
          <w:tcPr>
            <w:tcW w:w="1222"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290.4</w:t>
            </w:r>
          </w:p>
        </w:tc>
        <w:tc>
          <w:tcPr>
            <w:tcW w:w="12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22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r>
    </w:tbl>
    <w:p>
      <w:pPr>
        <w:pStyle w:val="380"/>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outlineLvl w:val="2"/>
        <w:rPr>
          <w:rFonts w:ascii="Times New Roman" w:hAnsi="Times New Roman" w:eastAsia="黑体"/>
          <w:b/>
          <w:color w:val="000000" w:themeColor="text1"/>
          <w:kern w:val="0"/>
          <w:sz w:val="28"/>
          <w:szCs w:val="28"/>
          <w14:textFill>
            <w14:solidFill>
              <w14:schemeClr w14:val="tx1"/>
            </w14:solidFill>
          </w14:textFill>
        </w:rPr>
      </w:pPr>
      <w:bookmarkStart w:id="144" w:name="_Toc14830"/>
      <w:bookmarkStart w:id="145" w:name="_Toc32090"/>
      <w:bookmarkStart w:id="146" w:name="_Toc5129"/>
      <w:r>
        <w:rPr>
          <w:rFonts w:hint="eastAsia" w:ascii="Times New Roman" w:hAnsi="Times New Roman" w:eastAsia="黑体"/>
          <w:b/>
          <w:color w:val="000000" w:themeColor="text1"/>
          <w:sz w:val="28"/>
          <w:szCs w:val="28"/>
          <w:lang w:val="en-US" w:eastAsia="zh-CN"/>
          <w14:textFill>
            <w14:solidFill>
              <w14:schemeClr w14:val="tx1"/>
            </w14:solidFill>
          </w14:textFill>
        </w:rPr>
        <w:t>3</w:t>
      </w:r>
      <w:r>
        <w:rPr>
          <w:rFonts w:ascii="Times New Roman" w:hAnsi="Times New Roman" w:eastAsia="黑体"/>
          <w:b/>
          <w:color w:val="000000" w:themeColor="text1"/>
          <w:sz w:val="28"/>
          <w:szCs w:val="28"/>
          <w14:textFill>
            <w14:solidFill>
              <w14:schemeClr w14:val="tx1"/>
            </w14:solidFill>
          </w14:textFill>
        </w:rPr>
        <w:t>.5.2</w:t>
      </w:r>
      <w:r>
        <w:rPr>
          <w:rFonts w:hint="eastAsia" w:ascii="黑体" w:hAnsi="黑体" w:eastAsia="黑体"/>
          <w:b/>
          <w:color w:val="000000" w:themeColor="text1"/>
          <w:sz w:val="28"/>
          <w:szCs w:val="28"/>
          <w14:textFill>
            <w14:solidFill>
              <w14:schemeClr w14:val="tx1"/>
            </w14:solidFill>
          </w14:textFill>
        </w:rPr>
        <w:t>公用工程</w:t>
      </w:r>
      <w:bookmarkEnd w:id="144"/>
      <w:bookmarkEnd w:id="145"/>
      <w:bookmarkEnd w:id="146"/>
    </w:p>
    <w:p>
      <w:pPr>
        <w:pStyle w:val="380"/>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outlineLvl w:val="2"/>
        <w:rPr>
          <w:rFonts w:ascii="Times New Roman" w:hAnsi="Times New Roman" w:eastAsia="黑体"/>
          <w:b/>
          <w:color w:val="000000" w:themeColor="text1"/>
          <w:kern w:val="0"/>
          <w:sz w:val="24"/>
          <w:szCs w:val="24"/>
          <w14:textFill>
            <w14:solidFill>
              <w14:schemeClr w14:val="tx1"/>
            </w14:solidFill>
          </w14:textFill>
        </w:rPr>
      </w:pPr>
      <w:bookmarkStart w:id="147" w:name="_Toc15671"/>
      <w:bookmarkStart w:id="148" w:name="_Toc5541"/>
      <w:bookmarkStart w:id="149" w:name="_Toc7069"/>
      <w:r>
        <w:rPr>
          <w:rFonts w:hint="eastAsia" w:ascii="Times New Roman" w:hAnsi="Times New Roman" w:eastAsia="黑体"/>
          <w:b/>
          <w:color w:val="000000" w:themeColor="text1"/>
          <w:sz w:val="24"/>
          <w:szCs w:val="24"/>
          <w:lang w:val="en-US" w:eastAsia="zh-CN"/>
          <w14:textFill>
            <w14:solidFill>
              <w14:schemeClr w14:val="tx1"/>
            </w14:solidFill>
          </w14:textFill>
        </w:rPr>
        <w:t>3</w:t>
      </w:r>
      <w:r>
        <w:rPr>
          <w:rFonts w:ascii="Times New Roman" w:hAnsi="Times New Roman" w:eastAsia="黑体"/>
          <w:b/>
          <w:color w:val="000000" w:themeColor="text1"/>
          <w:sz w:val="24"/>
          <w:szCs w:val="24"/>
          <w14:textFill>
            <w14:solidFill>
              <w14:schemeClr w14:val="tx1"/>
            </w14:solidFill>
          </w14:textFill>
        </w:rPr>
        <w:t>.5.2.1给排水工程</w:t>
      </w:r>
      <w:bookmarkEnd w:id="147"/>
      <w:bookmarkEnd w:id="148"/>
      <w:bookmarkEnd w:id="149"/>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给水</w:t>
      </w:r>
      <w:r>
        <w:rPr>
          <w:rFonts w:hint="eastAsia" w:ascii="Times New Roman" w:hAnsiTheme="minorEastAsia" w:eastAsiaTheme="minorEastAsia"/>
          <w:color w:val="000000" w:themeColor="text1"/>
          <w:sz w:val="24"/>
          <w:szCs w:val="24"/>
          <w14:textFill>
            <w14:solidFill>
              <w14:schemeClr w14:val="tx1"/>
            </w14:solidFill>
          </w14:textFill>
        </w:rPr>
        <w:t>系统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a）生活给水系统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生活用水主要满足卫生器具用水、洗眼器用水等要求。生活水由园区生活水管网供给，供水压力约为0.45MPa，生活水水质满足《生活饮用水卫生标准》（GB5749-2006）要求。</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b）生产给水系统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生产给水系统供给氟硅酸钠装置的生产用水。园区生产给水和低压消防给水共用一套系统，供水管网压力约为0.6MPa。本项目的生产用水直接从园区环状供水管网上取水，并在综合楼内设置生产水箱做备用水源，设供水泵一个，规格为Q=12.5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/h，H=50m，N=55 kW。</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c）消防给水系统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消防给水系统设计根据《消防给水及消火栓系统技术规范》（GB50974-2014）和《建筑设计防火规范》（GB50016-2014）（</w:t>
      </w:r>
      <w:r>
        <w:rPr>
          <w:rFonts w:ascii="Times New Roman" w:hAnsiTheme="minorEastAsia" w:eastAsiaTheme="minorEastAsia"/>
          <w:color w:val="000000" w:themeColor="text1"/>
          <w:sz w:val="24"/>
          <w:szCs w:val="24"/>
          <w14:textFill>
            <w14:solidFill>
              <w14:schemeClr w14:val="tx1"/>
            </w14:solidFill>
          </w14:textFill>
        </w:rPr>
        <w:t>2018</w:t>
      </w:r>
      <w:r>
        <w:rPr>
          <w:rFonts w:hint="eastAsia" w:ascii="Times New Roman" w:hAnsiTheme="minorEastAsia" w:eastAsiaTheme="minorEastAsia"/>
          <w:color w:val="000000" w:themeColor="text1"/>
          <w:sz w:val="24"/>
          <w:szCs w:val="24"/>
          <w14:textFill>
            <w14:solidFill>
              <w14:schemeClr w14:val="tx1"/>
            </w14:solidFill>
          </w14:textFill>
        </w:rPr>
        <w:t>年版），本项目采用临高压给水系统，室外消火栓流量15L/s，室内消火栓流量10L/s。设置效容积180m³的消防水箱一座。本项目设室内外消火栓合用泵两台（一用一备），单台水泵参数：Q=25L/S，H=70m，N=30kW；设消火栓增压稳压设备一套。本装置界区内设枝状消防供水管网，在供水管网上设置地上式室外消火栓，间距不大于120米，在管道必要处设置阀门便于管道分区检修。</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d）循环水系统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循环水系统由冷却塔、循环水池、循环水泵、旁滤设备、加药设备和管网等组成。本项目采用循环水量为550m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/h的间冷开式循环冷却塔1台，型号为HMK550，N=18.5kW；选用循环水泵三台，两用一备，单台水泵规格为Q=300m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/h，H=51m，N=75 kW。</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e）厂区给水管网系统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的生产用水直接从园区生产供水管网上取水，在进行计量后接至生产用水点。另设综合楼内设置生产水水箱一座备用，经生产水泵加压后送至生产管网。管道最大管径DN100，管材选用钢丝网骨架复合塑料管，枝状敷设。</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本项目的消防水池补水及生活用水均从园区生活用水管网上取水，进入园区后分别进行计量，接入用水点。管道最大管径DN150，管材选用钢丝网骨架复合塑料管，枝状敷设。</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2、排</w:t>
      </w:r>
      <w:r>
        <w:rPr>
          <w:rFonts w:ascii="Times New Roman" w:hAnsiTheme="minorEastAsia" w:eastAsiaTheme="minorEastAsia"/>
          <w:color w:val="000000" w:themeColor="text1"/>
          <w:sz w:val="24"/>
          <w:szCs w:val="24"/>
          <w14:textFill>
            <w14:solidFill>
              <w14:schemeClr w14:val="tx1"/>
            </w14:solidFill>
          </w14:textFill>
        </w:rPr>
        <w:t>水</w:t>
      </w:r>
      <w:r>
        <w:rPr>
          <w:rFonts w:hint="eastAsia" w:ascii="Times New Roman" w:hAnsiTheme="minorEastAsia" w:eastAsiaTheme="minorEastAsia"/>
          <w:color w:val="000000" w:themeColor="text1"/>
          <w:sz w:val="24"/>
          <w:szCs w:val="24"/>
          <w14:textFill>
            <w14:solidFill>
              <w14:schemeClr w14:val="tx1"/>
            </w14:solidFill>
          </w14:textFill>
        </w:rPr>
        <w:t>系统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厂区排水实行“雨污分流制、清污分流”制</w:t>
      </w:r>
      <w:r>
        <w:rPr>
          <w:rFonts w:hint="eastAsia" w:ascii="Times New Roman" w:hAnsiTheme="minorEastAsia" w:eastAsiaTheme="minorEastAsia"/>
          <w:color w:val="000000" w:themeColor="text1"/>
          <w:kern w:val="0"/>
          <w:sz w:val="24"/>
          <w:szCs w:val="24"/>
          <w14:textFill>
            <w14:solidFill>
              <w14:schemeClr w14:val="tx1"/>
            </w14:solidFill>
          </w14:textFill>
        </w:rPr>
        <w:t>，具体情况如下：</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（1）厂区生活排水系统方案</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生活污水为厂区内各单体所含卫生间、洗手池等排放的废水；经化粪池预处理达标后排入园区污水管网最终进入三板湖污水处理厂处理达标后外排长江。</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（2）厂区生产排水系统方案</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生产废水主要包括尾气洗涤废液、离心洗涤废水、污蒸汽冷凝液排水、蒸汽冷凝液排水、循环冷却排水。循环冷却水排水作为清净下水经雨水管网排放；污蒸汽冷凝液部分回用于溶盐槽溶盐、离心洗涤、尾气吸收、循环冷却补水，多余部分作为清净下水经雨水管网排放；蒸汽冷凝液部分回用于厂区绿化洒水，多余部分作为清净下水经雨水管网排放；尾气洗涤废液定期泵送至中和槽回用于生产，离心洗涤废水经母液槽最终进入中和槽回用于生产，不外排。</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（3）厂区雨水排水系统方案</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本项目建设雨水系统，屋面雨水经雨落管有组织排至周围地面，地面及道路雨水经雨水口收集后排入园区雨水管网，雨水管道采用明沟敷设。</w:t>
      </w:r>
    </w:p>
    <w:p>
      <w:pPr>
        <w:pStyle w:val="152"/>
        <w:spacing w:after="0" w:line="520" w:lineRule="exact"/>
        <w:ind w:firstLine="480" w:firstLineChars="200"/>
        <w:rPr>
          <w:rFonts w:ascii="Times New Roman" w:cs="Times New Roman" w:hAnsiTheme="minorEastAsia" w:eastAsiaTheme="minorEastAsia"/>
          <w:color w:val="000000" w:themeColor="text1"/>
          <w:szCs w:val="24"/>
          <w14:textFill>
            <w14:solidFill>
              <w14:schemeClr w14:val="tx1"/>
            </w14:solidFill>
          </w14:textFill>
        </w:rPr>
      </w:pPr>
      <w:r>
        <w:rPr>
          <w:rFonts w:ascii="Times New Roman" w:hAnsiTheme="minorEastAsia" w:eastAsiaTheme="minorEastAsia"/>
          <w:color w:val="000000" w:themeColor="text1"/>
          <w:szCs w:val="24"/>
          <w14:textFill>
            <w14:solidFill>
              <w14:schemeClr w14:val="tx1"/>
            </w14:solidFill>
          </w14:textFill>
        </w:rPr>
        <w:t>项目收集场区前</w:t>
      </w:r>
      <w:r>
        <w:rPr>
          <w:rFonts w:hint="eastAsia" w:ascii="Times New Roman" w:hAnsiTheme="minorEastAsia" w:eastAsiaTheme="minorEastAsia"/>
          <w:color w:val="000000" w:themeColor="text1"/>
          <w:szCs w:val="24"/>
          <w14:textFill>
            <w14:solidFill>
              <w14:schemeClr w14:val="tx1"/>
            </w14:solidFill>
          </w14:textFill>
        </w:rPr>
        <w:t>15</w:t>
      </w:r>
      <w:r>
        <w:rPr>
          <w:rFonts w:ascii="Times New Roman" w:hAnsiTheme="minorEastAsia" w:eastAsiaTheme="minorEastAsia"/>
          <w:color w:val="000000" w:themeColor="text1"/>
          <w:szCs w:val="24"/>
          <w14:textFill>
            <w14:solidFill>
              <w14:schemeClr w14:val="tx1"/>
            </w14:solidFill>
          </w14:textFill>
        </w:rPr>
        <w:t>min的雨水进入初期雨水池</w:t>
      </w:r>
      <w:r>
        <w:rPr>
          <w:rFonts w:hint="eastAsia" w:ascii="Times New Roman" w:hAnsiTheme="minorEastAsia" w:eastAsiaTheme="minorEastAsia"/>
          <w:color w:val="000000" w:themeColor="text1"/>
          <w:szCs w:val="24"/>
          <w14:textFill>
            <w14:solidFill>
              <w14:schemeClr w14:val="tx1"/>
            </w14:solidFill>
          </w14:textFill>
        </w:rPr>
        <w:t>（有效容积450m</w:t>
      </w:r>
      <w:r>
        <w:rPr>
          <w:rFonts w:hint="eastAsia" w:ascii="Times New Roman" w:hAnsiTheme="minorEastAsia" w:eastAsiaTheme="minorEastAsia"/>
          <w:color w:val="000000" w:themeColor="text1"/>
          <w:szCs w:val="24"/>
          <w:vertAlign w:val="superscript"/>
          <w14:textFill>
            <w14:solidFill>
              <w14:schemeClr w14:val="tx1"/>
            </w14:solidFill>
          </w14:textFill>
        </w:rPr>
        <w:t>3</w:t>
      </w:r>
      <w:r>
        <w:rPr>
          <w:rFonts w:hint="eastAsia" w:ascii="Times New Roman" w:hAnsiTheme="minorEastAsia" w:eastAsiaTheme="minorEastAsia"/>
          <w:color w:val="000000" w:themeColor="text1"/>
          <w:szCs w:val="24"/>
          <w14:textFill>
            <w14:solidFill>
              <w14:schemeClr w14:val="tx1"/>
            </w14:solidFill>
          </w14:textFill>
        </w:rPr>
        <w:t>）</w:t>
      </w:r>
      <w:r>
        <w:rPr>
          <w:rFonts w:ascii="Times New Roman" w:hAnsiTheme="minorEastAsia" w:eastAsiaTheme="minorEastAsia"/>
          <w:color w:val="000000" w:themeColor="text1"/>
          <w:szCs w:val="24"/>
          <w14:textFill>
            <w14:solidFill>
              <w14:schemeClr w14:val="tx1"/>
            </w14:solidFill>
          </w14:textFill>
        </w:rPr>
        <w:t>，</w:t>
      </w:r>
      <w:r>
        <w:rPr>
          <w:rFonts w:hint="eastAsia" w:ascii="Times New Roman" w:hAnsiTheme="minorEastAsia" w:eastAsiaTheme="minorEastAsia"/>
          <w:color w:val="000000" w:themeColor="text1"/>
          <w:szCs w:val="24"/>
          <w14:textFill>
            <w14:solidFill>
              <w14:schemeClr w14:val="tx1"/>
            </w14:solidFill>
          </w14:textFill>
        </w:rPr>
        <w:t>经沉淀处理后回用于厂区绿化</w:t>
      </w:r>
      <w:r>
        <w:rPr>
          <w:rFonts w:ascii="Times New Roman" w:hAnsiTheme="minorEastAsia" w:eastAsiaTheme="minorEastAsia"/>
          <w:color w:val="000000" w:themeColor="text1"/>
          <w:szCs w:val="24"/>
          <w14:textFill>
            <w14:solidFill>
              <w14:schemeClr w14:val="tx1"/>
            </w14:solidFill>
          </w14:textFill>
        </w:rPr>
        <w:t>。</w:t>
      </w:r>
      <w:r>
        <w:rPr>
          <w:rFonts w:hint="eastAsia" w:ascii="Times New Roman" w:cs="Times New Roman" w:hAnsiTheme="minorEastAsia" w:eastAsiaTheme="minorEastAsia"/>
          <w:color w:val="000000" w:themeColor="text1"/>
          <w:szCs w:val="24"/>
          <w14:textFill>
            <w14:solidFill>
              <w14:schemeClr w14:val="tx1"/>
            </w14:solidFill>
          </w14:textFill>
        </w:rPr>
        <w:t>其他时段雨水根据现状地形和竖向规划，沿规划区道路敷设雨水干管，分片收集雨水就近排入园区雨水管网。</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（4）厂区事故排水系统方案</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本项目对发生事故后的事故污水进行收集处理，防止直接外排造成环境污染。根据项目可行性研究报告，本项目拟建设一座事故应急池（兼作初期雨水池），有效容积450m</w:t>
      </w:r>
      <w:r>
        <w:rPr>
          <w:rFonts w:hint="eastAsia" w:ascii="Times New Roman" w:hAnsiTheme="minorEastAsia" w:eastAsiaTheme="minorEastAsia"/>
          <w:color w:val="000000" w:themeColor="text1"/>
          <w:kern w:val="0"/>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kern w:val="0"/>
          <w:sz w:val="24"/>
          <w:szCs w:val="24"/>
          <w14:textFill>
            <w14:solidFill>
              <w14:schemeClr w14:val="tx1"/>
            </w14:solidFill>
          </w14:textFill>
        </w:rPr>
        <w:t>，满足本项目需要。收集后的废水回用于生产、不外排。</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4"/>
          <w:szCs w:val="24"/>
          <w14:textFill>
            <w14:solidFill>
              <w14:schemeClr w14:val="tx1"/>
            </w14:solidFill>
          </w14:textFill>
        </w:rPr>
      </w:pPr>
      <w:bookmarkStart w:id="150" w:name="_Toc13201"/>
      <w:bookmarkStart w:id="151" w:name="_Toc25779"/>
      <w:bookmarkStart w:id="152" w:name="_Toc25418"/>
      <w:r>
        <w:rPr>
          <w:rFonts w:hint="eastAsia" w:ascii="Times New Roman" w:hAnsi="Times New Roman" w:eastAsia="黑体"/>
          <w:b/>
          <w:color w:val="000000" w:themeColor="text1"/>
          <w:kern w:val="0"/>
          <w:sz w:val="24"/>
          <w:szCs w:val="24"/>
          <w:lang w:val="en-US" w:eastAsia="zh-CN"/>
          <w14:textFill>
            <w14:solidFill>
              <w14:schemeClr w14:val="tx1"/>
            </w14:solidFill>
          </w14:textFill>
        </w:rPr>
        <w:t>3</w:t>
      </w:r>
      <w:r>
        <w:rPr>
          <w:rFonts w:ascii="Times New Roman" w:hAnsi="Times New Roman" w:eastAsia="黑体"/>
          <w:b/>
          <w:color w:val="000000" w:themeColor="text1"/>
          <w:kern w:val="0"/>
          <w:sz w:val="24"/>
          <w:szCs w:val="24"/>
          <w14:textFill>
            <w14:solidFill>
              <w14:schemeClr w14:val="tx1"/>
            </w14:solidFill>
          </w14:textFill>
        </w:rPr>
        <w:t>.5.2.2</w:t>
      </w:r>
      <w:r>
        <w:rPr>
          <w:rFonts w:hint="eastAsia" w:ascii="Times New Roman" w:hAnsi="Times New Roman" w:eastAsia="黑体"/>
          <w:b/>
          <w:color w:val="000000" w:themeColor="text1"/>
          <w:kern w:val="0"/>
          <w:sz w:val="24"/>
          <w:szCs w:val="24"/>
          <w14:textFill>
            <w14:solidFill>
              <w14:schemeClr w14:val="tx1"/>
            </w14:solidFill>
          </w14:textFill>
        </w:rPr>
        <w:t>供热</w:t>
      </w:r>
      <w:bookmarkEnd w:id="150"/>
      <w:bookmarkEnd w:id="151"/>
      <w:bookmarkEnd w:id="152"/>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本项目蒸汽由园区供给，蒸汽规格及用量如下：温度：179℃；压力：0.9MPa（G）。现园区蒸汽余量能满足本项目需求</w:t>
      </w:r>
      <w:r>
        <w:rPr>
          <w:rFonts w:hint="eastAsia" w:ascii="Times New Roman" w:hAnsiTheme="minorEastAsia" w:eastAsiaTheme="minorEastAsia"/>
          <w:color w:val="000000" w:themeColor="text1"/>
          <w:kern w:val="0"/>
          <w:sz w:val="24"/>
          <w:szCs w:val="24"/>
          <w14:textFill>
            <w14:solidFill>
              <w14:schemeClr w14:val="tx1"/>
            </w14:solidFill>
          </w14:textFill>
        </w:rPr>
        <w:t>。</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4"/>
          <w:szCs w:val="24"/>
          <w14:textFill>
            <w14:solidFill>
              <w14:schemeClr w14:val="tx1"/>
            </w14:solidFill>
          </w14:textFill>
        </w:rPr>
      </w:pPr>
      <w:bookmarkStart w:id="153" w:name="_Toc21851"/>
      <w:bookmarkStart w:id="154" w:name="_Toc2856"/>
      <w:bookmarkStart w:id="155" w:name="_Toc25140"/>
      <w:r>
        <w:rPr>
          <w:rFonts w:hint="eastAsia" w:ascii="Times New Roman" w:hAnsi="Times New Roman" w:eastAsia="黑体"/>
          <w:b/>
          <w:color w:val="000000" w:themeColor="text1"/>
          <w:kern w:val="0"/>
          <w:sz w:val="24"/>
          <w:szCs w:val="24"/>
          <w:lang w:val="en-US" w:eastAsia="zh-CN"/>
          <w14:textFill>
            <w14:solidFill>
              <w14:schemeClr w14:val="tx1"/>
            </w14:solidFill>
          </w14:textFill>
        </w:rPr>
        <w:t>3</w:t>
      </w:r>
      <w:r>
        <w:rPr>
          <w:rFonts w:ascii="Times New Roman" w:hAnsi="Times New Roman" w:eastAsia="黑体"/>
          <w:b/>
          <w:color w:val="000000" w:themeColor="text1"/>
          <w:kern w:val="0"/>
          <w:sz w:val="24"/>
          <w:szCs w:val="24"/>
          <w14:textFill>
            <w14:solidFill>
              <w14:schemeClr w14:val="tx1"/>
            </w14:solidFill>
          </w14:textFill>
        </w:rPr>
        <w:t>.5.2.3</w:t>
      </w:r>
      <w:r>
        <w:rPr>
          <w:rFonts w:hint="eastAsia" w:ascii="黑体" w:hAnsi="黑体" w:eastAsia="黑体"/>
          <w:b/>
          <w:color w:val="000000" w:themeColor="text1"/>
          <w:sz w:val="24"/>
          <w:szCs w:val="24"/>
          <w14:textFill>
            <w14:solidFill>
              <w14:schemeClr w14:val="tx1"/>
            </w14:solidFill>
          </w14:textFill>
        </w:rPr>
        <w:t>压缩空气</w:t>
      </w:r>
      <w:bookmarkEnd w:id="153"/>
      <w:bookmarkEnd w:id="154"/>
      <w:bookmarkEnd w:id="155"/>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w:t>
      </w:r>
      <w:r>
        <w:rPr>
          <w:rFonts w:hint="eastAsia" w:ascii="Times New Roman" w:hAnsiTheme="minorEastAsia" w:eastAsiaTheme="minorEastAsia"/>
          <w:color w:val="000000" w:themeColor="text1"/>
          <w:sz w:val="24"/>
          <w:szCs w:val="24"/>
          <w14:textFill>
            <w14:solidFill>
              <w14:schemeClr w14:val="tx1"/>
            </w14:solidFill>
          </w14:textFill>
        </w:rPr>
        <w:t>项目在氟硅酸钠装置内</w:t>
      </w:r>
      <w:r>
        <w:rPr>
          <w:rFonts w:ascii="Times New Roman" w:hAnsiTheme="minorEastAsia" w:eastAsiaTheme="minorEastAsia"/>
          <w:color w:val="000000" w:themeColor="text1"/>
          <w:sz w:val="24"/>
          <w:szCs w:val="24"/>
          <w14:textFill>
            <w14:solidFill>
              <w14:schemeClr w14:val="tx1"/>
            </w14:solidFill>
          </w14:textFill>
        </w:rPr>
        <w:t>设有空压</w:t>
      </w:r>
      <w:r>
        <w:rPr>
          <w:rFonts w:hint="eastAsia" w:ascii="Times New Roman" w:hAnsiTheme="minorEastAsia" w:eastAsiaTheme="minorEastAsia"/>
          <w:color w:val="000000" w:themeColor="text1"/>
          <w:sz w:val="24"/>
          <w:szCs w:val="24"/>
          <w14:textFill>
            <w14:solidFill>
              <w14:schemeClr w14:val="tx1"/>
            </w14:solidFill>
          </w14:textFill>
        </w:rPr>
        <w:t>设备</w:t>
      </w:r>
      <w:r>
        <w:rPr>
          <w:rFonts w:ascii="Times New Roman" w:hAnsiTheme="minorEastAsia" w:eastAsiaTheme="minorEastAsia"/>
          <w:color w:val="000000" w:themeColor="text1"/>
          <w:sz w:val="24"/>
          <w:szCs w:val="24"/>
          <w14:textFill>
            <w14:solidFill>
              <w14:schemeClr w14:val="tx1"/>
            </w14:solidFill>
          </w14:textFill>
        </w:rPr>
        <w:t>一</w:t>
      </w:r>
      <w:r>
        <w:rPr>
          <w:rFonts w:hint="eastAsia" w:ascii="Times New Roman" w:hAnsiTheme="minorEastAsia" w:eastAsiaTheme="minorEastAsia"/>
          <w:color w:val="000000" w:themeColor="text1"/>
          <w:sz w:val="24"/>
          <w:szCs w:val="24"/>
          <w14:textFill>
            <w14:solidFill>
              <w14:schemeClr w14:val="tx1"/>
            </w14:solidFill>
          </w14:textFill>
        </w:rPr>
        <w:t>套以</w:t>
      </w:r>
      <w:r>
        <w:rPr>
          <w:rFonts w:ascii="Times New Roman" w:hAnsiTheme="minorEastAsia" w:eastAsiaTheme="minorEastAsia"/>
          <w:color w:val="000000" w:themeColor="text1"/>
          <w:sz w:val="24"/>
          <w:szCs w:val="24"/>
          <w14:textFill>
            <w14:solidFill>
              <w14:schemeClr w14:val="tx1"/>
            </w14:solidFill>
          </w14:textFill>
        </w:rPr>
        <w:t>满足工艺生产中工艺生产、吹扫、仪表用压缩空气需要。本项目需要压缩空气1.0 Mpa（G），总量</w:t>
      </w:r>
      <w:r>
        <w:rPr>
          <w:rFonts w:hint="eastAsia" w:ascii="Times New Roman" w:hAnsiTheme="minorEastAsia"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00Nm</w:t>
      </w:r>
      <w:r>
        <w:rPr>
          <w:rFonts w:ascii="Times New Roman" w:hAnsiTheme="minorEastAsia"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/h；仪表气0.7Mpa（G），总量</w:t>
      </w:r>
      <w:r>
        <w:rPr>
          <w:rFonts w:hint="eastAsia" w:ascii="Times New Roman" w:hAnsiTheme="minorEastAsia"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00Nm</w:t>
      </w:r>
      <w:r>
        <w:rPr>
          <w:rFonts w:ascii="Times New Roman" w:hAnsiTheme="minorEastAsia"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/h。</w:t>
      </w:r>
      <w:r>
        <w:rPr>
          <w:rFonts w:hint="eastAsia" w:ascii="Times New Roman" w:hAnsiTheme="minorEastAsia" w:eastAsiaTheme="minorEastAsia"/>
          <w:color w:val="000000" w:themeColor="text1"/>
          <w:sz w:val="24"/>
          <w:szCs w:val="24"/>
          <w14:textFill>
            <w14:solidFill>
              <w14:schemeClr w14:val="tx1"/>
            </w14:solidFill>
          </w14:textFill>
        </w:rPr>
        <w:t>本项目采用螺杆式空压机组，空气经过压缩机压缩后进入储气罐缓存，然后经过过滤、再生吸附式干燥机后一部分压缩空气达到工艺压缩空气要求后送入各用气装置，一部分压缩空气再经过精密过滤器过滤后达到仪表用压缩空气要求后送入仪表空气系统</w:t>
      </w:r>
      <w:r>
        <w:rPr>
          <w:rFonts w:ascii="Times New Roman" w:hAnsiTheme="minorEastAsia" w:eastAsiaTheme="minorEastAsia"/>
          <w:color w:val="000000" w:themeColor="text1"/>
          <w:sz w:val="24"/>
          <w:szCs w:val="24"/>
          <w14:textFill>
            <w14:solidFill>
              <w14:schemeClr w14:val="tx1"/>
            </w14:solidFill>
          </w14:textFill>
        </w:rPr>
        <w:t>。</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4"/>
          <w:szCs w:val="24"/>
          <w14:textFill>
            <w14:solidFill>
              <w14:schemeClr w14:val="tx1"/>
            </w14:solidFill>
          </w14:textFill>
        </w:rPr>
      </w:pPr>
      <w:bookmarkStart w:id="156" w:name="_Toc28221"/>
      <w:bookmarkStart w:id="157" w:name="_Toc11650"/>
      <w:bookmarkStart w:id="158" w:name="_Toc20500"/>
      <w:r>
        <w:rPr>
          <w:rFonts w:hint="eastAsia" w:ascii="Times New Roman" w:hAnsi="Times New Roman" w:eastAsia="黑体"/>
          <w:b/>
          <w:color w:val="000000" w:themeColor="text1"/>
          <w:sz w:val="24"/>
          <w:szCs w:val="24"/>
          <w:lang w:val="en-US" w:eastAsia="zh-CN"/>
          <w14:textFill>
            <w14:solidFill>
              <w14:schemeClr w14:val="tx1"/>
            </w14:solidFill>
          </w14:textFill>
        </w:rPr>
        <w:t>3</w:t>
      </w:r>
      <w:r>
        <w:rPr>
          <w:rFonts w:ascii="Times New Roman" w:hAnsi="Times New Roman" w:eastAsia="黑体"/>
          <w:b/>
          <w:color w:val="000000" w:themeColor="text1"/>
          <w:sz w:val="24"/>
          <w:szCs w:val="24"/>
          <w14:textFill>
            <w14:solidFill>
              <w14:schemeClr w14:val="tx1"/>
            </w14:solidFill>
          </w14:textFill>
        </w:rPr>
        <w:t>.5.2.4</w:t>
      </w:r>
      <w:r>
        <w:rPr>
          <w:rFonts w:hint="eastAsia" w:ascii="黑体" w:hAnsi="黑体" w:eastAsia="黑体"/>
          <w:b/>
          <w:color w:val="000000" w:themeColor="text1"/>
          <w:sz w:val="24"/>
          <w:szCs w:val="24"/>
          <w14:textFill>
            <w14:solidFill>
              <w14:schemeClr w14:val="tx1"/>
            </w14:solidFill>
          </w14:textFill>
        </w:rPr>
        <w:t>供电工程</w:t>
      </w:r>
      <w:bookmarkEnd w:id="156"/>
      <w:bookmarkEnd w:id="157"/>
      <w:bookmarkEnd w:id="158"/>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（1）电源：本</w:t>
      </w:r>
      <w:r>
        <w:rPr>
          <w:rFonts w:hint="eastAsia" w:ascii="Times New Roman" w:hAnsi="Times New Roman" w:eastAsiaTheme="minorEastAsia"/>
          <w:color w:val="000000" w:themeColor="text1"/>
          <w:sz w:val="24"/>
          <w:szCs w:val="24"/>
          <w14:textFill>
            <w14:solidFill>
              <w14:schemeClr w14:val="tx1"/>
            </w14:solidFill>
          </w14:textFill>
        </w:rPr>
        <w:t>项目所在地</w:t>
      </w:r>
      <w:r>
        <w:rPr>
          <w:rFonts w:ascii="Times New Roman" w:hAnsi="Times New Roman" w:eastAsiaTheme="minorEastAsia"/>
          <w:color w:val="000000" w:themeColor="text1"/>
          <w:sz w:val="24"/>
          <w:szCs w:val="24"/>
          <w14:textFill>
            <w14:solidFill>
              <w14:schemeClr w14:val="tx1"/>
            </w14:solidFill>
          </w14:textFill>
        </w:rPr>
        <w:t>湖北宜都枝城化工开发园区，园区电网规划有1处可选电源点：一座110kV变电所，该变电所有1回110kV电源进线，变电所内现有1台63MVA、110/10.5kV双卷变压器，现有富裕容量约20MVA，满足本项目供电要求。</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w:t>
      </w:r>
      <w:r>
        <w:rPr>
          <w:rFonts w:hint="eastAsia" w:ascii="Times New Roman" w:hAnsi="Times New Roman" w:eastAsiaTheme="minorEastAsia"/>
          <w:color w:val="000000" w:themeColor="text1"/>
          <w:sz w:val="24"/>
          <w:szCs w:val="24"/>
          <w14:textFill>
            <w14:solidFill>
              <w14:schemeClr w14:val="tx1"/>
            </w14:solidFill>
          </w14:textFill>
        </w:rPr>
        <w:t>用电负荷及</w:t>
      </w:r>
      <w:r>
        <w:rPr>
          <w:rFonts w:ascii="Times New Roman" w:hAnsi="Times New Roman" w:eastAsiaTheme="minorEastAsia"/>
          <w:color w:val="000000" w:themeColor="text1"/>
          <w:sz w:val="24"/>
          <w:szCs w:val="24"/>
          <w14:textFill>
            <w14:solidFill>
              <w14:schemeClr w14:val="tx1"/>
            </w14:solidFill>
          </w14:textFill>
        </w:rPr>
        <w:t>负荷等级：本项目380V总</w:t>
      </w:r>
      <w:r>
        <w:rPr>
          <w:rFonts w:hint="eastAsia" w:ascii="Times New Roman" w:hAnsi="Times New Roman" w:eastAsiaTheme="minorEastAsia"/>
          <w:color w:val="000000" w:themeColor="text1"/>
          <w:sz w:val="24"/>
          <w:szCs w:val="24"/>
          <w14:textFill>
            <w14:solidFill>
              <w14:schemeClr w14:val="tx1"/>
            </w14:solidFill>
          </w14:textFill>
        </w:rPr>
        <w:t>用电负荷</w:t>
      </w:r>
      <w:r>
        <w:rPr>
          <w:rFonts w:ascii="Times New Roman" w:hAnsi="Times New Roman" w:eastAsiaTheme="minorEastAsia"/>
          <w:color w:val="000000" w:themeColor="text1"/>
          <w:sz w:val="24"/>
          <w:szCs w:val="24"/>
          <w14:textFill>
            <w14:solidFill>
              <w14:schemeClr w14:val="tx1"/>
            </w14:solidFill>
          </w14:textFill>
        </w:rPr>
        <w:t>928.8kW，其中</w:t>
      </w:r>
      <w:r>
        <w:rPr>
          <w:rFonts w:hint="eastAsia" w:ascii="Times New Roman" w:hAnsi="Times New Roman" w:eastAsiaTheme="minorEastAsia"/>
          <w:color w:val="000000" w:themeColor="text1"/>
          <w:sz w:val="24"/>
          <w:szCs w:val="24"/>
          <w14:textFill>
            <w14:solidFill>
              <w14:schemeClr w14:val="tx1"/>
            </w14:solidFill>
          </w14:textFill>
        </w:rPr>
        <w:t>氟硅酸钠装置部分、综合楼（部分）、综合仓库、罐区、初期雨水收集池及事故池等</w:t>
      </w:r>
      <w:r>
        <w:rPr>
          <w:rFonts w:ascii="Times New Roman" w:hAnsi="Times New Roman" w:eastAsiaTheme="minorEastAsia"/>
          <w:color w:val="000000" w:themeColor="text1"/>
          <w:sz w:val="24"/>
          <w:szCs w:val="24"/>
          <w14:textFill>
            <w14:solidFill>
              <w14:schemeClr w14:val="tx1"/>
            </w14:solidFill>
          </w14:textFill>
        </w:rPr>
        <w:t>为</w:t>
      </w:r>
      <w:r>
        <w:rPr>
          <w:rFonts w:hint="eastAsia" w:ascii="Times New Roman" w:hAnsi="Times New Roman" w:eastAsiaTheme="minorEastAsia"/>
          <w:color w:val="000000" w:themeColor="text1"/>
          <w:sz w:val="24"/>
          <w:szCs w:val="24"/>
          <w14:textFill>
            <w14:solidFill>
              <w14:schemeClr w14:val="tx1"/>
            </w14:solidFill>
          </w14:textFill>
        </w:rPr>
        <w:t>三</w:t>
      </w:r>
      <w:r>
        <w:rPr>
          <w:rFonts w:ascii="Times New Roman" w:hAnsi="Times New Roman" w:eastAsiaTheme="minorEastAsia"/>
          <w:color w:val="000000" w:themeColor="text1"/>
          <w:sz w:val="24"/>
          <w:szCs w:val="24"/>
          <w14:textFill>
            <w14:solidFill>
              <w14:schemeClr w14:val="tx1"/>
            </w14:solidFill>
          </w14:textFill>
        </w:rPr>
        <w:t>级负荷</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三级负荷总容量为728.8kW；</w:t>
      </w:r>
      <w:r>
        <w:rPr>
          <w:rFonts w:hint="eastAsia" w:ascii="Times New Roman" w:hAnsi="Times New Roman" w:eastAsiaTheme="minorEastAsia"/>
          <w:color w:val="000000" w:themeColor="text1"/>
          <w:sz w:val="24"/>
          <w:szCs w:val="24"/>
          <w14:textFill>
            <w14:solidFill>
              <w14:schemeClr w14:val="tx1"/>
            </w14:solidFill>
          </w14:textFill>
        </w:rPr>
        <w:t>氟硅酸钠装置强制循环泵、尾气吸收塔泵和风机、综合楼（部分）、消防用电、应急照明、</w:t>
      </w:r>
      <w:r>
        <w:rPr>
          <w:rFonts w:ascii="Times New Roman" w:hAnsi="Times New Roman" w:eastAsiaTheme="minorEastAsia"/>
          <w:color w:val="000000" w:themeColor="text1"/>
          <w:sz w:val="24"/>
          <w:szCs w:val="24"/>
          <w14:textFill>
            <w14:solidFill>
              <w14:schemeClr w14:val="tx1"/>
            </w14:solidFill>
          </w14:textFill>
        </w:rPr>
        <w:t>火灾</w:t>
      </w:r>
      <w:r>
        <w:rPr>
          <w:rFonts w:hint="eastAsia" w:ascii="Times New Roman" w:hAnsi="Times New Roman" w:eastAsiaTheme="minorEastAsia"/>
          <w:color w:val="000000" w:themeColor="text1"/>
          <w:sz w:val="24"/>
          <w:szCs w:val="24"/>
          <w14:textFill>
            <w14:solidFill>
              <w14:schemeClr w14:val="tx1"/>
            </w14:solidFill>
          </w14:textFill>
        </w:rPr>
        <w:t>自动</w:t>
      </w:r>
      <w:r>
        <w:rPr>
          <w:rFonts w:ascii="Times New Roman" w:hAnsi="Times New Roman" w:eastAsiaTheme="minorEastAsia"/>
          <w:color w:val="000000" w:themeColor="text1"/>
          <w:sz w:val="24"/>
          <w:szCs w:val="24"/>
          <w14:textFill>
            <w14:solidFill>
              <w14:schemeClr w14:val="tx1"/>
            </w14:solidFill>
          </w14:textFill>
        </w:rPr>
        <w:t>报警系统、</w:t>
      </w:r>
      <w:r>
        <w:rPr>
          <w:rFonts w:hint="eastAsia" w:ascii="Times New Roman" w:hAnsi="Times New Roman" w:eastAsiaTheme="minorEastAsia"/>
          <w:color w:val="000000" w:themeColor="text1"/>
          <w:sz w:val="24"/>
          <w:szCs w:val="24"/>
          <w14:textFill>
            <w14:solidFill>
              <w14:schemeClr w14:val="tx1"/>
            </w14:solidFill>
          </w14:textFill>
        </w:rPr>
        <w:t>行政电话、调度电话</w:t>
      </w:r>
      <w:r>
        <w:rPr>
          <w:rFonts w:ascii="Times New Roman" w:hAnsi="Times New Roman" w:eastAsiaTheme="minorEastAsia"/>
          <w:color w:val="000000" w:themeColor="text1"/>
          <w:sz w:val="24"/>
          <w:szCs w:val="24"/>
          <w14:textFill>
            <w14:solidFill>
              <w14:schemeClr w14:val="tx1"/>
            </w14:solidFill>
          </w14:textFill>
        </w:rPr>
        <w:t>系统</w:t>
      </w:r>
      <w:r>
        <w:rPr>
          <w:rFonts w:hint="eastAsia" w:ascii="Times New Roman" w:hAnsi="Times New Roman" w:eastAsiaTheme="minorEastAsia"/>
          <w:color w:val="000000" w:themeColor="text1"/>
          <w:sz w:val="24"/>
          <w:szCs w:val="24"/>
          <w14:textFill>
            <w14:solidFill>
              <w14:schemeClr w14:val="tx1"/>
            </w14:solidFill>
          </w14:textFill>
        </w:rPr>
        <w:t>、工业电视监控系统等为</w:t>
      </w:r>
      <w:r>
        <w:rPr>
          <w:rFonts w:ascii="Times New Roman" w:hAnsi="Times New Roman" w:eastAsiaTheme="minorEastAsia"/>
          <w:color w:val="000000" w:themeColor="text1"/>
          <w:sz w:val="24"/>
          <w:szCs w:val="24"/>
          <w14:textFill>
            <w14:solidFill>
              <w14:schemeClr w14:val="tx1"/>
            </w14:solidFill>
          </w14:textFill>
        </w:rPr>
        <w:t>二级负荷</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二级负荷总容量为</w:t>
      </w:r>
      <w:r>
        <w:rPr>
          <w:rFonts w:hint="eastAsia" w:ascii="Times New Roman" w:hAnsi="Times New Roman" w:eastAsiaTheme="minorEastAsia"/>
          <w:color w:val="000000" w:themeColor="text1"/>
          <w:sz w:val="24"/>
          <w:szCs w:val="24"/>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00kW。</w:t>
      </w:r>
      <w:r>
        <w:rPr>
          <w:rFonts w:hint="eastAsia" w:ascii="Times New Roman" w:hAnsi="Times New Roman" w:eastAsiaTheme="minorEastAsia"/>
          <w:color w:val="000000" w:themeColor="text1"/>
          <w:sz w:val="24"/>
          <w:szCs w:val="24"/>
          <w14:textFill>
            <w14:solidFill>
              <w14:schemeClr w14:val="tx1"/>
            </w14:solidFill>
          </w14:textFill>
        </w:rPr>
        <w:t>照明用电负荷为65kW，生产年用电量为：23.4万kW.h。生产用电负荷为863.8kW，生产年用电量为：621.94万kW.h</w:t>
      </w:r>
      <w:r>
        <w:rPr>
          <w:rFonts w:ascii="Times New Roman" w:hAnsi="Times New Roman" w:eastAsiaTheme="minorEastAsia"/>
          <w:color w:val="000000" w:themeColor="text1"/>
          <w:sz w:val="24"/>
          <w:szCs w:val="24"/>
          <w14:textFill>
            <w14:solidFill>
              <w14:schemeClr w14:val="tx1"/>
            </w14:solidFill>
          </w14:textFill>
        </w:rPr>
        <w:t>。</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）供电方案：本项目拟</w:t>
      </w:r>
      <w:r>
        <w:rPr>
          <w:rFonts w:hint="eastAsia" w:ascii="Times New Roman" w:hAnsiTheme="minorEastAsia" w:eastAsiaTheme="minorEastAsia"/>
          <w:color w:val="000000" w:themeColor="text1"/>
          <w:sz w:val="24"/>
          <w:szCs w:val="24"/>
          <w14:textFill>
            <w14:solidFill>
              <w14:schemeClr w14:val="tx1"/>
            </w14:solidFill>
          </w14:textFill>
        </w:rPr>
        <w:t>在综合楼内建一座10</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0.4</w:t>
      </w:r>
      <w:r>
        <w:rPr>
          <w:rFonts w:ascii="Times New Roman" w:hAnsiTheme="minorEastAsia" w:eastAsiaTheme="minorEastAsia"/>
          <w:color w:val="000000" w:themeColor="text1"/>
          <w:sz w:val="24"/>
          <w:szCs w:val="24"/>
          <w14:textFill>
            <w14:solidFill>
              <w14:schemeClr w14:val="tx1"/>
            </w14:solidFill>
          </w14:textFill>
        </w:rPr>
        <w:t>kV</w:t>
      </w:r>
      <w:r>
        <w:rPr>
          <w:rFonts w:hint="eastAsia" w:ascii="Times New Roman" w:hAnsiTheme="minorEastAsia" w:eastAsiaTheme="minorEastAsia"/>
          <w:color w:val="000000" w:themeColor="text1"/>
          <w:sz w:val="24"/>
          <w:szCs w:val="24"/>
          <w14:textFill>
            <w14:solidFill>
              <w14:schemeClr w14:val="tx1"/>
            </w14:solidFill>
          </w14:textFill>
        </w:rPr>
        <w:t>变配电室</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变配电室内</w:t>
      </w:r>
      <w:r>
        <w:rPr>
          <w:rFonts w:ascii="Times New Roman" w:hAnsiTheme="minorEastAsia" w:eastAsiaTheme="minorEastAsia"/>
          <w:color w:val="000000" w:themeColor="text1"/>
          <w:sz w:val="24"/>
          <w:szCs w:val="24"/>
          <w14:textFill>
            <w14:solidFill>
              <w14:schemeClr w14:val="tx1"/>
            </w14:solidFill>
          </w14:textFill>
        </w:rPr>
        <w:t>设2台</w:t>
      </w:r>
      <w:r>
        <w:rPr>
          <w:rFonts w:hint="eastAsia" w:ascii="Times New Roman" w:hAnsiTheme="minorEastAsia" w:eastAsiaTheme="minorEastAsia"/>
          <w:color w:val="000000" w:themeColor="text1"/>
          <w:sz w:val="24"/>
          <w:szCs w:val="24"/>
          <w14:textFill>
            <w14:solidFill>
              <w14:schemeClr w14:val="tx1"/>
            </w14:solidFill>
          </w14:textFill>
        </w:rPr>
        <w:t>10</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0.4</w:t>
      </w:r>
      <w:r>
        <w:rPr>
          <w:rFonts w:ascii="Times New Roman" w:hAnsiTheme="minorEastAsia" w:eastAsiaTheme="minorEastAsia"/>
          <w:color w:val="000000" w:themeColor="text1"/>
          <w:sz w:val="24"/>
          <w:szCs w:val="24"/>
          <w14:textFill>
            <w14:solidFill>
              <w14:schemeClr w14:val="tx1"/>
            </w14:solidFill>
          </w14:textFill>
        </w:rPr>
        <w:t>kV-</w:t>
      </w:r>
      <w:r>
        <w:rPr>
          <w:rFonts w:hint="eastAsia" w:ascii="Times New Roman" w:hAnsiTheme="minorEastAsia" w:eastAsiaTheme="minorEastAsia"/>
          <w:color w:val="000000" w:themeColor="text1"/>
          <w:sz w:val="24"/>
          <w:szCs w:val="24"/>
          <w14:textFill>
            <w14:solidFill>
              <w14:schemeClr w14:val="tx1"/>
            </w14:solidFill>
          </w14:textFill>
        </w:rPr>
        <w:t>630</w:t>
      </w:r>
      <w:r>
        <w:rPr>
          <w:rFonts w:ascii="Times New Roman" w:hAnsiTheme="minorEastAsia" w:eastAsiaTheme="minorEastAsia"/>
          <w:color w:val="000000" w:themeColor="text1"/>
          <w:sz w:val="24"/>
          <w:szCs w:val="24"/>
          <w14:textFill>
            <w14:solidFill>
              <w14:schemeClr w14:val="tx1"/>
            </w14:solidFill>
          </w14:textFill>
        </w:rPr>
        <w:t>kVA环氧树脂干式变压器，10kV</w:t>
      </w:r>
      <w:r>
        <w:rPr>
          <w:rFonts w:hint="eastAsia" w:ascii="Times New Roman" w:hAnsiTheme="minorEastAsia" w:eastAsiaTheme="minorEastAsia"/>
          <w:color w:val="000000" w:themeColor="text1"/>
          <w:sz w:val="24"/>
          <w:szCs w:val="24"/>
          <w14:textFill>
            <w14:solidFill>
              <w14:schemeClr w14:val="tx1"/>
            </w14:solidFill>
          </w14:textFill>
        </w:rPr>
        <w:t>配电</w:t>
      </w:r>
      <w:r>
        <w:rPr>
          <w:rFonts w:ascii="Times New Roman" w:hAnsiTheme="minorEastAsia" w:eastAsiaTheme="minorEastAsia"/>
          <w:color w:val="000000" w:themeColor="text1"/>
          <w:sz w:val="24"/>
          <w:szCs w:val="24"/>
          <w14:textFill>
            <w14:solidFill>
              <w14:schemeClr w14:val="tx1"/>
            </w14:solidFill>
          </w14:textFill>
        </w:rPr>
        <w:t>系统采用单母线接线方式，</w:t>
      </w:r>
      <w:r>
        <w:rPr>
          <w:rFonts w:hint="eastAsia" w:ascii="Times New Roman" w:hAnsiTheme="minorEastAsia" w:eastAsiaTheme="minorEastAsia"/>
          <w:color w:val="000000" w:themeColor="text1"/>
          <w:sz w:val="24"/>
          <w:szCs w:val="24"/>
          <w14:textFill>
            <w14:solidFill>
              <w14:schemeClr w14:val="tx1"/>
            </w14:solidFill>
          </w14:textFill>
        </w:rPr>
        <w:t>拟从园区已有的</w:t>
      </w:r>
      <w:r>
        <w:rPr>
          <w:rFonts w:ascii="Times New Roman" w:hAnsiTheme="minorEastAsia" w:eastAsiaTheme="minorEastAsia"/>
          <w:color w:val="000000" w:themeColor="text1"/>
          <w:sz w:val="24"/>
          <w:szCs w:val="24"/>
          <w14:textFill>
            <w14:solidFill>
              <w14:schemeClr w14:val="tx1"/>
            </w14:solidFill>
          </w14:textFill>
        </w:rPr>
        <w:t>110kV变电</w:t>
      </w:r>
      <w:r>
        <w:rPr>
          <w:rFonts w:hint="eastAsia" w:ascii="Times New Roman" w:hAnsiTheme="minorEastAsia" w:eastAsiaTheme="minorEastAsia"/>
          <w:color w:val="000000" w:themeColor="text1"/>
          <w:sz w:val="24"/>
          <w:szCs w:val="24"/>
          <w14:textFill>
            <w14:solidFill>
              <w14:schemeClr w14:val="tx1"/>
            </w14:solidFill>
          </w14:textFill>
        </w:rPr>
        <w:t>站</w:t>
      </w:r>
      <w:r>
        <w:rPr>
          <w:rFonts w:ascii="Times New Roman" w:hAnsiTheme="minorEastAsia" w:eastAsiaTheme="minorEastAsia"/>
          <w:color w:val="000000" w:themeColor="text1"/>
          <w:sz w:val="24"/>
          <w:szCs w:val="24"/>
          <w14:textFill>
            <w14:solidFill>
              <w14:schemeClr w14:val="tx1"/>
            </w14:solidFill>
          </w14:textFill>
        </w:rPr>
        <w:t>引一路10kV电源</w:t>
      </w:r>
      <w:r>
        <w:rPr>
          <w:rFonts w:hint="eastAsia" w:ascii="Times New Roman" w:hAnsiTheme="minorEastAsia" w:eastAsiaTheme="minorEastAsia"/>
          <w:color w:val="000000" w:themeColor="text1"/>
          <w:sz w:val="24"/>
          <w:szCs w:val="24"/>
          <w14:textFill>
            <w14:solidFill>
              <w14:schemeClr w14:val="tx1"/>
            </w14:solidFill>
          </w14:textFill>
        </w:rPr>
        <w:t>，操作电源采用</w:t>
      </w:r>
      <w:r>
        <w:rPr>
          <w:rFonts w:ascii="Times New Roman" w:hAnsiTheme="minorEastAsia" w:eastAsiaTheme="minorEastAsia"/>
          <w:color w:val="000000" w:themeColor="text1"/>
          <w:sz w:val="24"/>
          <w:szCs w:val="24"/>
          <w14:textFill>
            <w14:solidFill>
              <w14:schemeClr w14:val="tx1"/>
            </w14:solidFill>
          </w14:textFill>
        </w:rPr>
        <w:t>直流操作电源</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变电所</w:t>
      </w:r>
      <w:r>
        <w:rPr>
          <w:rFonts w:hint="eastAsia" w:ascii="Times New Roman" w:hAnsiTheme="minorEastAsia" w:eastAsiaTheme="minorEastAsia"/>
          <w:color w:val="000000" w:themeColor="text1"/>
          <w:sz w:val="24"/>
          <w:szCs w:val="24"/>
          <w14:textFill>
            <w14:solidFill>
              <w14:schemeClr w14:val="tx1"/>
            </w14:solidFill>
          </w14:textFill>
        </w:rPr>
        <w:t>0.4</w:t>
      </w:r>
      <w:r>
        <w:rPr>
          <w:rFonts w:ascii="Times New Roman" w:hAnsiTheme="minorEastAsia" w:eastAsiaTheme="minorEastAsia"/>
          <w:color w:val="000000" w:themeColor="text1"/>
          <w:sz w:val="24"/>
          <w:szCs w:val="24"/>
          <w14:textFill>
            <w14:solidFill>
              <w14:schemeClr w14:val="tx1"/>
            </w14:solidFill>
          </w14:textFill>
        </w:rPr>
        <w:t>kV</w:t>
      </w:r>
      <w:r>
        <w:rPr>
          <w:rFonts w:hint="eastAsia" w:ascii="Times New Roman" w:hAnsiTheme="minorEastAsia" w:eastAsiaTheme="minorEastAsia"/>
          <w:color w:val="000000" w:themeColor="text1"/>
          <w:sz w:val="24"/>
          <w:szCs w:val="24"/>
          <w14:textFill>
            <w14:solidFill>
              <w14:schemeClr w14:val="tx1"/>
            </w14:solidFill>
          </w14:textFill>
        </w:rPr>
        <w:t>低压</w:t>
      </w:r>
      <w:r>
        <w:rPr>
          <w:rFonts w:ascii="Times New Roman" w:hAnsiTheme="minorEastAsia" w:eastAsiaTheme="minorEastAsia"/>
          <w:color w:val="000000" w:themeColor="text1"/>
          <w:sz w:val="24"/>
          <w:szCs w:val="24"/>
          <w14:textFill>
            <w14:solidFill>
              <w14:schemeClr w14:val="tx1"/>
            </w14:solidFill>
          </w14:textFill>
        </w:rPr>
        <w:t>配电系统采用单母线分段接线</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4"/>
          <w:szCs w:val="24"/>
          <w14:textFill>
            <w14:solidFill>
              <w14:schemeClr w14:val="tx1"/>
            </w14:solidFill>
          </w14:textFill>
        </w:rPr>
      </w:pPr>
      <w:bookmarkStart w:id="159" w:name="_Toc7149"/>
      <w:bookmarkStart w:id="160" w:name="_Toc31253"/>
      <w:bookmarkStart w:id="161" w:name="_Toc16712"/>
      <w:r>
        <w:rPr>
          <w:rFonts w:hint="eastAsia" w:ascii="Times New Roman" w:hAnsi="Times New Roman" w:eastAsia="黑体"/>
          <w:b/>
          <w:color w:val="000000" w:themeColor="text1"/>
          <w:sz w:val="24"/>
          <w:szCs w:val="24"/>
          <w:lang w:val="en-US" w:eastAsia="zh-CN"/>
          <w14:textFill>
            <w14:solidFill>
              <w14:schemeClr w14:val="tx1"/>
            </w14:solidFill>
          </w14:textFill>
        </w:rPr>
        <w:t>3</w:t>
      </w:r>
      <w:r>
        <w:rPr>
          <w:rFonts w:ascii="Times New Roman" w:hAnsi="Times New Roman" w:eastAsia="黑体"/>
          <w:b/>
          <w:color w:val="000000" w:themeColor="text1"/>
          <w:sz w:val="24"/>
          <w:szCs w:val="24"/>
          <w14:textFill>
            <w14:solidFill>
              <w14:schemeClr w14:val="tx1"/>
            </w14:solidFill>
          </w14:textFill>
        </w:rPr>
        <w:t>.5.2.5</w:t>
      </w:r>
      <w:r>
        <w:rPr>
          <w:rFonts w:hint="eastAsia" w:ascii="黑体" w:hAnsi="黑体" w:eastAsia="黑体"/>
          <w:b/>
          <w:color w:val="000000" w:themeColor="text1"/>
          <w:sz w:val="24"/>
          <w:szCs w:val="24"/>
          <w14:textFill>
            <w14:solidFill>
              <w14:schemeClr w14:val="tx1"/>
            </w14:solidFill>
          </w14:textFill>
        </w:rPr>
        <w:t>采暖通风</w:t>
      </w:r>
      <w:bookmarkEnd w:id="159"/>
      <w:bookmarkEnd w:id="160"/>
      <w:bookmarkEnd w:id="161"/>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（1）舒适性空调系统</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本项目涉及到舒适性空调系统的区域为综合楼，综合楼采用单元式空调系统，室内设计温度为26℃，总冷量为120.96kW，各单体制冷量见下表：</w:t>
      </w:r>
    </w:p>
    <w:p>
      <w:pPr>
        <w:pStyle w:val="171"/>
        <w:widowControl w:val="0"/>
        <w:ind w:firstLine="480"/>
        <w:rPr>
          <w:rFonts w:ascii="Times New Roman" w:hAnsi="Times New Roman" w:eastAsia="宋体"/>
          <w:b/>
          <w:bCs/>
          <w:color w:val="000000" w:themeColor="text1"/>
          <w:kern w:val="2"/>
          <w:sz w:val="24"/>
          <w:szCs w:val="24"/>
          <w14:textFill>
            <w14:solidFill>
              <w14:schemeClr w14:val="tx1"/>
            </w14:solidFill>
          </w14:textFill>
        </w:rPr>
      </w:pPr>
      <w:r>
        <w:rPr>
          <w:rFonts w:ascii="Times New Roman" w:hAnsi="Times New Roman" w:eastAsia="宋体"/>
          <w:b/>
          <w:bCs/>
          <w:color w:val="000000" w:themeColor="text1"/>
          <w:kern w:val="2"/>
          <w:sz w:val="24"/>
          <w:szCs w:val="24"/>
          <w14:textFill>
            <w14:solidFill>
              <w14:schemeClr w14:val="tx1"/>
            </w14:solidFill>
          </w14:textFill>
        </w:rPr>
        <w:t>表</w:t>
      </w:r>
      <w:r>
        <w:rPr>
          <w:rFonts w:hint="eastAsia" w:ascii="Times New Roman" w:hAnsi="Times New Roman" w:eastAsia="宋体"/>
          <w:b/>
          <w:bCs/>
          <w:color w:val="000000" w:themeColor="text1"/>
          <w:kern w:val="2"/>
          <w:sz w:val="24"/>
          <w:szCs w:val="24"/>
          <w:lang w:val="en-US" w:eastAsia="zh-CN"/>
          <w14:textFill>
            <w14:solidFill>
              <w14:schemeClr w14:val="tx1"/>
            </w14:solidFill>
          </w14:textFill>
        </w:rPr>
        <w:t>3</w:t>
      </w:r>
      <w:r>
        <w:rPr>
          <w:rFonts w:ascii="Times New Roman" w:hAnsi="Times New Roman" w:eastAsia="宋体"/>
          <w:b/>
          <w:bCs/>
          <w:color w:val="000000" w:themeColor="text1"/>
          <w:kern w:val="2"/>
          <w:sz w:val="24"/>
          <w:szCs w:val="24"/>
          <w14:textFill>
            <w14:solidFill>
              <w14:schemeClr w14:val="tx1"/>
            </w14:solidFill>
          </w14:textFill>
        </w:rPr>
        <w:t>.5-</w:t>
      </w:r>
      <w:r>
        <w:rPr>
          <w:rFonts w:hint="eastAsia" w:ascii="Times New Roman" w:hAnsi="Times New Roman" w:eastAsia="宋体"/>
          <w:b/>
          <w:bCs/>
          <w:color w:val="000000" w:themeColor="text1"/>
          <w:kern w:val="2"/>
          <w:sz w:val="24"/>
          <w:szCs w:val="24"/>
          <w14:textFill>
            <w14:solidFill>
              <w14:schemeClr w14:val="tx1"/>
            </w14:solidFill>
          </w14:textFill>
        </w:rPr>
        <w:t>3</w:t>
      </w:r>
      <w:r>
        <w:rPr>
          <w:rFonts w:ascii="Times New Roman" w:hAnsi="Times New Roman" w:eastAsia="宋体"/>
          <w:b/>
          <w:bCs/>
          <w:color w:val="000000" w:themeColor="text1"/>
          <w:kern w:val="2"/>
          <w:sz w:val="24"/>
          <w:szCs w:val="24"/>
          <w14:textFill>
            <w14:solidFill>
              <w14:schemeClr w14:val="tx1"/>
            </w14:solidFill>
          </w14:textFill>
        </w:rPr>
        <w:t xml:space="preserve">  各单体冷量表</w:t>
      </w:r>
    </w:p>
    <w:tbl>
      <w:tblPr>
        <w:tblStyle w:val="87"/>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0"/>
        <w:gridCol w:w="2021"/>
        <w:gridCol w:w="2737"/>
        <w:gridCol w:w="20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blHeader/>
          <w:jc w:val="center"/>
        </w:trPr>
        <w:tc>
          <w:tcPr>
            <w:tcW w:w="2260"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单体名称</w:t>
            </w:r>
          </w:p>
        </w:tc>
        <w:tc>
          <w:tcPr>
            <w:tcW w:w="2021"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面积</w:t>
            </w:r>
            <w:r>
              <w:rPr>
                <w:rFonts w:hint="eastAsia" w:ascii="Times New Roman" w:hAnsi="Times New Roman" w:eastAsia="宋体"/>
                <w:color w:val="000000" w:themeColor="text1"/>
                <w:szCs w:val="21"/>
                <w14:textFill>
                  <w14:solidFill>
                    <w14:schemeClr w14:val="tx1"/>
                  </w14:solidFill>
                </w14:textFill>
              </w:rPr>
              <w:t>m</w:t>
            </w:r>
            <w:r>
              <w:rPr>
                <w:rFonts w:hint="eastAsia" w:ascii="Times New Roman" w:hAnsi="Times New Roman" w:eastAsia="宋体"/>
                <w:color w:val="000000" w:themeColor="text1"/>
                <w:szCs w:val="21"/>
                <w:vertAlign w:val="superscript"/>
                <w14:textFill>
                  <w14:solidFill>
                    <w14:schemeClr w14:val="tx1"/>
                  </w14:solidFill>
                </w14:textFill>
              </w:rPr>
              <w:t>2</w:t>
            </w:r>
          </w:p>
        </w:tc>
        <w:tc>
          <w:tcPr>
            <w:tcW w:w="2737"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冷负荷估算指标w/</w:t>
            </w:r>
            <w:r>
              <w:rPr>
                <w:rFonts w:hint="eastAsia" w:ascii="Times New Roman" w:hAnsi="Times New Roman" w:eastAsia="宋体"/>
                <w:color w:val="000000" w:themeColor="text1"/>
                <w:szCs w:val="21"/>
                <w14:textFill>
                  <w14:solidFill>
                    <w14:schemeClr w14:val="tx1"/>
                  </w14:solidFill>
                </w14:textFill>
              </w:rPr>
              <w:t>m</w:t>
            </w:r>
            <w:r>
              <w:rPr>
                <w:rFonts w:hint="eastAsia" w:ascii="Times New Roman" w:hAnsi="Times New Roman" w:eastAsia="宋体"/>
                <w:color w:val="000000" w:themeColor="text1"/>
                <w:szCs w:val="21"/>
                <w:vertAlign w:val="superscript"/>
                <w14:textFill>
                  <w14:solidFill>
                    <w14:schemeClr w14:val="tx1"/>
                  </w14:solidFill>
                </w14:textFill>
              </w:rPr>
              <w:t>2</w:t>
            </w:r>
          </w:p>
        </w:tc>
        <w:tc>
          <w:tcPr>
            <w:tcW w:w="2021"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冷量kW</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2260"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综合楼</w:t>
            </w:r>
          </w:p>
        </w:tc>
        <w:tc>
          <w:tcPr>
            <w:tcW w:w="2021"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960</w:t>
            </w:r>
          </w:p>
        </w:tc>
        <w:tc>
          <w:tcPr>
            <w:tcW w:w="2737"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140</w:t>
            </w:r>
          </w:p>
        </w:tc>
        <w:tc>
          <w:tcPr>
            <w:tcW w:w="2021" w:type="dxa"/>
            <w:vAlign w:val="center"/>
          </w:tcPr>
          <w:p>
            <w:pPr>
              <w:pStyle w:val="171"/>
              <w:widowControl w:val="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134.4</w:t>
            </w:r>
          </w:p>
        </w:tc>
      </w:tr>
    </w:tbl>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设置单元式分体空调。分体式空调是由室内机和室外机组成，分别安装在室内和室外，中间通过管路和电线连接起来的空气调节器，空调室内外机之间的冷媒管采用铜管。</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通风</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综合楼对室内人员卫生有要求的地方设置排风系统，如分析化验室、控制室，楼内局部房间采用机械通风，通风次数为2~3次/h。根据生产工艺的特点和要求，氟硅酸钠装置属于框架结构，采用自然通风，综合仓库采用机械通风。</w:t>
      </w:r>
    </w:p>
    <w:p>
      <w:pPr>
        <w:spacing w:line="520" w:lineRule="exact"/>
        <w:ind w:firstLine="482" w:firstLineChars="200"/>
        <w:jc w:val="center"/>
        <w:rPr>
          <w:rFonts w:ascii="Times New Roman" w:hAnsiTheme="minorEastAsia" w:eastAsiaTheme="minorEastAsia"/>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3</w:t>
      </w:r>
      <w:r>
        <w:rPr>
          <w:rFonts w:ascii="Times New Roman" w:hAnsi="Times New Roman"/>
          <w:b/>
          <w:bCs/>
          <w:color w:val="000000" w:themeColor="text1"/>
          <w:sz w:val="24"/>
          <w:szCs w:val="24"/>
          <w14:textFill>
            <w14:solidFill>
              <w14:schemeClr w14:val="tx1"/>
            </w14:solidFill>
          </w14:textFill>
        </w:rPr>
        <w:t>.5-</w:t>
      </w:r>
      <w:r>
        <w:rPr>
          <w:rFonts w:hint="eastAsia" w:ascii="Times New Roman" w:hAnsi="Times New Roman"/>
          <w:b/>
          <w:bCs/>
          <w:color w:val="000000" w:themeColor="text1"/>
          <w:sz w:val="24"/>
          <w:szCs w:val="24"/>
          <w14:textFill>
            <w14:solidFill>
              <w14:schemeClr w14:val="tx1"/>
            </w14:solidFill>
          </w14:textFill>
        </w:rPr>
        <w:t>4</w:t>
      </w:r>
      <w:r>
        <w:rPr>
          <w:rFonts w:ascii="Times New Roman" w:hAnsi="Times New Roman"/>
          <w:b/>
          <w:bCs/>
          <w:color w:val="000000" w:themeColor="text1"/>
          <w:sz w:val="24"/>
          <w:szCs w:val="24"/>
          <w14:textFill>
            <w14:solidFill>
              <w14:schemeClr w14:val="tx1"/>
            </w14:solidFill>
          </w14:textFill>
        </w:rPr>
        <w:t xml:space="preserve">  各车间通风量表</w:t>
      </w:r>
    </w:p>
    <w:tbl>
      <w:tblPr>
        <w:tblStyle w:val="87"/>
        <w:tblW w:w="871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56"/>
        <w:gridCol w:w="1993"/>
        <w:gridCol w:w="1686"/>
        <w:gridCol w:w="1137"/>
        <w:gridCol w:w="1587"/>
        <w:gridCol w:w="136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80" w:hRule="atLeast"/>
          <w:tblHeader/>
          <w:jc w:val="center"/>
        </w:trPr>
        <w:tc>
          <w:tcPr>
            <w:tcW w:w="956"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1993"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主项名称</w:t>
            </w:r>
          </w:p>
        </w:tc>
        <w:tc>
          <w:tcPr>
            <w:tcW w:w="1686"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火灾危险性分类</w:t>
            </w:r>
          </w:p>
        </w:tc>
        <w:tc>
          <w:tcPr>
            <w:tcW w:w="1137"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通风方式</w:t>
            </w:r>
          </w:p>
        </w:tc>
        <w:tc>
          <w:tcPr>
            <w:tcW w:w="1587"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换气次数次/h</w:t>
            </w:r>
          </w:p>
        </w:tc>
        <w:tc>
          <w:tcPr>
            <w:tcW w:w="1360"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换气量m</w:t>
            </w:r>
            <w:r>
              <w:rPr>
                <w:rFonts w:ascii="Times New Roman" w:hAnsi="Times New Roman" w:eastAsia="宋体"/>
                <w:color w:val="000000" w:themeColor="text1"/>
                <w:vertAlign w:val="super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956"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1993"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综合仓库</w:t>
            </w:r>
          </w:p>
        </w:tc>
        <w:tc>
          <w:tcPr>
            <w:tcW w:w="1686"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戊类</w:t>
            </w:r>
          </w:p>
        </w:tc>
        <w:tc>
          <w:tcPr>
            <w:tcW w:w="1137"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机械通风</w:t>
            </w:r>
          </w:p>
        </w:tc>
        <w:tc>
          <w:tcPr>
            <w:tcW w:w="1587"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360" w:type="dxa"/>
            <w:vAlign w:val="center"/>
          </w:tcPr>
          <w:p>
            <w:pPr>
              <w:pStyle w:val="171"/>
              <w:widowControl w:val="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13936</w:t>
            </w:r>
          </w:p>
        </w:tc>
      </w:tr>
    </w:tbl>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162" w:name="_Toc7609"/>
      <w:bookmarkStart w:id="163" w:name="_Toc19962"/>
      <w:bookmarkStart w:id="164" w:name="_Toc3362"/>
      <w:r>
        <w:rPr>
          <w:rFonts w:hint="eastAsia" w:ascii="Times New Roman" w:hAnsi="Times New Roman" w:eastAsia="黑体"/>
          <w:b/>
          <w:color w:val="000000" w:themeColor="text1"/>
          <w:sz w:val="28"/>
          <w:szCs w:val="28"/>
          <w:lang w:val="en-US" w:eastAsia="zh-CN"/>
          <w14:textFill>
            <w14:solidFill>
              <w14:schemeClr w14:val="tx1"/>
            </w14:solidFill>
          </w14:textFill>
        </w:rPr>
        <w:t>3</w:t>
      </w:r>
      <w:r>
        <w:rPr>
          <w:rFonts w:ascii="Times New Roman" w:hAnsi="Times New Roman" w:eastAsia="黑体"/>
          <w:b/>
          <w:color w:val="000000" w:themeColor="text1"/>
          <w:sz w:val="28"/>
          <w:szCs w:val="28"/>
          <w14:textFill>
            <w14:solidFill>
              <w14:schemeClr w14:val="tx1"/>
            </w14:solidFill>
          </w14:textFill>
        </w:rPr>
        <w:t>.5.3</w:t>
      </w:r>
      <w:r>
        <w:rPr>
          <w:rFonts w:hint="eastAsia" w:ascii="黑体" w:hAnsi="黑体" w:eastAsia="黑体"/>
          <w:b/>
          <w:color w:val="000000" w:themeColor="text1"/>
          <w:sz w:val="28"/>
          <w:szCs w:val="28"/>
          <w14:textFill>
            <w14:solidFill>
              <w14:schemeClr w14:val="tx1"/>
            </w14:solidFill>
          </w14:textFill>
        </w:rPr>
        <w:t>储运工程</w:t>
      </w:r>
      <w:bookmarkEnd w:id="162"/>
      <w:bookmarkEnd w:id="163"/>
      <w:bookmarkEnd w:id="164"/>
    </w:p>
    <w:p>
      <w:pPr>
        <w:spacing w:line="520" w:lineRule="exact"/>
        <w:ind w:firstLine="480" w:firstLineChars="200"/>
        <w:rPr>
          <w:rFonts w:ascii="Times New Roman" w:hAnsi="Times New Roman"/>
          <w:color w:val="000000" w:themeColor="text1"/>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本项目建设综合仓库及罐区各1座</w:t>
      </w:r>
      <w:r>
        <w:rPr>
          <w:rFonts w:hint="eastAsia" w:eastAsiaTheme="minorEastAsia"/>
          <w:color w:val="000000" w:themeColor="text1"/>
          <w:sz w:val="24"/>
          <w14:textFill>
            <w14:solidFill>
              <w14:schemeClr w14:val="tx1"/>
            </w14:solidFill>
          </w14:textFill>
        </w:rPr>
        <w:t>，可满足生产原料及产品的存放要求。本项目</w:t>
      </w:r>
      <w:r>
        <w:rPr>
          <w:rFonts w:hint="eastAsia" w:ascii="Times New Roman" w:hAnsi="Times New Roman" w:eastAsiaTheme="minorEastAsia" w:cstheme="minorBidi"/>
          <w:color w:val="000000" w:themeColor="text1"/>
          <w:sz w:val="24"/>
          <w:szCs w:val="22"/>
          <w14:textFill>
            <w14:solidFill>
              <w14:schemeClr w14:val="tx1"/>
            </w14:solidFill>
          </w14:textFill>
        </w:rPr>
        <w:t>罐区位于厂区西北侧，装卸区布置在罐区南侧，综合仓库位于厂区东南侧。</w:t>
      </w:r>
    </w:p>
    <w:p>
      <w:pPr>
        <w:pStyle w:val="433"/>
        <w:spacing w:before="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综合仓库</w:t>
      </w:r>
    </w:p>
    <w:p>
      <w:pPr>
        <w:pStyle w:val="433"/>
        <w:spacing w:before="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w:t>
      </w:r>
      <w:r>
        <w:rPr>
          <w:rFonts w:hint="eastAsia" w:ascii="Times New Roman" w:hAnsi="Times New Roman"/>
          <w:color w:val="000000" w:themeColor="text1"/>
          <w14:textFill>
            <w14:solidFill>
              <w14:schemeClr w14:val="tx1"/>
            </w14:solidFill>
          </w14:textFill>
        </w:rPr>
        <w:t>综合</w:t>
      </w:r>
      <w:r>
        <w:rPr>
          <w:rFonts w:ascii="Times New Roman" w:hAnsi="Times New Roman"/>
          <w:color w:val="000000" w:themeColor="text1"/>
          <w14:textFill>
            <w14:solidFill>
              <w14:schemeClr w14:val="tx1"/>
            </w14:solidFill>
          </w14:textFill>
        </w:rPr>
        <w:t>仓库占地</w:t>
      </w:r>
      <w:r>
        <w:rPr>
          <w:rFonts w:hint="eastAsia" w:ascii="Times New Roman" w:hAnsi="Times New Roman"/>
          <w:color w:val="000000" w:themeColor="text1"/>
          <w14:textFill>
            <w14:solidFill>
              <w14:schemeClr w14:val="tx1"/>
            </w14:solidFill>
          </w14:textFill>
        </w:rPr>
        <w:t>1453.39m</w:t>
      </w:r>
      <w:r>
        <w:rPr>
          <w:rFonts w:hint="eastAsia" w:ascii="Times New Roman" w:hAnsi="Times New Roman"/>
          <w:color w:val="000000" w:themeColor="text1"/>
          <w:vertAlign w:val="super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，建筑高度9m，为单层建筑</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主要用于存放原料氯化钠、熟石灰、聚丙烯酰胺、除氟药剂及产品氟硅酸钠。</w:t>
      </w:r>
    </w:p>
    <w:p>
      <w:pPr>
        <w:pStyle w:val="433"/>
        <w:spacing w:before="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罐区</w:t>
      </w:r>
    </w:p>
    <w:p>
      <w:pPr>
        <w:spacing w:line="520" w:lineRule="exact"/>
        <w:ind w:firstLine="480" w:firstLineChars="200"/>
        <w:rPr>
          <w:rFonts w:ascii="Times New Roman" w:hAnsi="Times New Roman" w:eastAsiaTheme="minorEastAsia" w:cstheme="minorBidi"/>
          <w:color w:val="000000" w:themeColor="text1"/>
          <w:sz w:val="24"/>
          <w:szCs w:val="22"/>
          <w14:textFill>
            <w14:solidFill>
              <w14:schemeClr w14:val="tx1"/>
            </w14:solidFill>
          </w14:textFill>
        </w:rPr>
      </w:pPr>
      <w:r>
        <w:rPr>
          <w:rFonts w:hint="eastAsia" w:ascii="Times New Roman" w:hAnsi="Times New Roman" w:eastAsiaTheme="minorEastAsia" w:cstheme="minorBidi"/>
          <w:color w:val="000000" w:themeColor="text1"/>
          <w:sz w:val="24"/>
          <w:szCs w:val="22"/>
          <w14:textFill>
            <w14:solidFill>
              <w14:schemeClr w14:val="tx1"/>
            </w14:solidFill>
          </w14:textFill>
        </w:rPr>
        <w:t>新建罐区占地面积为1332.24m</w:t>
      </w:r>
      <w:r>
        <w:rPr>
          <w:rFonts w:hint="eastAsia" w:ascii="Times New Roman" w:hAnsi="Times New Roman" w:eastAsiaTheme="minorEastAsia" w:cstheme="minorBidi"/>
          <w:color w:val="000000" w:themeColor="text1"/>
          <w:sz w:val="24"/>
          <w:szCs w:val="22"/>
          <w:vertAlign w:val="superscript"/>
          <w14:textFill>
            <w14:solidFill>
              <w14:schemeClr w14:val="tx1"/>
            </w14:solidFill>
          </w14:textFill>
        </w:rPr>
        <w:t>2</w:t>
      </w:r>
      <w:r>
        <w:rPr>
          <w:rFonts w:hint="eastAsia" w:ascii="Times New Roman" w:hAnsi="Times New Roman" w:eastAsiaTheme="minorEastAsia" w:cstheme="minorBidi"/>
          <w:color w:val="000000" w:themeColor="text1"/>
          <w:sz w:val="24"/>
          <w:szCs w:val="22"/>
          <w14:textFill>
            <w14:solidFill>
              <w14:schemeClr w14:val="tx1"/>
            </w14:solidFill>
          </w14:textFill>
        </w:rPr>
        <w:t>，共建设氟硅酸储槽（20%氟硅酸溶液）2台，单罐容积200m</w:t>
      </w:r>
      <w:r>
        <w:rPr>
          <w:rFonts w:hint="eastAsia" w:ascii="Times New Roman" w:hAnsi="Times New Roman" w:eastAsiaTheme="minorEastAsia" w:cstheme="minorBidi"/>
          <w:color w:val="000000" w:themeColor="text1"/>
          <w:sz w:val="24"/>
          <w:szCs w:val="22"/>
          <w:vertAlign w:val="superscript"/>
          <w14:textFill>
            <w14:solidFill>
              <w14:schemeClr w14:val="tx1"/>
            </w14:solidFill>
          </w14:textFill>
        </w:rPr>
        <w:t>3</w:t>
      </w:r>
      <w:r>
        <w:rPr>
          <w:rFonts w:hint="eastAsia" w:ascii="Times New Roman" w:hAnsi="Times New Roman" w:eastAsiaTheme="minorEastAsia" w:cstheme="minorBidi"/>
          <w:color w:val="000000" w:themeColor="text1"/>
          <w:sz w:val="24"/>
          <w:szCs w:val="22"/>
          <w14:textFill>
            <w14:solidFill>
              <w14:schemeClr w14:val="tx1"/>
            </w14:solidFill>
          </w14:textFill>
        </w:rPr>
        <w:t>；废酸储槽（氟硅酸15%，氢氟酸2%）2台，成品液钙储槽（30%氯化钙溶液）2台，单罐容积400m</w:t>
      </w:r>
      <w:r>
        <w:rPr>
          <w:rFonts w:hint="eastAsia" w:ascii="Times New Roman" w:hAnsi="Times New Roman" w:eastAsiaTheme="minorEastAsia" w:cstheme="minorBidi"/>
          <w:color w:val="000000" w:themeColor="text1"/>
          <w:sz w:val="24"/>
          <w:szCs w:val="22"/>
          <w:vertAlign w:val="superscript"/>
          <w14:textFill>
            <w14:solidFill>
              <w14:schemeClr w14:val="tx1"/>
            </w14:solidFill>
          </w14:textFill>
        </w:rPr>
        <w:t>3</w:t>
      </w:r>
      <w:r>
        <w:rPr>
          <w:rFonts w:hint="eastAsia" w:ascii="Times New Roman" w:hAnsi="Times New Roman" w:eastAsiaTheme="minorEastAsia" w:cstheme="minorBidi"/>
          <w:color w:val="000000" w:themeColor="text1"/>
          <w:sz w:val="24"/>
          <w:szCs w:val="22"/>
          <w14:textFill>
            <w14:solidFill>
              <w14:schemeClr w14:val="tx1"/>
            </w14:solidFill>
          </w14:textFill>
        </w:rPr>
        <w:t>；粗钙液储槽2台，单罐容积400m</w:t>
      </w:r>
      <w:r>
        <w:rPr>
          <w:rFonts w:hint="eastAsia" w:ascii="Times New Roman" w:hAnsi="Times New Roman" w:eastAsiaTheme="minorEastAsia" w:cstheme="minorBidi"/>
          <w:color w:val="000000" w:themeColor="text1"/>
          <w:sz w:val="24"/>
          <w:szCs w:val="22"/>
          <w:vertAlign w:val="superscript"/>
          <w14:textFill>
            <w14:solidFill>
              <w14:schemeClr w14:val="tx1"/>
            </w14:solidFill>
          </w14:textFill>
        </w:rPr>
        <w:t>3</w:t>
      </w:r>
      <w:r>
        <w:rPr>
          <w:rFonts w:hint="eastAsia" w:ascii="Times New Roman" w:hAnsi="Times New Roman" w:eastAsiaTheme="minorEastAsia" w:cstheme="minorBidi"/>
          <w:color w:val="000000" w:themeColor="text1"/>
          <w:sz w:val="24"/>
          <w:szCs w:val="22"/>
          <w14:textFill>
            <w14:solidFill>
              <w14:schemeClr w14:val="tx1"/>
            </w14:solidFill>
          </w14:textFill>
        </w:rPr>
        <w:t>。</w:t>
      </w:r>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65" w:name="_Toc5483"/>
      <w:bookmarkStart w:id="166" w:name="_Toc12802"/>
      <w:bookmarkStart w:id="167" w:name="_Toc17110"/>
      <w:bookmarkStart w:id="168" w:name="_Toc22694"/>
      <w:bookmarkStart w:id="169" w:name="_Toc7008"/>
      <w:bookmarkStart w:id="170" w:name="_Toc267923632"/>
      <w:bookmarkStart w:id="171" w:name="_Toc325552411"/>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.6</w:t>
      </w:r>
      <w:r>
        <w:rPr>
          <w:rFonts w:ascii="黑体" w:hAnsi="黑体" w:eastAsia="黑体"/>
          <w:b/>
          <w:color w:val="000000" w:themeColor="text1"/>
          <w:sz w:val="32"/>
          <w:szCs w:val="32"/>
          <w14:textFill>
            <w14:solidFill>
              <w14:schemeClr w14:val="tx1"/>
            </w14:solidFill>
          </w14:textFill>
        </w:rPr>
        <w:t>主要原辅材料消耗</w:t>
      </w:r>
      <w:bookmarkEnd w:id="165"/>
      <w:bookmarkEnd w:id="166"/>
      <w:bookmarkEnd w:id="167"/>
      <w:r>
        <w:rPr>
          <w:rFonts w:hint="eastAsia" w:ascii="黑体" w:hAnsi="黑体" w:eastAsia="黑体"/>
          <w:b/>
          <w:color w:val="000000" w:themeColor="text1"/>
          <w:sz w:val="32"/>
          <w:szCs w:val="32"/>
          <w14:textFill>
            <w14:solidFill>
              <w14:schemeClr w14:val="tx1"/>
            </w14:solidFill>
          </w14:textFill>
        </w:rPr>
        <w:t>情况</w:t>
      </w:r>
      <w:bookmarkEnd w:id="168"/>
      <w:bookmarkEnd w:id="169"/>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172" w:name="_Toc5326"/>
      <w:bookmarkStart w:id="173" w:name="_Toc9554"/>
      <w:bookmarkStart w:id="174" w:name="_Toc27312"/>
      <w:r>
        <w:rPr>
          <w:rFonts w:hint="eastAsia" w:ascii="Times New Roman" w:hAnsi="Times New Roman" w:eastAsia="黑体"/>
          <w:b/>
          <w:color w:val="000000" w:themeColor="text1"/>
          <w:sz w:val="28"/>
          <w:szCs w:val="28"/>
          <w:lang w:val="en-US" w:eastAsia="zh-CN"/>
          <w14:textFill>
            <w14:solidFill>
              <w14:schemeClr w14:val="tx1"/>
            </w14:solidFill>
          </w14:textFill>
        </w:rPr>
        <w:t>3</w:t>
      </w:r>
      <w:r>
        <w:rPr>
          <w:rFonts w:ascii="Times New Roman" w:hAnsi="Times New Roman" w:eastAsia="黑体"/>
          <w:b/>
          <w:color w:val="000000" w:themeColor="text1"/>
          <w:sz w:val="28"/>
          <w:szCs w:val="28"/>
          <w14:textFill>
            <w14:solidFill>
              <w14:schemeClr w14:val="tx1"/>
            </w14:solidFill>
          </w14:textFill>
        </w:rPr>
        <w:t>.6.1</w:t>
      </w:r>
      <w:r>
        <w:rPr>
          <w:rFonts w:hint="eastAsia" w:ascii="黑体" w:hAnsi="黑体" w:eastAsia="黑体"/>
          <w:b/>
          <w:color w:val="000000" w:themeColor="text1"/>
          <w:sz w:val="28"/>
          <w:szCs w:val="28"/>
          <w14:textFill>
            <w14:solidFill>
              <w14:schemeClr w14:val="tx1"/>
            </w14:solidFill>
          </w14:textFill>
        </w:rPr>
        <w:t>原辅材料消耗情况</w:t>
      </w:r>
      <w:bookmarkEnd w:id="172"/>
      <w:bookmarkEnd w:id="173"/>
      <w:bookmarkEnd w:id="174"/>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本项目主要原辅材料消耗情况详见表</w:t>
      </w:r>
      <w:r>
        <w:rPr>
          <w:rFonts w:hint="eastAsia" w:ascii="Times New Roman" w:hAnsi="Times New Roman" w:eastAsiaTheme="minorEastAsia"/>
          <w:color w:val="000000" w:themeColor="text1"/>
          <w:sz w:val="24"/>
          <w:lang w:val="en-US" w:eastAsia="zh-CN"/>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.6-1</w:t>
      </w:r>
      <w:r>
        <w:rPr>
          <w:rFonts w:hint="eastAsia" w:ascii="Times New Roman" w:hAnsi="Times New Roman" w:eastAsiaTheme="minorEastAsia"/>
          <w:color w:val="000000" w:themeColor="text1"/>
          <w:sz w:val="24"/>
          <w14:textFill>
            <w14:solidFill>
              <w14:schemeClr w14:val="tx1"/>
            </w14:solidFill>
          </w14:textFill>
        </w:rPr>
        <w:t>。</w:t>
      </w:r>
    </w:p>
    <w:p>
      <w:pPr>
        <w:spacing w:line="520" w:lineRule="exact"/>
        <w:jc w:val="center"/>
        <w:rPr>
          <w:rFonts w:ascii="Times New Roman" w:hAnsiTheme="minorEastAsia" w:eastAsiaTheme="minorEastAsia"/>
          <w:b/>
          <w:color w:val="000000" w:themeColor="text1"/>
          <w:sz w:val="24"/>
          <w14:textFill>
            <w14:solidFill>
              <w14:schemeClr w14:val="tx1"/>
            </w14:solidFill>
          </w14:textFill>
        </w:rPr>
      </w:pPr>
      <w:r>
        <w:rPr>
          <w:rFonts w:ascii="Times New Roman" w:hAnsiTheme="minorEastAsia" w:eastAsiaTheme="minorEastAsia"/>
          <w:b/>
          <w:color w:val="000000" w:themeColor="text1"/>
          <w:sz w:val="24"/>
          <w14:textFill>
            <w14:solidFill>
              <w14:schemeClr w14:val="tx1"/>
            </w14:solidFill>
          </w14:textFill>
        </w:rPr>
        <w:t>表</w:t>
      </w:r>
      <w:r>
        <w:rPr>
          <w:rFonts w:hint="eastAsia" w:ascii="Times New Roman" w:hAnsiTheme="minorEastAsia" w:eastAsiaTheme="minorEastAsia"/>
          <w:b/>
          <w:color w:val="000000" w:themeColor="text1"/>
          <w:sz w:val="24"/>
          <w:lang w:val="en-US" w:eastAsia="zh-CN"/>
          <w14:textFill>
            <w14:solidFill>
              <w14:schemeClr w14:val="tx1"/>
            </w14:solidFill>
          </w14:textFill>
        </w:rPr>
        <w:t>3</w:t>
      </w:r>
      <w:r>
        <w:rPr>
          <w:rFonts w:hint="eastAsia" w:ascii="Times New Roman" w:hAnsiTheme="minorEastAsia" w:eastAsiaTheme="minorEastAsia"/>
          <w:b/>
          <w:color w:val="000000" w:themeColor="text1"/>
          <w:sz w:val="24"/>
          <w14:textFill>
            <w14:solidFill>
              <w14:schemeClr w14:val="tx1"/>
            </w14:solidFill>
          </w14:textFill>
        </w:rPr>
        <w:t>.6-1</w:t>
      </w:r>
      <w:r>
        <w:rPr>
          <w:rFonts w:ascii="Times New Roman" w:hAnsi="Times New Roman" w:eastAsiaTheme="minorEastAsia"/>
          <w:b/>
          <w:color w:val="000000" w:themeColor="text1"/>
          <w:sz w:val="24"/>
          <w14:textFill>
            <w14:solidFill>
              <w14:schemeClr w14:val="tx1"/>
            </w14:solidFill>
          </w14:textFill>
        </w:rPr>
        <w:t xml:space="preserve"> </w:t>
      </w:r>
      <w:r>
        <w:rPr>
          <w:rFonts w:hint="eastAsia" w:ascii="Times New Roman" w:hAnsiTheme="minorEastAsia" w:eastAsiaTheme="minorEastAsia"/>
          <w:b/>
          <w:color w:val="000000" w:themeColor="text1"/>
          <w:sz w:val="24"/>
          <w14:textFill>
            <w14:solidFill>
              <w14:schemeClr w14:val="tx1"/>
            </w14:solidFill>
          </w14:textFill>
        </w:rPr>
        <w:t>主要原辅材料用量及运输方式一览表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93"/>
        <w:gridCol w:w="1550"/>
        <w:gridCol w:w="1545"/>
        <w:gridCol w:w="1920"/>
        <w:gridCol w:w="1453"/>
        <w:gridCol w:w="1067"/>
        <w:gridCol w:w="10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1550" w:type="dxa"/>
            <w:shd w:val="clear" w:color="auto" w:fill="auto"/>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物料</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年用量（t/a）</w:t>
            </w:r>
          </w:p>
        </w:tc>
        <w:tc>
          <w:tcPr>
            <w:tcW w:w="1920" w:type="dxa"/>
            <w:shd w:val="clear" w:color="000000" w:fill="FFFFFF"/>
            <w:vAlign w:val="center"/>
          </w:tcPr>
          <w:p>
            <w:pPr>
              <w:widowControl/>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包装形式</w:t>
            </w:r>
          </w:p>
        </w:tc>
        <w:tc>
          <w:tcPr>
            <w:tcW w:w="1453" w:type="dxa"/>
            <w:shd w:val="clear" w:color="000000" w:fill="FFFFFF"/>
            <w:vAlign w:val="center"/>
          </w:tcPr>
          <w:p>
            <w:pPr>
              <w:widowControl/>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技术参数</w:t>
            </w:r>
          </w:p>
        </w:tc>
        <w:tc>
          <w:tcPr>
            <w:tcW w:w="1067" w:type="dxa"/>
            <w:shd w:val="clear" w:color="000000" w:fill="FFFFFF"/>
            <w:vAlign w:val="center"/>
          </w:tcPr>
          <w:p>
            <w:pPr>
              <w:widowControl/>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运输方式</w:t>
            </w:r>
          </w:p>
        </w:tc>
        <w:tc>
          <w:tcPr>
            <w:tcW w:w="1067" w:type="dxa"/>
            <w:shd w:val="clear" w:color="000000" w:fill="FFFFFF"/>
            <w:vAlign w:val="center"/>
          </w:tcPr>
          <w:p>
            <w:pPr>
              <w:widowControl/>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存放位置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氟硅酸</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3</w:t>
            </w:r>
            <w:r>
              <w:rPr>
                <w:rFonts w:ascii="Times New Roman" w:hAnsi="Times New Roman"/>
                <w:color w:val="000000" w:themeColor="text1"/>
                <w:kern w:val="0"/>
                <w:szCs w:val="21"/>
                <w14:textFill>
                  <w14:solidFill>
                    <w14:schemeClr w14:val="tx1"/>
                  </w14:solidFill>
                </w14:textFill>
              </w:rPr>
              <w:t>9850</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槽车</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wt%20%</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槽车运输</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废酸</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20000</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槽车</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氟硅酸15%，氢氟酸</w:t>
            </w:r>
            <w:r>
              <w:rPr>
                <w:rFonts w:hint="eastAsia" w:ascii="Times New Roman" w:hAnsi="Times New Roman"/>
                <w:color w:val="000000" w:themeColor="text1"/>
                <w:kern w:val="0"/>
                <w:szCs w:val="21"/>
                <w14:textFill>
                  <w14:solidFill>
                    <w14:schemeClr w14:val="tx1"/>
                  </w14:solidFill>
                </w14:textFill>
              </w:rPr>
              <w:t>2</w:t>
            </w:r>
            <w:r>
              <w:rPr>
                <w:rFonts w:ascii="Times New Roman" w:hAnsi="Times New Roman"/>
                <w:color w:val="000000" w:themeColor="text1"/>
                <w:kern w:val="0"/>
                <w:szCs w:val="21"/>
                <w14:textFill>
                  <w14:solidFill>
                    <w14:schemeClr w14:val="tx1"/>
                  </w14:solidFill>
                </w14:textFill>
              </w:rPr>
              <w:t>%</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槽车运输</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氯化钠</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10650</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编织袋</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wt%≥96%</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汽车运输</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综合仓库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熟石灰</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12300</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编织袋</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wt%≥85%</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汽车运输</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综合仓库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聚丙烯酰胺</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30</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编织袋</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汽车运输</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综合仓库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5</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除氟药剂</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46.5</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桶装</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汽车运输</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综合仓库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6</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硅胶</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800</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桶装</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w:t>
            </w:r>
          </w:p>
        </w:tc>
        <w:tc>
          <w:tcPr>
            <w:tcW w:w="1067" w:type="dxa"/>
            <w:shd w:val="clear" w:color="auto" w:fill="auto"/>
            <w:vAlign w:val="center"/>
          </w:tcPr>
          <w:p>
            <w:pPr>
              <w:widowControl/>
              <w:jc w:val="center"/>
              <w:rPr>
                <w:rFonts w:ascii="宋体" w:hAnsi="宋体" w:cs="宋体"/>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汽车运输</w:t>
            </w:r>
          </w:p>
        </w:tc>
        <w:tc>
          <w:tcPr>
            <w:tcW w:w="1067" w:type="dxa"/>
            <w:shd w:val="clear" w:color="auto" w:fill="auto"/>
            <w:vAlign w:val="center"/>
          </w:tcPr>
          <w:p>
            <w:pPr>
              <w:widowControl/>
              <w:jc w:val="center"/>
              <w:rPr>
                <w:rFonts w:ascii="宋体" w:hAnsi="宋体" w:cs="宋体"/>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综合仓库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9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7</w:t>
            </w:r>
          </w:p>
        </w:tc>
        <w:tc>
          <w:tcPr>
            <w:tcW w:w="155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氢氧化钠</w:t>
            </w:r>
          </w:p>
        </w:tc>
        <w:tc>
          <w:tcPr>
            <w:tcW w:w="154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0.1</w:t>
            </w:r>
          </w:p>
        </w:tc>
        <w:tc>
          <w:tcPr>
            <w:tcW w:w="192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袋装</w:t>
            </w:r>
          </w:p>
        </w:tc>
        <w:tc>
          <w:tcPr>
            <w:tcW w:w="1453"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98</w:t>
            </w:r>
            <w:r>
              <w:rPr>
                <w:rFonts w:ascii="Times New Roman" w:hAnsi="Times New Roman"/>
                <w:color w:val="000000" w:themeColor="text1"/>
                <w:kern w:val="0"/>
                <w:szCs w:val="21"/>
                <w14:textFill>
                  <w14:solidFill>
                    <w14:schemeClr w14:val="tx1"/>
                  </w14:solidFill>
                </w14:textFill>
              </w:rPr>
              <w:t>%</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汽车运输</w:t>
            </w:r>
          </w:p>
        </w:tc>
        <w:tc>
          <w:tcPr>
            <w:tcW w:w="106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综合仓库</w:t>
            </w:r>
          </w:p>
        </w:tc>
      </w:tr>
    </w:tbl>
    <w:p>
      <w:pPr>
        <w:adjustRightInd w:val="0"/>
        <w:snapToGrid w:val="0"/>
        <w:spacing w:line="520" w:lineRule="exact"/>
        <w:ind w:firstLine="482" w:firstLineChars="200"/>
        <w:jc w:val="center"/>
        <w:rPr>
          <w:rFonts w:ascii="Times New Roman" w:hAnsiTheme="minorEastAsia" w:eastAsiaTheme="minorEastAsia"/>
          <w:b/>
          <w:color w:val="000000" w:themeColor="text1"/>
          <w:sz w:val="24"/>
          <w:szCs w:val="24"/>
          <w14:textFill>
            <w14:solidFill>
              <w14:schemeClr w14:val="tx1"/>
            </w14:solidFill>
          </w14:textFill>
        </w:rPr>
      </w:pPr>
      <w:r>
        <w:rPr>
          <w:rFonts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heme="minorEastAsia" w:eastAsiaTheme="minorEastAsia"/>
          <w:b/>
          <w:color w:val="000000" w:themeColor="text1"/>
          <w:sz w:val="24"/>
          <w:szCs w:val="24"/>
          <w:lang w:val="en-US" w:eastAsia="zh-CN"/>
          <w14:textFill>
            <w14:solidFill>
              <w14:schemeClr w14:val="tx1"/>
            </w14:solidFill>
          </w14:textFill>
        </w:rPr>
        <w:t>3</w:t>
      </w:r>
      <w:r>
        <w:rPr>
          <w:rFonts w:hint="eastAsia" w:ascii="Times New Roman" w:hAnsiTheme="minorEastAsia" w:eastAsiaTheme="minorEastAsia"/>
          <w:b/>
          <w:color w:val="000000" w:themeColor="text1"/>
          <w:sz w:val="24"/>
          <w:szCs w:val="24"/>
          <w14:textFill>
            <w14:solidFill>
              <w14:schemeClr w14:val="tx1"/>
            </w14:solidFill>
          </w14:textFill>
        </w:rPr>
        <w:t>.6-2</w:t>
      </w:r>
      <w:r>
        <w:rPr>
          <w:rFonts w:ascii="Times New Roman" w:hAnsiTheme="minorEastAsia" w:eastAsiaTheme="minorEastAsia"/>
          <w:b/>
          <w:color w:val="000000" w:themeColor="text1"/>
          <w:sz w:val="24"/>
          <w:szCs w:val="24"/>
          <w14:textFill>
            <w14:solidFill>
              <w14:schemeClr w14:val="tx1"/>
            </w14:solidFill>
          </w14:textFill>
        </w:rPr>
        <w:t xml:space="preserve">  </w:t>
      </w:r>
      <w:r>
        <w:rPr>
          <w:rFonts w:hint="eastAsia" w:ascii="Times New Roman" w:hAnsiTheme="minorEastAsia" w:eastAsiaTheme="minorEastAsia"/>
          <w:b/>
          <w:color w:val="000000" w:themeColor="text1"/>
          <w:sz w:val="24"/>
          <w:szCs w:val="24"/>
          <w14:textFill>
            <w14:solidFill>
              <w14:schemeClr w14:val="tx1"/>
            </w14:solidFill>
          </w14:textFill>
        </w:rPr>
        <w:t>拟建项目综合能耗量</w:t>
      </w:r>
      <w:r>
        <w:rPr>
          <w:rFonts w:ascii="Times New Roman" w:hAnsiTheme="minorEastAsia" w:eastAsiaTheme="minorEastAsia"/>
          <w:b/>
          <w:color w:val="000000" w:themeColor="text1"/>
          <w:sz w:val="24"/>
          <w:szCs w:val="24"/>
          <w14:textFill>
            <w14:solidFill>
              <w14:schemeClr w14:val="tx1"/>
            </w14:solidFill>
          </w14:textFill>
        </w:rPr>
        <w:t>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0"/>
        <w:gridCol w:w="1587"/>
        <w:gridCol w:w="1269"/>
        <w:gridCol w:w="1575"/>
        <w:gridCol w:w="37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序号</w:t>
            </w:r>
          </w:p>
        </w:tc>
        <w:tc>
          <w:tcPr>
            <w:tcW w:w="158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能耗项目</w:t>
            </w:r>
          </w:p>
        </w:tc>
        <w:tc>
          <w:tcPr>
            <w:tcW w:w="126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耗能单位</w:t>
            </w:r>
            <w:r>
              <w:rPr>
                <w:rFonts w:ascii="Times New Roman" w:hAnsi="Times New Roman"/>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年</w:t>
            </w:r>
          </w:p>
        </w:tc>
        <w:tc>
          <w:tcPr>
            <w:tcW w:w="157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年耗量</w:t>
            </w:r>
          </w:p>
        </w:tc>
        <w:tc>
          <w:tcPr>
            <w:tcW w:w="370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供应方式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58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w:t>
            </w:r>
          </w:p>
        </w:tc>
        <w:tc>
          <w:tcPr>
            <w:tcW w:w="126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万</w:t>
            </w:r>
            <w:r>
              <w:rPr>
                <w:rFonts w:ascii="Times New Roman" w:hAnsi="Times New Roman"/>
                <w:color w:val="000000" w:themeColor="text1"/>
                <w:kern w:val="0"/>
                <w:szCs w:val="21"/>
                <w14:textFill>
                  <w14:solidFill>
                    <w14:schemeClr w14:val="tx1"/>
                  </w14:solidFill>
                </w14:textFill>
              </w:rPr>
              <w:t>kWh</w:t>
            </w:r>
          </w:p>
        </w:tc>
        <w:tc>
          <w:tcPr>
            <w:tcW w:w="157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668.736</w:t>
            </w:r>
          </w:p>
        </w:tc>
        <w:tc>
          <w:tcPr>
            <w:tcW w:w="370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园区电网接入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58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蒸汽（0.6MPa(G)）</w:t>
            </w:r>
          </w:p>
        </w:tc>
        <w:tc>
          <w:tcPr>
            <w:tcW w:w="126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吨</w:t>
            </w:r>
          </w:p>
        </w:tc>
        <w:tc>
          <w:tcPr>
            <w:tcW w:w="157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20736</w:t>
            </w:r>
          </w:p>
        </w:tc>
        <w:tc>
          <w:tcPr>
            <w:tcW w:w="370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园区集中供热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158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一次水</w:t>
            </w:r>
            <w:r>
              <w:rPr>
                <w:rFonts w:hint="eastAsia" w:ascii="Times New Roman" w:hAnsi="Times New Roman"/>
                <w:color w:val="000000" w:themeColor="text1"/>
                <w:kern w:val="0"/>
                <w:szCs w:val="21"/>
                <w14:textFill>
                  <w14:solidFill>
                    <w14:schemeClr w14:val="tx1"/>
                  </w14:solidFill>
                </w14:textFill>
              </w:rPr>
              <w:t>（0</w:t>
            </w:r>
            <w:r>
              <w:rPr>
                <w:rFonts w:ascii="Times New Roman" w:hAnsi="Times New Roman"/>
                <w:color w:val="000000" w:themeColor="text1"/>
                <w:kern w:val="0"/>
                <w:szCs w:val="21"/>
                <w14:textFill>
                  <w14:solidFill>
                    <w14:schemeClr w14:val="tx1"/>
                  </w14:solidFill>
                </w14:textFill>
              </w:rPr>
              <w:t>.45</w:t>
            </w:r>
            <w:r>
              <w:rPr>
                <w:rFonts w:hint="eastAsia" w:ascii="Times New Roman" w:hAnsi="Times New Roman"/>
                <w:color w:val="000000" w:themeColor="text1"/>
                <w:kern w:val="0"/>
                <w:szCs w:val="21"/>
                <w14:textFill>
                  <w14:solidFill>
                    <w14:schemeClr w14:val="tx1"/>
                  </w14:solidFill>
                </w14:textFill>
              </w:rPr>
              <w:t>MPa）</w:t>
            </w:r>
          </w:p>
        </w:tc>
        <w:tc>
          <w:tcPr>
            <w:tcW w:w="126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吨</w:t>
            </w:r>
          </w:p>
        </w:tc>
        <w:tc>
          <w:tcPr>
            <w:tcW w:w="157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829.324</w:t>
            </w:r>
          </w:p>
        </w:tc>
        <w:tc>
          <w:tcPr>
            <w:tcW w:w="370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园区市政给水管道引入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w:t>
            </w:r>
          </w:p>
        </w:tc>
        <w:tc>
          <w:tcPr>
            <w:tcW w:w="158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循环水</w:t>
            </w:r>
          </w:p>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（△t</w:t>
            </w:r>
            <w:r>
              <w:rPr>
                <w:rFonts w:ascii="Times New Roman" w:hAnsi="Times New Roman"/>
                <w:color w:val="000000" w:themeColor="text1"/>
                <w:kern w:val="0"/>
                <w:szCs w:val="21"/>
                <w14:textFill>
                  <w14:solidFill>
                    <w14:schemeClr w14:val="tx1"/>
                  </w14:solidFill>
                </w14:textFill>
              </w:rPr>
              <w:t>=8</w:t>
            </w:r>
            <w:r>
              <w:rPr>
                <w:rFonts w:hint="eastAsia" w:ascii="Times New Roman" w:hAnsi="Times New Roman"/>
                <w:color w:val="000000" w:themeColor="text1"/>
                <w:kern w:val="0"/>
                <w:szCs w:val="21"/>
                <w14:textFill>
                  <w14:solidFill>
                    <w14:schemeClr w14:val="tx1"/>
                  </w14:solidFill>
                </w14:textFill>
              </w:rPr>
              <w:t>℃）</w:t>
            </w:r>
          </w:p>
        </w:tc>
        <w:tc>
          <w:tcPr>
            <w:tcW w:w="126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吨</w:t>
            </w:r>
          </w:p>
        </w:tc>
        <w:tc>
          <w:tcPr>
            <w:tcW w:w="157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3662136</w:t>
            </w:r>
          </w:p>
        </w:tc>
        <w:tc>
          <w:tcPr>
            <w:tcW w:w="370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自制，循环使用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5</w:t>
            </w:r>
          </w:p>
        </w:tc>
        <w:tc>
          <w:tcPr>
            <w:tcW w:w="158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工艺空气（1.0Mpa）</w:t>
            </w:r>
          </w:p>
        </w:tc>
        <w:tc>
          <w:tcPr>
            <w:tcW w:w="126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p>
        </w:tc>
        <w:tc>
          <w:tcPr>
            <w:tcW w:w="157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2160000</w:t>
            </w:r>
          </w:p>
        </w:tc>
        <w:tc>
          <w:tcPr>
            <w:tcW w:w="370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空压机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w:t>
            </w:r>
          </w:p>
        </w:tc>
        <w:tc>
          <w:tcPr>
            <w:tcW w:w="158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仪表空气（0.7MPa）</w:t>
            </w:r>
          </w:p>
        </w:tc>
        <w:tc>
          <w:tcPr>
            <w:tcW w:w="126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m</w:t>
            </w:r>
            <w:r>
              <w:rPr>
                <w:rFonts w:ascii="Times New Roman" w:hAnsi="Times New Roman"/>
                <w:color w:val="000000" w:themeColor="text1"/>
                <w:kern w:val="0"/>
                <w:szCs w:val="21"/>
                <w:vertAlign w:val="superscript"/>
                <w14:textFill>
                  <w14:solidFill>
                    <w14:schemeClr w14:val="tx1"/>
                  </w14:solidFill>
                </w14:textFill>
              </w:rPr>
              <w:t>3</w:t>
            </w:r>
          </w:p>
        </w:tc>
        <w:tc>
          <w:tcPr>
            <w:tcW w:w="157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2160000</w:t>
            </w:r>
          </w:p>
        </w:tc>
        <w:tc>
          <w:tcPr>
            <w:tcW w:w="370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空压机</w:t>
            </w:r>
          </w:p>
        </w:tc>
      </w:tr>
    </w:tbl>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175" w:name="_Toc4497"/>
      <w:bookmarkStart w:id="176" w:name="_Toc9943"/>
      <w:bookmarkStart w:id="177" w:name="_Toc24663"/>
      <w:r>
        <w:rPr>
          <w:rFonts w:hint="eastAsia" w:ascii="Times New Roman" w:hAnsi="Times New Roman" w:eastAsia="黑体"/>
          <w:b/>
          <w:color w:val="000000" w:themeColor="text1"/>
          <w:sz w:val="28"/>
          <w:szCs w:val="28"/>
          <w:lang w:val="en-US" w:eastAsia="zh-CN"/>
          <w14:textFill>
            <w14:solidFill>
              <w14:schemeClr w14:val="tx1"/>
            </w14:solidFill>
          </w14:textFill>
        </w:rPr>
        <w:t>3</w:t>
      </w:r>
      <w:r>
        <w:rPr>
          <w:rFonts w:ascii="Times New Roman" w:hAnsi="Times New Roman" w:eastAsia="黑体"/>
          <w:b/>
          <w:color w:val="000000" w:themeColor="text1"/>
          <w:sz w:val="28"/>
          <w:szCs w:val="28"/>
          <w14:textFill>
            <w14:solidFill>
              <w14:schemeClr w14:val="tx1"/>
            </w14:solidFill>
          </w14:textFill>
        </w:rPr>
        <w:t>.6.</w:t>
      </w:r>
      <w:r>
        <w:rPr>
          <w:rFonts w:hint="eastAsia" w:ascii="Times New Roman" w:hAnsi="Times New Roman" w:eastAsia="黑体"/>
          <w:b/>
          <w:color w:val="000000" w:themeColor="text1"/>
          <w:sz w:val="28"/>
          <w:szCs w:val="28"/>
          <w:lang w:val="en-US" w:eastAsia="zh-CN"/>
          <w14:textFill>
            <w14:solidFill>
              <w14:schemeClr w14:val="tx1"/>
            </w14:solidFill>
          </w14:textFill>
        </w:rPr>
        <w:t>2</w:t>
      </w:r>
      <w:r>
        <w:rPr>
          <w:rFonts w:hint="eastAsia" w:ascii="黑体" w:hAnsi="黑体" w:eastAsia="黑体"/>
          <w:b/>
          <w:color w:val="000000" w:themeColor="text1"/>
          <w:sz w:val="28"/>
          <w:szCs w:val="28"/>
          <w14:textFill>
            <w14:solidFill>
              <w14:schemeClr w14:val="tx1"/>
            </w14:solidFill>
          </w14:textFill>
        </w:rPr>
        <w:t>本项目主要原辅材料理化性质</w:t>
      </w:r>
      <w:bookmarkEnd w:id="175"/>
      <w:bookmarkEnd w:id="176"/>
      <w:bookmarkEnd w:id="177"/>
    </w:p>
    <w:p>
      <w:pPr>
        <w:adjustRightInd w:val="0"/>
        <w:snapToGrid w:val="0"/>
        <w:spacing w:line="520" w:lineRule="exact"/>
        <w:ind w:firstLine="480" w:firstLineChars="200"/>
        <w:rPr>
          <w:rFonts w:ascii="Times New Roman" w:hAnsiTheme="minorEastAsia" w:eastAsiaTheme="minorEastAsia"/>
          <w:b/>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本项目</w:t>
      </w:r>
      <w:r>
        <w:rPr>
          <w:rFonts w:ascii="Times New Roman" w:hAnsiTheme="minorEastAsia" w:eastAsiaTheme="minorEastAsia"/>
          <w:color w:val="000000" w:themeColor="text1"/>
          <w:sz w:val="24"/>
          <w14:textFill>
            <w14:solidFill>
              <w14:schemeClr w14:val="tx1"/>
            </w14:solidFill>
          </w14:textFill>
        </w:rPr>
        <w:t>原辅材料理化性质具体见表</w:t>
      </w:r>
      <w:r>
        <w:rPr>
          <w:rFonts w:hint="eastAsia" w:ascii="Times New Roman" w:hAnsi="Times New Roman" w:eastAsiaTheme="minorEastAsia"/>
          <w:color w:val="000000" w:themeColor="text1"/>
          <w:sz w:val="24"/>
          <w:lang w:val="en-US" w:eastAsia="zh-CN"/>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.6-</w:t>
      </w:r>
      <w:r>
        <w:rPr>
          <w:rFonts w:hint="eastAsia" w:ascii="Times New Roman" w:hAnsi="Times New Roman" w:eastAsiaTheme="minorEastAsia"/>
          <w:color w:val="000000" w:themeColor="text1"/>
          <w:sz w:val="24"/>
          <w:lang w:val="en-US" w:eastAsia="zh-CN"/>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w:t>
      </w:r>
    </w:p>
    <w:p>
      <w:pPr>
        <w:adjustRightInd w:val="0"/>
        <w:snapToGrid w:val="0"/>
        <w:spacing w:line="520" w:lineRule="exact"/>
        <w:ind w:firstLine="482" w:firstLineChars="200"/>
        <w:jc w:val="center"/>
        <w:rPr>
          <w:rFonts w:ascii="Times New Roman" w:hAnsiTheme="minorEastAsia" w:eastAsiaTheme="minorEastAsia"/>
          <w:b/>
          <w:color w:val="000000" w:themeColor="text1"/>
          <w:sz w:val="24"/>
          <w:szCs w:val="24"/>
          <w14:textFill>
            <w14:solidFill>
              <w14:schemeClr w14:val="tx1"/>
            </w14:solidFill>
          </w14:textFill>
        </w:rPr>
      </w:pPr>
    </w:p>
    <w:p>
      <w:pPr>
        <w:adjustRightInd w:val="0"/>
        <w:snapToGrid w:val="0"/>
        <w:spacing w:line="520" w:lineRule="exact"/>
        <w:ind w:firstLine="482" w:firstLineChars="200"/>
        <w:jc w:val="center"/>
        <w:rPr>
          <w:rFonts w:ascii="Times New Roman" w:hAnsiTheme="minorEastAsia" w:eastAsiaTheme="minorEastAsia"/>
          <w:b/>
          <w:color w:val="000000" w:themeColor="text1"/>
          <w:sz w:val="24"/>
          <w:szCs w:val="24"/>
          <w14:textFill>
            <w14:solidFill>
              <w14:schemeClr w14:val="tx1"/>
            </w14:solidFill>
          </w14:textFill>
        </w:rPr>
      </w:pPr>
    </w:p>
    <w:p>
      <w:pPr>
        <w:adjustRightInd w:val="0"/>
        <w:snapToGrid w:val="0"/>
        <w:spacing w:line="520" w:lineRule="exact"/>
        <w:ind w:firstLine="482" w:firstLineChars="200"/>
        <w:jc w:val="center"/>
        <w:rPr>
          <w:rFonts w:ascii="Times New Roman" w:hAnsiTheme="minorEastAsia" w:eastAsiaTheme="minorEastAsia"/>
          <w:b/>
          <w:color w:val="000000" w:themeColor="text1"/>
          <w:sz w:val="24"/>
          <w:szCs w:val="24"/>
          <w14:textFill>
            <w14:solidFill>
              <w14:schemeClr w14:val="tx1"/>
            </w14:solidFill>
          </w14:textFill>
        </w:rPr>
      </w:pPr>
    </w:p>
    <w:p>
      <w:pPr>
        <w:adjustRightInd w:val="0"/>
        <w:snapToGrid w:val="0"/>
        <w:spacing w:line="520" w:lineRule="exact"/>
        <w:ind w:firstLine="482" w:firstLineChars="200"/>
        <w:jc w:val="center"/>
        <w:rPr>
          <w:rFonts w:ascii="Times New Roman" w:hAnsiTheme="minorEastAsia" w:eastAsiaTheme="minorEastAsia"/>
          <w:b/>
          <w:color w:val="000000" w:themeColor="text1"/>
          <w:sz w:val="24"/>
          <w:szCs w:val="24"/>
          <w14:textFill>
            <w14:solidFill>
              <w14:schemeClr w14:val="tx1"/>
            </w14:solidFill>
          </w14:textFill>
        </w:rPr>
      </w:pPr>
    </w:p>
    <w:p>
      <w:pPr>
        <w:adjustRightInd w:val="0"/>
        <w:snapToGrid w:val="0"/>
        <w:spacing w:line="520" w:lineRule="exact"/>
        <w:ind w:firstLine="482" w:firstLineChars="200"/>
        <w:jc w:val="center"/>
        <w:rPr>
          <w:rFonts w:ascii="Times New Roman" w:hAnsiTheme="minorEastAsia" w:eastAsiaTheme="minorEastAsia"/>
          <w:b/>
          <w:color w:val="000000" w:themeColor="text1"/>
          <w:sz w:val="24"/>
          <w:szCs w:val="24"/>
          <w14:textFill>
            <w14:solidFill>
              <w14:schemeClr w14:val="tx1"/>
            </w14:solidFill>
          </w14:textFill>
        </w:rPr>
      </w:pPr>
      <w:r>
        <w:rPr>
          <w:rFonts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heme="minorEastAsia" w:eastAsiaTheme="minorEastAsia"/>
          <w:b/>
          <w:color w:val="000000" w:themeColor="text1"/>
          <w:sz w:val="24"/>
          <w:szCs w:val="24"/>
          <w:lang w:val="en-US" w:eastAsia="zh-CN"/>
          <w14:textFill>
            <w14:solidFill>
              <w14:schemeClr w14:val="tx1"/>
            </w14:solidFill>
          </w14:textFill>
        </w:rPr>
        <w:t>3</w:t>
      </w:r>
      <w:r>
        <w:rPr>
          <w:rFonts w:hint="eastAsia" w:ascii="Times New Roman" w:hAnsiTheme="minorEastAsia" w:eastAsiaTheme="minorEastAsia"/>
          <w:b/>
          <w:color w:val="000000" w:themeColor="text1"/>
          <w:sz w:val="24"/>
          <w:szCs w:val="24"/>
          <w14:textFill>
            <w14:solidFill>
              <w14:schemeClr w14:val="tx1"/>
            </w14:solidFill>
          </w14:textFill>
        </w:rPr>
        <w:t>.6-3</w:t>
      </w:r>
      <w:r>
        <w:rPr>
          <w:rFonts w:ascii="Times New Roman" w:hAnsiTheme="minorEastAsia" w:eastAsiaTheme="minorEastAsia"/>
          <w:b/>
          <w:color w:val="000000" w:themeColor="text1"/>
          <w:sz w:val="24"/>
          <w:szCs w:val="24"/>
          <w14:textFill>
            <w14:solidFill>
              <w14:schemeClr w14:val="tx1"/>
            </w14:solidFill>
          </w14:textFill>
        </w:rPr>
        <w:t xml:space="preserve"> </w:t>
      </w:r>
      <w:r>
        <w:rPr>
          <w:rFonts w:hint="eastAsia" w:ascii="Times New Roman" w:hAnsiTheme="minorEastAsia" w:eastAsiaTheme="minorEastAsia"/>
          <w:b/>
          <w:color w:val="000000" w:themeColor="text1"/>
          <w:sz w:val="24"/>
          <w:szCs w:val="24"/>
          <w14:textFill>
            <w14:solidFill>
              <w14:schemeClr w14:val="tx1"/>
            </w14:solidFill>
          </w14:textFill>
        </w:rPr>
        <w:t>拟建项目</w:t>
      </w:r>
      <w:r>
        <w:rPr>
          <w:rFonts w:ascii="Times New Roman" w:hAnsiTheme="minorEastAsia" w:eastAsiaTheme="minorEastAsia"/>
          <w:b/>
          <w:color w:val="000000" w:themeColor="text1"/>
          <w:sz w:val="24"/>
          <w:szCs w:val="24"/>
          <w14:textFill>
            <w14:solidFill>
              <w14:schemeClr w14:val="tx1"/>
            </w14:solidFill>
          </w14:textFill>
        </w:rPr>
        <w:t>主要化学品理化性质表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
      <w:tblGrid>
        <w:gridCol w:w="317"/>
        <w:gridCol w:w="689"/>
        <w:gridCol w:w="708"/>
        <w:gridCol w:w="1109"/>
        <w:gridCol w:w="3427"/>
        <w:gridCol w:w="1134"/>
        <w:gridCol w:w="1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序号</w:t>
            </w:r>
          </w:p>
        </w:tc>
        <w:tc>
          <w:tcPr>
            <w:tcW w:w="68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名称</w:t>
            </w:r>
          </w:p>
        </w:tc>
        <w:tc>
          <w:tcPr>
            <w:tcW w:w="708"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分子式</w:t>
            </w:r>
          </w:p>
        </w:tc>
        <w:tc>
          <w:tcPr>
            <w:tcW w:w="110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CAS</w:t>
            </w:r>
            <w:r>
              <w:rPr>
                <w:rFonts w:ascii="Times New Roman" w:hAnsi="宋体"/>
                <w:color w:val="000000" w:themeColor="text1"/>
                <w:kern w:val="0"/>
                <w:szCs w:val="21"/>
                <w14:textFill>
                  <w14:solidFill>
                    <w14:schemeClr w14:val="tx1"/>
                  </w14:solidFill>
                </w14:textFill>
              </w:rPr>
              <w:t>号</w:t>
            </w:r>
          </w:p>
        </w:tc>
        <w:tc>
          <w:tcPr>
            <w:tcW w:w="342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理化特性</w:t>
            </w:r>
          </w:p>
        </w:tc>
        <w:tc>
          <w:tcPr>
            <w:tcW w:w="113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燃烧爆炸性</w:t>
            </w:r>
          </w:p>
        </w:tc>
        <w:tc>
          <w:tcPr>
            <w:tcW w:w="1711"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毒理毒性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137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68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氟硅酸</w:t>
            </w:r>
          </w:p>
        </w:tc>
        <w:tc>
          <w:tcPr>
            <w:tcW w:w="708"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H</w:t>
            </w:r>
            <w:r>
              <w:rPr>
                <w:rFonts w:ascii="Times New Roman" w:hAnsi="Times New Roman"/>
                <w:color w:val="000000" w:themeColor="text1"/>
                <w:kern w:val="0"/>
                <w:szCs w:val="21"/>
                <w:vertAlign w:val="subscript"/>
                <w14:textFill>
                  <w14:solidFill>
                    <w14:schemeClr w14:val="tx1"/>
                  </w14:solidFill>
                </w14:textFill>
              </w:rPr>
              <w:t>2</w:t>
            </w:r>
            <w:r>
              <w:rPr>
                <w:rFonts w:ascii="Times New Roman" w:hAnsi="Times New Roman"/>
                <w:color w:val="000000" w:themeColor="text1"/>
                <w:kern w:val="0"/>
                <w:szCs w:val="21"/>
                <w14:textFill>
                  <w14:solidFill>
                    <w14:schemeClr w14:val="tx1"/>
                  </w14:solidFill>
                </w14:textFill>
              </w:rPr>
              <w:t>SiF</w:t>
            </w:r>
            <w:r>
              <w:rPr>
                <w:rFonts w:ascii="Times New Roman" w:hAnsi="Times New Roman"/>
                <w:color w:val="000000" w:themeColor="text1"/>
                <w:kern w:val="0"/>
                <w:szCs w:val="21"/>
                <w:vertAlign w:val="subscript"/>
                <w14:textFill>
                  <w14:solidFill>
                    <w14:schemeClr w14:val="tx1"/>
                  </w14:solidFill>
                </w14:textFill>
              </w:rPr>
              <w:t>6</w:t>
            </w:r>
          </w:p>
        </w:tc>
        <w:tc>
          <w:tcPr>
            <w:tcW w:w="110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16961-83-4</w:t>
            </w:r>
          </w:p>
        </w:tc>
        <w:tc>
          <w:tcPr>
            <w:tcW w:w="3427" w:type="dxa"/>
            <w:shd w:val="clear" w:color="auto" w:fill="auto"/>
            <w:vAlign w:val="center"/>
          </w:tcPr>
          <w:p>
            <w:pPr>
              <w:widowControl/>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分子量：144.09</w:t>
            </w:r>
            <w:r>
              <w:rPr>
                <w:rFonts w:hint="eastAsia" w:ascii="Times New Roman" w:hAnsi="Times New Roman"/>
                <w:color w:val="000000" w:themeColor="text1"/>
                <w:kern w:val="0"/>
                <w:szCs w:val="21"/>
                <w14:textFill>
                  <w14:solidFill>
                    <w14:schemeClr w14:val="tx1"/>
                  </w14:solidFill>
                </w14:textFill>
              </w:rPr>
              <w:t>，水溶液为无色透明的发烟液体，有刺激性气味，</w:t>
            </w:r>
            <w:r>
              <w:rPr>
                <w:rFonts w:ascii="Times New Roman" w:hAnsi="Times New Roman"/>
                <w:color w:val="000000" w:themeColor="text1"/>
                <w:kern w:val="0"/>
                <w:szCs w:val="21"/>
                <w14:textFill>
                  <w14:solidFill>
                    <w14:schemeClr w14:val="tx1"/>
                  </w14:solidFill>
                </w14:textFill>
              </w:rPr>
              <w:t>沸点（℃）</w:t>
            </w:r>
            <w:r>
              <w:rPr>
                <w:rFonts w:hint="eastAsia" w:ascii="Times New Roman" w:hAnsi="Times New Roman"/>
                <w:color w:val="000000" w:themeColor="text1"/>
                <w:kern w:val="0"/>
                <w:szCs w:val="21"/>
                <w14:textFill>
                  <w14:solidFill>
                    <w14:schemeClr w14:val="tx1"/>
                  </w14:solidFill>
                </w14:textFill>
              </w:rPr>
              <w:t>108.5，相对密度（水=1）1.32，用于制氟硅酸盐和冰晶石，并用于电镀、啤酒消毒、木材防腐等。</w:t>
            </w:r>
          </w:p>
        </w:tc>
        <w:tc>
          <w:tcPr>
            <w:tcW w:w="113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不燃</w:t>
            </w:r>
          </w:p>
        </w:tc>
        <w:tc>
          <w:tcPr>
            <w:tcW w:w="1711"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137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w:t>
            </w:r>
          </w:p>
        </w:tc>
        <w:tc>
          <w:tcPr>
            <w:tcW w:w="689" w:type="dxa"/>
            <w:shd w:val="clear" w:color="auto" w:fill="auto"/>
            <w:vAlign w:val="center"/>
          </w:tcPr>
          <w:p>
            <w:pPr>
              <w:widowControl/>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氢氟酸</w:t>
            </w:r>
          </w:p>
        </w:tc>
        <w:tc>
          <w:tcPr>
            <w:tcW w:w="708"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HF</w:t>
            </w:r>
          </w:p>
        </w:tc>
        <w:tc>
          <w:tcPr>
            <w:tcW w:w="110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7664-39-3</w:t>
            </w:r>
          </w:p>
        </w:tc>
        <w:tc>
          <w:tcPr>
            <w:tcW w:w="3427" w:type="dxa"/>
            <w:shd w:val="clear" w:color="auto" w:fill="auto"/>
            <w:vAlign w:val="center"/>
          </w:tcPr>
          <w:p>
            <w:pPr>
              <w:widowControl/>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分子量：</w:t>
            </w:r>
            <w:r>
              <w:rPr>
                <w:rFonts w:hint="eastAsia" w:ascii="Times New Roman" w:hAnsi="Times New Roman"/>
                <w:color w:val="000000" w:themeColor="text1"/>
                <w:kern w:val="0"/>
                <w:szCs w:val="21"/>
                <w14:textFill>
                  <w14:solidFill>
                    <w14:schemeClr w14:val="tx1"/>
                  </w14:solidFill>
                </w14:textFill>
              </w:rPr>
              <w:t>20.01，无色透明有刺激性臭味的液体，商品为40%的水溶液，密度1.15 g/cm³，用作分析试剂、高纯氟化物的制备、玻璃蚀刻及电镀表面处理等。</w:t>
            </w:r>
          </w:p>
        </w:tc>
        <w:tc>
          <w:tcPr>
            <w:tcW w:w="113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不燃</w:t>
            </w:r>
          </w:p>
        </w:tc>
        <w:tc>
          <w:tcPr>
            <w:tcW w:w="1711" w:type="dxa"/>
            <w:shd w:val="clear" w:color="auto" w:fill="auto"/>
            <w:vAlign w:val="center"/>
          </w:tcPr>
          <w:p>
            <w:pPr>
              <w:widowControl/>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LD</w:t>
            </w:r>
            <w:r>
              <w:rPr>
                <w:rFonts w:hint="eastAsia" w:ascii="Times New Roman" w:hAnsi="宋体"/>
                <w:color w:val="000000" w:themeColor="text1"/>
                <w:kern w:val="0"/>
                <w:szCs w:val="21"/>
                <w:vertAlign w:val="subscript"/>
                <w14:textFill>
                  <w14:solidFill>
                    <w14:schemeClr w14:val="tx1"/>
                  </w14:solidFill>
                </w14:textFill>
              </w:rPr>
              <w:t>50</w:t>
            </w:r>
            <w:r>
              <w:rPr>
                <w:rFonts w:hint="eastAsia" w:ascii="Times New Roman" w:hAnsi="宋体"/>
                <w:color w:val="000000" w:themeColor="text1"/>
                <w:kern w:val="0"/>
                <w:szCs w:val="21"/>
                <w14:textFill>
                  <w14:solidFill>
                    <w14:schemeClr w14:val="tx1"/>
                  </w14:solidFill>
                </w14:textFill>
              </w:rPr>
              <w:t>：无资料</w:t>
            </w:r>
          </w:p>
          <w:p>
            <w:pPr>
              <w:widowControl/>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LC</w:t>
            </w:r>
            <w:r>
              <w:rPr>
                <w:rFonts w:hint="eastAsia" w:ascii="Times New Roman" w:hAnsi="宋体"/>
                <w:color w:val="000000" w:themeColor="text1"/>
                <w:kern w:val="0"/>
                <w:szCs w:val="21"/>
                <w:vertAlign w:val="subscript"/>
                <w14:textFill>
                  <w14:solidFill>
                    <w14:schemeClr w14:val="tx1"/>
                  </w14:solidFill>
                </w14:textFill>
              </w:rPr>
              <w:t>50</w:t>
            </w:r>
            <w:r>
              <w:rPr>
                <w:rFonts w:hint="eastAsia" w:ascii="Times New Roman" w:hAnsi="宋体"/>
                <w:color w:val="000000" w:themeColor="text1"/>
                <w:kern w:val="0"/>
                <w:szCs w:val="21"/>
                <w14:textFill>
                  <w14:solidFill>
                    <w14:schemeClr w14:val="tx1"/>
                  </w14:solidFill>
                </w14:textFill>
              </w:rPr>
              <w:t>：1044mg/m</w:t>
            </w:r>
            <w:r>
              <w:rPr>
                <w:rFonts w:hint="eastAsia" w:ascii="Times New Roman" w:hAnsi="宋体"/>
                <w:color w:val="000000" w:themeColor="text1"/>
                <w:kern w:val="0"/>
                <w:szCs w:val="21"/>
                <w:vertAlign w:val="superscript"/>
                <w14:textFill>
                  <w14:solidFill>
                    <w14:schemeClr w14:val="tx1"/>
                  </w14:solidFill>
                </w14:textFill>
              </w:rPr>
              <w:t>3</w:t>
            </w:r>
            <w:r>
              <w:rPr>
                <w:rFonts w:hint="eastAsia" w:ascii="Times New Roman" w:hAnsi="宋体"/>
                <w:color w:val="000000" w:themeColor="text1"/>
                <w:kern w:val="0"/>
                <w:szCs w:val="21"/>
                <w14:textFill>
                  <w14:solidFill>
                    <w14:schemeClr w14:val="tx1"/>
                  </w14:solidFill>
                </w14:textFill>
              </w:rPr>
              <w:t>(大鼠吸入)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3</w:t>
            </w:r>
          </w:p>
        </w:tc>
        <w:tc>
          <w:tcPr>
            <w:tcW w:w="68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氯化钠</w:t>
            </w:r>
          </w:p>
        </w:tc>
        <w:tc>
          <w:tcPr>
            <w:tcW w:w="708"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NaCl</w:t>
            </w:r>
          </w:p>
        </w:tc>
        <w:tc>
          <w:tcPr>
            <w:tcW w:w="110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7647-14-5</w:t>
            </w:r>
          </w:p>
        </w:tc>
        <w:tc>
          <w:tcPr>
            <w:tcW w:w="3427"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无色立方结晶或细小结晶粉末，味咸。外观是白色晶体状，其来源主要是海水，是食盐的主要成分。易溶于水、</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"https://baike.baidu.com/item/%E7%94%98%E6%B2%B9/99429" \t "https://baike.baidu.com/item/%E6%B0%AF%E5%8C%96%E9%92%A0/_blank" </w:instrText>
            </w:r>
            <w:r>
              <w:rPr>
                <w:color w:val="000000" w:themeColor="text1"/>
                <w14:textFill>
                  <w14:solidFill>
                    <w14:schemeClr w14:val="tx1"/>
                  </w14:solidFill>
                </w14:textFill>
              </w:rPr>
              <w:fldChar w:fldCharType="separate"/>
            </w:r>
            <w:r>
              <w:rPr>
                <w:rFonts w:ascii="Times New Roman" w:hAnsi="宋体"/>
                <w:color w:val="000000" w:themeColor="text1"/>
                <w:kern w:val="0"/>
                <w:szCs w:val="21"/>
                <w14:textFill>
                  <w14:solidFill>
                    <w14:schemeClr w14:val="tx1"/>
                  </w14:solidFill>
                </w14:textFill>
              </w:rPr>
              <w:t>甘油</w:t>
            </w:r>
            <w:r>
              <w:rPr>
                <w:rFonts w:ascii="Times New Roman" w:hAnsi="宋体"/>
                <w:color w:val="000000" w:themeColor="text1"/>
                <w:kern w:val="0"/>
                <w:szCs w:val="21"/>
                <w14:textFill>
                  <w14:solidFill>
                    <w14:schemeClr w14:val="tx1"/>
                  </w14:solidFill>
                </w14:textFill>
              </w:rPr>
              <w:fldChar w:fldCharType="end"/>
            </w:r>
            <w:r>
              <w:rPr>
                <w:rFonts w:ascii="Times New Roman" w:hAnsi="宋体"/>
                <w:color w:val="000000" w:themeColor="text1"/>
                <w:kern w:val="0"/>
                <w:szCs w:val="21"/>
                <w14:textFill>
                  <w14:solidFill>
                    <w14:schemeClr w14:val="tx1"/>
                  </w14:solidFill>
                </w14:textFill>
              </w:rPr>
              <w:t>，微溶于乙醇（酒精）、液氨；不溶于浓盐酸。</w:t>
            </w:r>
            <w:r>
              <w:rPr>
                <w:rFonts w:hint="eastAsia" w:ascii="Times New Roman" w:hAnsi="宋体"/>
                <w:color w:val="000000" w:themeColor="text1"/>
                <w:kern w:val="0"/>
                <w:szCs w:val="21"/>
                <w14:textFill>
                  <w14:solidFill>
                    <w14:schemeClr w14:val="tx1"/>
                  </w14:solidFill>
                </w14:textFill>
              </w:rPr>
              <w:t>密度2.165 g/cm³，熔点801℃，沸点1465 ℃</w:t>
            </w:r>
          </w:p>
        </w:tc>
        <w:tc>
          <w:tcPr>
            <w:tcW w:w="113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不易燃</w:t>
            </w:r>
          </w:p>
        </w:tc>
        <w:tc>
          <w:tcPr>
            <w:tcW w:w="171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4</w:t>
            </w:r>
          </w:p>
        </w:tc>
        <w:tc>
          <w:tcPr>
            <w:tcW w:w="68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熟石灰</w:t>
            </w:r>
          </w:p>
        </w:tc>
        <w:tc>
          <w:tcPr>
            <w:tcW w:w="708"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Ca(OH)</w:t>
            </w:r>
            <w:r>
              <w:rPr>
                <w:rFonts w:ascii="Times New Roman" w:hAnsi="Times New Roman"/>
                <w:color w:val="000000" w:themeColor="text1"/>
                <w:kern w:val="0"/>
                <w:szCs w:val="21"/>
                <w14:textFill>
                  <w14:solidFill>
                    <w14:schemeClr w14:val="tx1"/>
                  </w14:solidFill>
                </w14:textFill>
              </w:rPr>
              <w:t>2</w:t>
            </w:r>
          </w:p>
        </w:tc>
        <w:tc>
          <w:tcPr>
            <w:tcW w:w="110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1305-62-0</w:t>
            </w:r>
          </w:p>
        </w:tc>
        <w:tc>
          <w:tcPr>
            <w:tcW w:w="3427" w:type="dxa"/>
            <w:shd w:val="clear" w:color="auto" w:fill="auto"/>
            <w:vAlign w:val="center"/>
          </w:tcPr>
          <w:p>
            <w:pPr>
              <w:widowControl/>
              <w:jc w:val="left"/>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白色粉末状固体</w:t>
            </w:r>
            <w:r>
              <w:rPr>
                <w:rFonts w:ascii="Times New Roman" w:hAnsi="宋体"/>
                <w:color w:val="000000" w:themeColor="text1"/>
                <w:kern w:val="0"/>
                <w:szCs w:val="21"/>
                <w14:textFill>
                  <w14:solidFill>
                    <w14:schemeClr w14:val="tx1"/>
                  </w14:solidFill>
                </w14:textFill>
              </w:rPr>
              <w:t>，</w:t>
            </w:r>
            <w:r>
              <w:rPr>
                <w:rFonts w:hint="eastAsia" w:ascii="Times New Roman" w:hAnsi="宋体"/>
                <w:color w:val="000000" w:themeColor="text1"/>
                <w:kern w:val="0"/>
                <w:szCs w:val="21"/>
                <w14:textFill>
                  <w14:solidFill>
                    <w14:schemeClr w14:val="tx1"/>
                  </w14:solidFill>
                </w14:textFill>
              </w:rPr>
              <w:t>密度</w:t>
            </w:r>
            <w:r>
              <w:rPr>
                <w:rFonts w:ascii="Times New Roman" w:hAnsi="宋体"/>
                <w:color w:val="000000" w:themeColor="text1"/>
                <w:kern w:val="0"/>
                <w:szCs w:val="21"/>
                <w14:textFill>
                  <w14:solidFill>
                    <w14:schemeClr w14:val="tx1"/>
                  </w14:solidFill>
                </w14:textFill>
              </w:rPr>
              <w:t>2.24 g/mL（25 ℃），</w:t>
            </w:r>
            <w:r>
              <w:rPr>
                <w:rFonts w:hint="eastAsia" w:ascii="Times New Roman" w:hAnsi="宋体"/>
                <w:color w:val="000000" w:themeColor="text1"/>
                <w:kern w:val="0"/>
                <w:szCs w:val="21"/>
                <w14:textFill>
                  <w14:solidFill>
                    <w14:schemeClr w14:val="tx1"/>
                  </w14:solidFill>
                </w14:textFill>
              </w:rPr>
              <w:t>加入水后，分上下两层，上层水溶液称作</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"https://baike.baidu.com/item/%E6%BE%84%E6%B8%85%E7%9F%B3%E7%81%B0%E6%B0%B4/7794325" \t "https://baike.baidu.com/item/%E6%B0%A2%E6%B0%A7%E5%8C%96%E9%92%99/_blank" </w:instrText>
            </w:r>
            <w:r>
              <w:rPr>
                <w:color w:val="000000" w:themeColor="text1"/>
                <w14:textFill>
                  <w14:solidFill>
                    <w14:schemeClr w14:val="tx1"/>
                  </w14:solidFill>
                </w14:textFill>
              </w:rPr>
              <w:fldChar w:fldCharType="separate"/>
            </w:r>
            <w:r>
              <w:rPr>
                <w:rFonts w:ascii="Times New Roman" w:hAnsi="宋体"/>
                <w:color w:val="000000" w:themeColor="text1"/>
                <w:kern w:val="0"/>
                <w:szCs w:val="21"/>
                <w14:textFill>
                  <w14:solidFill>
                    <w14:schemeClr w14:val="tx1"/>
                  </w14:solidFill>
                </w14:textFill>
              </w:rPr>
              <w:t>澄清石灰水</w:t>
            </w:r>
            <w:r>
              <w:rPr>
                <w:rFonts w:ascii="Times New Roman" w:hAnsi="宋体"/>
                <w:color w:val="000000" w:themeColor="text1"/>
                <w:kern w:val="0"/>
                <w:szCs w:val="21"/>
                <w14:textFill>
                  <w14:solidFill>
                    <w14:schemeClr w14:val="tx1"/>
                  </w14:solidFill>
                </w14:textFill>
              </w:rPr>
              <w:fldChar w:fldCharType="end"/>
            </w:r>
            <w:r>
              <w:rPr>
                <w:rFonts w:ascii="Times New Roman" w:hAnsi="宋体"/>
                <w:color w:val="000000" w:themeColor="text1"/>
                <w:kern w:val="0"/>
                <w:szCs w:val="21"/>
                <w14:textFill>
                  <w14:solidFill>
                    <w14:schemeClr w14:val="tx1"/>
                  </w14:solidFill>
                </w14:textFill>
              </w:rPr>
              <w:t>，下层悬浊液称作</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"https://baike.baidu.com/item/%E7%9F%B3%E7%81%B0%E4%B9%B3/256964" \t "https://baike.baidu.com/item/%E6%B0%A2%E6%B0%A7%E5%8C%96%E9%92%99/_blank" </w:instrText>
            </w:r>
            <w:r>
              <w:rPr>
                <w:color w:val="000000" w:themeColor="text1"/>
                <w14:textFill>
                  <w14:solidFill>
                    <w14:schemeClr w14:val="tx1"/>
                  </w14:solidFill>
                </w14:textFill>
              </w:rPr>
              <w:fldChar w:fldCharType="separate"/>
            </w:r>
            <w:r>
              <w:rPr>
                <w:rFonts w:ascii="Times New Roman" w:hAnsi="宋体"/>
                <w:color w:val="000000" w:themeColor="text1"/>
                <w:kern w:val="0"/>
                <w:szCs w:val="21"/>
                <w14:textFill>
                  <w14:solidFill>
                    <w14:schemeClr w14:val="tx1"/>
                  </w14:solidFill>
                </w14:textFill>
              </w:rPr>
              <w:t>石灰乳</w:t>
            </w:r>
            <w:r>
              <w:rPr>
                <w:rFonts w:ascii="Times New Roman" w:hAnsi="宋体"/>
                <w:color w:val="000000" w:themeColor="text1"/>
                <w:kern w:val="0"/>
                <w:szCs w:val="21"/>
                <w14:textFill>
                  <w14:solidFill>
                    <w14:schemeClr w14:val="tx1"/>
                  </w14:solidFill>
                </w14:textFill>
              </w:rPr>
              <w:fldChar w:fldCharType="end"/>
            </w:r>
            <w:r>
              <w:rPr>
                <w:rFonts w:ascii="Times New Roman" w:hAnsi="宋体"/>
                <w:color w:val="000000" w:themeColor="text1"/>
                <w:kern w:val="0"/>
                <w:szCs w:val="21"/>
                <w14:textFill>
                  <w14:solidFill>
                    <w14:schemeClr w14:val="tx1"/>
                  </w14:solidFill>
                </w14:textFill>
              </w:rPr>
              <w:t>或</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"https://baike.baidu.com/item/%E7%9F%B3%E7%81%B0%E6%B5%86/3162081" \t "https://baike.baidu.com/item/%E6%B0%A2%E6%B0%A7%E5%8C%96%E9%92%99/_blank" </w:instrText>
            </w:r>
            <w:r>
              <w:rPr>
                <w:color w:val="000000" w:themeColor="text1"/>
                <w14:textFill>
                  <w14:solidFill>
                    <w14:schemeClr w14:val="tx1"/>
                  </w14:solidFill>
                </w14:textFill>
              </w:rPr>
              <w:fldChar w:fldCharType="separate"/>
            </w:r>
            <w:r>
              <w:rPr>
                <w:rFonts w:ascii="Times New Roman" w:hAnsi="宋体"/>
                <w:color w:val="000000" w:themeColor="text1"/>
                <w:kern w:val="0"/>
                <w:szCs w:val="21"/>
                <w14:textFill>
                  <w14:solidFill>
                    <w14:schemeClr w14:val="tx1"/>
                  </w14:solidFill>
                </w14:textFill>
              </w:rPr>
              <w:t>石灰浆</w:t>
            </w:r>
            <w:r>
              <w:rPr>
                <w:rFonts w:ascii="Times New Roman" w:hAnsi="宋体"/>
                <w:color w:val="000000" w:themeColor="text1"/>
                <w:kern w:val="0"/>
                <w:szCs w:val="21"/>
                <w14:textFill>
                  <w14:solidFill>
                    <w14:schemeClr w14:val="tx1"/>
                  </w14:solidFill>
                </w14:textFill>
              </w:rPr>
              <w:fldChar w:fldCharType="end"/>
            </w:r>
            <w:r>
              <w:rPr>
                <w:rFonts w:ascii="Times New Roman" w:hAnsi="宋体"/>
                <w:color w:val="000000" w:themeColor="text1"/>
                <w:kern w:val="0"/>
                <w:szCs w:val="21"/>
                <w14:textFill>
                  <w14:solidFill>
                    <w14:schemeClr w14:val="tx1"/>
                  </w14:solidFill>
                </w14:textFill>
              </w:rPr>
              <w:t>。上层清液澄清石灰水可以检验</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"https://baike.baidu.com/item/%E4%BA%8C%E6%B0%A7%E5%8C%96%E7%A2%B3/349143" \t "https://baike.baidu.com/item/%E6%B0%A2%E6%B0%A7%E5%8C%96%E9%92%99/_blank" </w:instrText>
            </w:r>
            <w:r>
              <w:rPr>
                <w:color w:val="000000" w:themeColor="text1"/>
                <w14:textFill>
                  <w14:solidFill>
                    <w14:schemeClr w14:val="tx1"/>
                  </w14:solidFill>
                </w14:textFill>
              </w:rPr>
              <w:fldChar w:fldCharType="separate"/>
            </w:r>
            <w:r>
              <w:rPr>
                <w:rFonts w:ascii="Times New Roman" w:hAnsi="宋体"/>
                <w:color w:val="000000" w:themeColor="text1"/>
                <w:kern w:val="0"/>
                <w:szCs w:val="21"/>
                <w14:textFill>
                  <w14:solidFill>
                    <w14:schemeClr w14:val="tx1"/>
                  </w14:solidFill>
                </w14:textFill>
              </w:rPr>
              <w:t>二氧化碳</w:t>
            </w:r>
            <w:r>
              <w:rPr>
                <w:rFonts w:ascii="Times New Roman" w:hAnsi="宋体"/>
                <w:color w:val="000000" w:themeColor="text1"/>
                <w:kern w:val="0"/>
                <w:szCs w:val="21"/>
                <w14:textFill>
                  <w14:solidFill>
                    <w14:schemeClr w14:val="tx1"/>
                  </w14:solidFill>
                </w14:textFill>
              </w:rPr>
              <w:fldChar w:fldCharType="end"/>
            </w:r>
            <w:r>
              <w:rPr>
                <w:rFonts w:ascii="Times New Roman" w:hAnsi="宋体"/>
                <w:color w:val="000000" w:themeColor="text1"/>
                <w:kern w:val="0"/>
                <w:szCs w:val="21"/>
                <w14:textFill>
                  <w14:solidFill>
                    <w14:schemeClr w14:val="tx1"/>
                  </w14:solidFill>
                </w14:textFill>
              </w:rPr>
              <w:t>，下层浑浊液体石灰乳是一种</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"https://baike.baidu.com/item/%E5%BB%BA%E7%AD%91%E6%9D%90%E6%96%99/6320438" \t "https://baike.baidu.com/item/%E6%B0%A2%E6%B0%A7%E5%8C%96%E9%92%99/_blank" </w:instrText>
            </w:r>
            <w:r>
              <w:rPr>
                <w:color w:val="000000" w:themeColor="text1"/>
                <w14:textFill>
                  <w14:solidFill>
                    <w14:schemeClr w14:val="tx1"/>
                  </w14:solidFill>
                </w14:textFill>
              </w:rPr>
              <w:fldChar w:fldCharType="separate"/>
            </w:r>
            <w:r>
              <w:rPr>
                <w:rFonts w:ascii="Times New Roman" w:hAnsi="宋体"/>
                <w:color w:val="000000" w:themeColor="text1"/>
                <w:kern w:val="0"/>
                <w:szCs w:val="21"/>
                <w14:textFill>
                  <w14:solidFill>
                    <w14:schemeClr w14:val="tx1"/>
                  </w14:solidFill>
                </w14:textFill>
              </w:rPr>
              <w:t>建筑材料</w:t>
            </w:r>
            <w:r>
              <w:rPr>
                <w:rFonts w:ascii="Times New Roman" w:hAnsi="宋体"/>
                <w:color w:val="000000" w:themeColor="text1"/>
                <w:kern w:val="0"/>
                <w:szCs w:val="21"/>
                <w14:textFill>
                  <w14:solidFill>
                    <w14:schemeClr w14:val="tx1"/>
                  </w14:solidFill>
                </w14:textFill>
              </w:rPr>
              <w:fldChar w:fldCharType="end"/>
            </w:r>
            <w:r>
              <w:rPr>
                <w:rFonts w:ascii="Times New Roman" w:hAnsi="宋体"/>
                <w:color w:val="000000" w:themeColor="text1"/>
                <w:kern w:val="0"/>
                <w:szCs w:val="21"/>
                <w14:textFill>
                  <w14:solidFill>
                    <w14:schemeClr w14:val="tx1"/>
                  </w14:solidFill>
                </w14:textFill>
              </w:rPr>
              <w:t>。氢氧化钙是一种</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"https://baike.baidu.com/item/%E5%BC%BA%E7%A2%B1/9177996" \t "https://baike.baidu.com/item/%E6%B0%A2%E6%B0%A7%E5%8C%96%E9%92%99/_blank" </w:instrText>
            </w:r>
            <w:r>
              <w:rPr>
                <w:color w:val="000000" w:themeColor="text1"/>
                <w14:textFill>
                  <w14:solidFill>
                    <w14:schemeClr w14:val="tx1"/>
                  </w14:solidFill>
                </w14:textFill>
              </w:rPr>
              <w:fldChar w:fldCharType="separate"/>
            </w:r>
            <w:r>
              <w:rPr>
                <w:rFonts w:ascii="Times New Roman" w:hAnsi="宋体"/>
                <w:color w:val="000000" w:themeColor="text1"/>
                <w:kern w:val="0"/>
                <w:szCs w:val="21"/>
                <w14:textFill>
                  <w14:solidFill>
                    <w14:schemeClr w14:val="tx1"/>
                  </w14:solidFill>
                </w14:textFill>
              </w:rPr>
              <w:t>强碱</w:t>
            </w:r>
            <w:r>
              <w:rPr>
                <w:rFonts w:ascii="Times New Roman" w:hAnsi="宋体"/>
                <w:color w:val="000000" w:themeColor="text1"/>
                <w:kern w:val="0"/>
                <w:szCs w:val="21"/>
                <w14:textFill>
                  <w14:solidFill>
                    <w14:schemeClr w14:val="tx1"/>
                  </w14:solidFill>
                </w14:textFill>
              </w:rPr>
              <w:fldChar w:fldCharType="end"/>
            </w:r>
            <w:r>
              <w:rPr>
                <w:rFonts w:ascii="Times New Roman" w:hAnsi="宋体"/>
                <w:color w:val="000000" w:themeColor="text1"/>
                <w:kern w:val="0"/>
                <w:szCs w:val="21"/>
                <w14:textFill>
                  <w14:solidFill>
                    <w14:schemeClr w14:val="tx1"/>
                  </w14:solidFill>
                </w14:textFill>
              </w:rPr>
              <w:t>，具有杀菌与防腐能力，对皮肤，织物有腐蚀作用</w:t>
            </w:r>
            <w:r>
              <w:rPr>
                <w:rFonts w:hint="eastAsia" w:ascii="Times New Roman" w:hAnsi="宋体"/>
                <w:color w:val="000000" w:themeColor="text1"/>
                <w:kern w:val="0"/>
                <w:szCs w:val="21"/>
                <w14:textFill>
                  <w14:solidFill>
                    <w14:schemeClr w14:val="tx1"/>
                  </w14:solidFill>
                </w14:textFill>
              </w:rPr>
              <w:t>。</w:t>
            </w:r>
          </w:p>
        </w:tc>
        <w:tc>
          <w:tcPr>
            <w:tcW w:w="113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不燃</w:t>
            </w:r>
          </w:p>
        </w:tc>
        <w:tc>
          <w:tcPr>
            <w:tcW w:w="1711" w:type="dxa"/>
            <w:shd w:val="clear" w:color="auto" w:fill="auto"/>
            <w:vAlign w:val="center"/>
          </w:tcPr>
          <w:p>
            <w:pPr>
              <w:widowControl/>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LD</w:t>
            </w:r>
            <w:r>
              <w:rPr>
                <w:rFonts w:hint="eastAsia" w:ascii="Times New Roman" w:hAnsi="宋体"/>
                <w:color w:val="000000" w:themeColor="text1"/>
                <w:kern w:val="0"/>
                <w:szCs w:val="21"/>
                <w:vertAlign w:val="subscript"/>
                <w14:textFill>
                  <w14:solidFill>
                    <w14:schemeClr w14:val="tx1"/>
                  </w14:solidFill>
                </w14:textFill>
              </w:rPr>
              <w:t>50</w:t>
            </w:r>
            <w:r>
              <w:rPr>
                <w:rFonts w:hint="eastAsia" w:ascii="Times New Roman" w:hAnsi="宋体"/>
                <w:color w:val="000000" w:themeColor="text1"/>
                <w:kern w:val="0"/>
                <w:szCs w:val="21"/>
                <w14:textFill>
                  <w14:solidFill>
                    <w14:schemeClr w14:val="tx1"/>
                  </w14:solidFill>
                </w14:textFill>
              </w:rPr>
              <w:t>：无资料</w:t>
            </w:r>
          </w:p>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LC</w:t>
            </w:r>
            <w:r>
              <w:rPr>
                <w:rFonts w:hint="eastAsia" w:ascii="Times New Roman" w:hAnsi="宋体"/>
                <w:color w:val="000000" w:themeColor="text1"/>
                <w:kern w:val="0"/>
                <w:szCs w:val="21"/>
                <w:vertAlign w:val="subscript"/>
                <w14:textFill>
                  <w14:solidFill>
                    <w14:schemeClr w14:val="tx1"/>
                  </w14:solidFill>
                </w14:textFill>
              </w:rPr>
              <w:t>50</w:t>
            </w:r>
            <w:r>
              <w:rPr>
                <w:rFonts w:hint="eastAsia" w:ascii="Times New Roman" w:hAnsi="宋体"/>
                <w:color w:val="000000" w:themeColor="text1"/>
                <w:kern w:val="0"/>
                <w:szCs w:val="21"/>
                <w14:textFill>
                  <w14:solidFill>
                    <w14:schemeClr w14:val="tx1"/>
                  </w14:solidFill>
                </w14:textFill>
              </w:rPr>
              <w:t>：7340mg/kg(大鼠经口)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5</w:t>
            </w:r>
          </w:p>
        </w:tc>
        <w:tc>
          <w:tcPr>
            <w:tcW w:w="68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聚丙烯酰胺</w:t>
            </w:r>
          </w:p>
        </w:tc>
        <w:tc>
          <w:tcPr>
            <w:tcW w:w="708" w:type="dxa"/>
            <w:shd w:val="clear" w:color="auto" w:fill="auto"/>
            <w:vAlign w:val="center"/>
          </w:tcPr>
          <w:p>
            <w:pPr>
              <w:widowControl/>
              <w:jc w:val="left"/>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(C</w:t>
            </w:r>
            <w:r>
              <w:rPr>
                <w:rFonts w:ascii="Times New Roman" w:hAnsi="Times New Roman"/>
                <w:color w:val="000000" w:themeColor="text1"/>
                <w:kern w:val="0"/>
                <w:szCs w:val="21"/>
                <w:vertAlign w:val="subscript"/>
                <w14:textFill>
                  <w14:solidFill>
                    <w14:schemeClr w14:val="tx1"/>
                  </w14:solidFill>
                </w14:textFill>
              </w:rPr>
              <w:t>3</w:t>
            </w:r>
            <w:r>
              <w:rPr>
                <w:rFonts w:ascii="Times New Roman" w:hAnsi="Times New Roman"/>
                <w:color w:val="000000" w:themeColor="text1"/>
                <w:kern w:val="0"/>
                <w:szCs w:val="21"/>
                <w14:textFill>
                  <w14:solidFill>
                    <w14:schemeClr w14:val="tx1"/>
                  </w14:solidFill>
                </w14:textFill>
              </w:rPr>
              <w:t>H</w:t>
            </w:r>
            <w:r>
              <w:rPr>
                <w:rFonts w:ascii="Times New Roman" w:hAnsi="Times New Roman"/>
                <w:color w:val="000000" w:themeColor="text1"/>
                <w:kern w:val="0"/>
                <w:szCs w:val="21"/>
                <w:vertAlign w:val="subscript"/>
                <w14:textFill>
                  <w14:solidFill>
                    <w14:schemeClr w14:val="tx1"/>
                  </w14:solidFill>
                </w14:textFill>
              </w:rPr>
              <w:t>5</w:t>
            </w:r>
            <w:r>
              <w:rPr>
                <w:rFonts w:ascii="Times New Roman" w:hAnsi="Times New Roman"/>
                <w:color w:val="000000" w:themeColor="text1"/>
                <w:kern w:val="0"/>
                <w:szCs w:val="21"/>
                <w14:textFill>
                  <w14:solidFill>
                    <w14:schemeClr w14:val="tx1"/>
                  </w14:solidFill>
                </w14:textFill>
              </w:rPr>
              <w:t>NO)n</w:t>
            </w:r>
          </w:p>
        </w:tc>
        <w:tc>
          <w:tcPr>
            <w:tcW w:w="1109" w:type="dxa"/>
            <w:shd w:val="clear" w:color="auto" w:fill="auto"/>
            <w:vAlign w:val="center"/>
          </w:tcPr>
          <w:p>
            <w:pPr>
              <w:widowControl/>
              <w:jc w:val="left"/>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9003-05-8</w:t>
            </w:r>
          </w:p>
        </w:tc>
        <w:tc>
          <w:tcPr>
            <w:tcW w:w="3427" w:type="dxa"/>
            <w:shd w:val="clear" w:color="auto" w:fill="auto"/>
            <w:vAlign w:val="center"/>
          </w:tcPr>
          <w:p>
            <w:pPr>
              <w:widowControl/>
              <w:jc w:val="left"/>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螯合剂型聚合物，白色粒状固体，稀释后呈无色液体，无臭，容积密度：0.70gms/cm</w:t>
            </w:r>
            <w:r>
              <w:rPr>
                <w:rFonts w:hint="eastAsia" w:ascii="Times New Roman" w:hAnsi="宋体"/>
                <w:color w:val="000000" w:themeColor="text1"/>
                <w:kern w:val="0"/>
                <w:szCs w:val="21"/>
                <w:vertAlign w:val="superscript"/>
                <w14:textFill>
                  <w14:solidFill>
                    <w14:schemeClr w14:val="tx1"/>
                  </w14:solidFill>
                </w14:textFill>
              </w:rPr>
              <w:t>3</w:t>
            </w:r>
            <w:r>
              <w:rPr>
                <w:rFonts w:hint="eastAsia" w:ascii="Times New Roman" w:hAnsi="宋体"/>
                <w:color w:val="000000" w:themeColor="text1"/>
                <w:kern w:val="0"/>
                <w:szCs w:val="21"/>
                <w14:textFill>
                  <w14:solidFill>
                    <w14:schemeClr w14:val="tx1"/>
                  </w14:solidFill>
                </w14:textFill>
              </w:rPr>
              <w:t>，粘度：（1.0%SOL）950mPa•S。</w:t>
            </w:r>
          </w:p>
        </w:tc>
        <w:tc>
          <w:tcPr>
            <w:tcW w:w="113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易燃</w:t>
            </w:r>
          </w:p>
        </w:tc>
        <w:tc>
          <w:tcPr>
            <w:tcW w:w="1711"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宋体"/>
                <w:color w:val="000000" w:themeColor="text1"/>
                <w:kern w:val="0"/>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6</w:t>
            </w:r>
          </w:p>
        </w:tc>
        <w:tc>
          <w:tcPr>
            <w:tcW w:w="68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除氟药剂</w:t>
            </w:r>
          </w:p>
        </w:tc>
        <w:tc>
          <w:tcPr>
            <w:tcW w:w="708"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cs="Arial"/>
                <w:color w:val="000000" w:themeColor="text1"/>
                <w:szCs w:val="21"/>
                <w:shd w:val="clear" w:color="auto" w:fill="FFFFFF"/>
                <w14:textFill>
                  <w14:solidFill>
                    <w14:schemeClr w14:val="tx1"/>
                  </w14:solidFill>
                </w14:textFill>
              </w:rPr>
              <w:t>/</w:t>
            </w:r>
          </w:p>
        </w:tc>
        <w:tc>
          <w:tcPr>
            <w:tcW w:w="110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t>
            </w:r>
          </w:p>
        </w:tc>
        <w:tc>
          <w:tcPr>
            <w:tcW w:w="3427" w:type="dxa"/>
            <w:shd w:val="clear" w:color="auto" w:fill="auto"/>
            <w:vAlign w:val="center"/>
          </w:tcPr>
          <w:p>
            <w:pPr>
              <w:widowControl/>
              <w:jc w:val="left"/>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复合型化学絮凝除氟沉淀剂，浅黄色液体，相对密度1.25（20℃），氯化铝含量≥8%-10%，盐基度65-90%，氧化铁含量1-2%，水不溶物含量0.3mg/L</w:t>
            </w:r>
            <w:r>
              <w:rPr>
                <w:rFonts w:ascii="Times New Roman" w:hAnsi="宋体"/>
                <w:color w:val="000000" w:themeColor="text1"/>
                <w:kern w:val="0"/>
                <w:szCs w:val="21"/>
                <w14:textFill>
                  <w14:solidFill>
                    <w14:schemeClr w14:val="tx1"/>
                  </w14:solidFill>
                </w14:textFill>
              </w:rPr>
              <w:t>。</w:t>
            </w:r>
          </w:p>
        </w:tc>
        <w:tc>
          <w:tcPr>
            <w:tcW w:w="1134"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不燃</w:t>
            </w:r>
          </w:p>
        </w:tc>
        <w:tc>
          <w:tcPr>
            <w:tcW w:w="1711"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31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bookmarkStart w:id="178" w:name="_Toc25488"/>
            <w:bookmarkStart w:id="179" w:name="_Toc13352"/>
            <w:bookmarkStart w:id="180" w:name="_Toc30596"/>
            <w:bookmarkStart w:id="181" w:name="_Toc1003"/>
            <w:bookmarkStart w:id="182" w:name="_Toc325552407"/>
            <w:r>
              <w:rPr>
                <w:rFonts w:hint="eastAsia" w:ascii="Times New Roman" w:hAnsi="Times New Roman"/>
                <w:color w:val="000000" w:themeColor="text1"/>
                <w:kern w:val="0"/>
                <w:szCs w:val="21"/>
                <w14:textFill>
                  <w14:solidFill>
                    <w14:schemeClr w14:val="tx1"/>
                  </w14:solidFill>
                </w14:textFill>
              </w:rPr>
              <w:t>7</w:t>
            </w:r>
          </w:p>
        </w:tc>
        <w:tc>
          <w:tcPr>
            <w:tcW w:w="689" w:type="dxa"/>
            <w:shd w:val="clear" w:color="auto" w:fill="auto"/>
            <w:vAlign w:val="center"/>
          </w:tcPr>
          <w:p>
            <w:pPr>
              <w:widowControl/>
              <w:jc w:val="center"/>
              <w:rPr>
                <w:rFonts w:ascii="Times New Roman" w:hAnsi="宋体"/>
                <w:color w:val="000000" w:themeColor="text1"/>
                <w:kern w:val="0"/>
                <w:szCs w:val="21"/>
                <w14:textFill>
                  <w14:solidFill>
                    <w14:schemeClr w14:val="tx1"/>
                  </w14:solidFill>
                </w14:textFill>
              </w:rPr>
            </w:pPr>
            <w:r>
              <w:rPr>
                <w:rFonts w:hint="eastAsia" w:ascii="Times New Roman" w:hAnsi="宋体"/>
                <w:color w:val="000000" w:themeColor="text1"/>
                <w:kern w:val="0"/>
                <w:szCs w:val="21"/>
                <w14:textFill>
                  <w14:solidFill>
                    <w14:schemeClr w14:val="tx1"/>
                  </w14:solidFill>
                </w14:textFill>
              </w:rPr>
              <w:t>氢氧化钠</w:t>
            </w:r>
          </w:p>
        </w:tc>
        <w:tc>
          <w:tcPr>
            <w:tcW w:w="708" w:type="dxa"/>
            <w:shd w:val="clear" w:color="auto" w:fill="auto"/>
            <w:vAlign w:val="center"/>
          </w:tcPr>
          <w:p>
            <w:pPr>
              <w:widowControl/>
              <w:jc w:val="center"/>
              <w:rPr>
                <w:rFonts w:cs="Arial"/>
                <w:color w:val="000000" w:themeColor="text1"/>
                <w:szCs w:val="21"/>
                <w:shd w:val="clear" w:color="auto" w:fill="FFFFFF"/>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NaOH</w:t>
            </w:r>
          </w:p>
        </w:tc>
        <w:tc>
          <w:tcPr>
            <w:tcW w:w="1109"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1310-73-2</w:t>
            </w:r>
          </w:p>
        </w:tc>
        <w:tc>
          <w:tcPr>
            <w:tcW w:w="3427" w:type="dxa"/>
            <w:shd w:val="clear" w:color="auto" w:fill="auto"/>
            <w:vAlign w:val="center"/>
          </w:tcPr>
          <w:p>
            <w:pPr>
              <w:widowControl/>
              <w:jc w:val="left"/>
              <w:rPr>
                <w:rFonts w:ascii="Times New Roman" w:hAnsi="宋体"/>
                <w:color w:val="000000" w:themeColor="text1"/>
                <w:kern w:val="0"/>
                <w:szCs w:val="21"/>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白色不透明固体，易潮解，熔点</w:t>
            </w:r>
            <w:r>
              <w:rPr>
                <w:rFonts w:ascii="Times New Roman" w:hAnsi="Times New Roman"/>
                <w:color w:val="000000" w:themeColor="text1"/>
                <w:kern w:val="0"/>
                <w:sz w:val="18"/>
                <w:szCs w:val="18"/>
                <w14:textFill>
                  <w14:solidFill>
                    <w14:schemeClr w14:val="tx1"/>
                  </w14:solidFill>
                </w14:textFill>
              </w:rPr>
              <w:t>318.4</w:t>
            </w:r>
            <w:r>
              <w:rPr>
                <w:rFonts w:ascii="宋体" w:hAnsi="宋体"/>
                <w:color w:val="000000" w:themeColor="text1"/>
                <w:kern w:val="0"/>
                <w:sz w:val="18"/>
                <w:szCs w:val="18"/>
                <w14:textFill>
                  <w14:solidFill>
                    <w14:schemeClr w14:val="tx1"/>
                  </w14:solidFill>
                </w14:textFill>
              </w:rPr>
              <w:t>℃</w:t>
            </w:r>
            <w:r>
              <w:rPr>
                <w:rFonts w:ascii="Times New Roman" w:hAnsi="宋体"/>
                <w:color w:val="000000" w:themeColor="text1"/>
                <w:kern w:val="0"/>
                <w:sz w:val="18"/>
                <w:szCs w:val="18"/>
                <w14:textFill>
                  <w14:solidFill>
                    <w14:schemeClr w14:val="tx1"/>
                  </w14:solidFill>
                </w14:textFill>
              </w:rPr>
              <w:t>，沸点</w:t>
            </w:r>
            <w:r>
              <w:rPr>
                <w:rFonts w:ascii="Times New Roman" w:hAnsi="Times New Roman"/>
                <w:color w:val="000000" w:themeColor="text1"/>
                <w:kern w:val="0"/>
                <w:sz w:val="18"/>
                <w:szCs w:val="18"/>
                <w14:textFill>
                  <w14:solidFill>
                    <w14:schemeClr w14:val="tx1"/>
                  </w14:solidFill>
                </w14:textFill>
              </w:rPr>
              <w:t>1390</w:t>
            </w:r>
            <w:r>
              <w:rPr>
                <w:rFonts w:ascii="宋体" w:hAnsi="宋体"/>
                <w:color w:val="000000" w:themeColor="text1"/>
                <w:kern w:val="0"/>
                <w:sz w:val="18"/>
                <w:szCs w:val="18"/>
                <w14:textFill>
                  <w14:solidFill>
                    <w14:schemeClr w14:val="tx1"/>
                  </w14:solidFill>
                </w14:textFill>
              </w:rPr>
              <w:t>℃</w:t>
            </w:r>
            <w:r>
              <w:rPr>
                <w:rFonts w:ascii="Times New Roman" w:hAnsi="宋体"/>
                <w:color w:val="000000" w:themeColor="text1"/>
                <w:kern w:val="0"/>
                <w:sz w:val="18"/>
                <w:szCs w:val="18"/>
                <w14:textFill>
                  <w14:solidFill>
                    <w14:schemeClr w14:val="tx1"/>
                  </w14:solidFill>
                </w14:textFill>
              </w:rPr>
              <w:t>，相对密度：</w:t>
            </w:r>
            <w:r>
              <w:rPr>
                <w:rFonts w:ascii="Times New Roman" w:hAnsi="Times New Roman"/>
                <w:color w:val="000000" w:themeColor="text1"/>
                <w:kern w:val="0"/>
                <w:sz w:val="18"/>
                <w:szCs w:val="18"/>
                <w14:textFill>
                  <w14:solidFill>
                    <w14:schemeClr w14:val="tx1"/>
                  </w14:solidFill>
                </w14:textFill>
              </w:rPr>
              <w:t>2.12</w:t>
            </w:r>
            <w:r>
              <w:rPr>
                <w:rFonts w:ascii="Times New Roman" w:hAnsi="宋体"/>
                <w:color w:val="000000" w:themeColor="text1"/>
                <w:kern w:val="0"/>
                <w:sz w:val="18"/>
                <w:szCs w:val="18"/>
                <w14:textFill>
                  <w14:solidFill>
                    <w14:schemeClr w14:val="tx1"/>
                  </w14:solidFill>
                </w14:textFill>
              </w:rPr>
              <w:t>，饱和蒸气压：</w:t>
            </w:r>
            <w:r>
              <w:rPr>
                <w:rFonts w:ascii="Times New Roman" w:hAnsi="Times New Roman"/>
                <w:color w:val="000000" w:themeColor="text1"/>
                <w:kern w:val="0"/>
                <w:sz w:val="18"/>
                <w:szCs w:val="18"/>
                <w14:textFill>
                  <w14:solidFill>
                    <w14:schemeClr w14:val="tx1"/>
                  </w14:solidFill>
                </w14:textFill>
              </w:rPr>
              <w:t>0.13KPa</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739</w:t>
            </w:r>
            <w:r>
              <w:rPr>
                <w:rFonts w:ascii="宋体" w:hAnsi="宋体"/>
                <w:color w:val="000000" w:themeColor="text1"/>
                <w:kern w:val="0"/>
                <w:sz w:val="18"/>
                <w:szCs w:val="18"/>
                <w14:textFill>
                  <w14:solidFill>
                    <w14:schemeClr w14:val="tx1"/>
                  </w14:solidFill>
                </w14:textFill>
              </w:rPr>
              <w:t>℃</w:t>
            </w:r>
            <w:r>
              <w:rPr>
                <w:rFonts w:ascii="Times New Roman" w:hAnsi="宋体"/>
                <w:color w:val="000000" w:themeColor="text1"/>
                <w:kern w:val="0"/>
                <w:sz w:val="18"/>
                <w:szCs w:val="18"/>
                <w14:textFill>
                  <w14:solidFill>
                    <w14:schemeClr w14:val="tx1"/>
                  </w14:solidFill>
                </w14:textFill>
              </w:rPr>
              <w:t>），易溶于水、乙醇、甘油，不溶于丙酮，主要用于肥皂工业、石油精炼、造纸、人造丝、染色、制革、医药、有机合成等。</w:t>
            </w:r>
          </w:p>
        </w:tc>
        <w:tc>
          <w:tcPr>
            <w:tcW w:w="1134" w:type="dxa"/>
            <w:shd w:val="clear" w:color="auto" w:fill="auto"/>
            <w:vAlign w:val="center"/>
          </w:tcPr>
          <w:p>
            <w:pPr>
              <w:widowControl/>
              <w:jc w:val="center"/>
              <w:rPr>
                <w:rFonts w:ascii="Times New Roman" w:hAnsi="宋体"/>
                <w:color w:val="000000" w:themeColor="text1"/>
                <w:kern w:val="0"/>
                <w:szCs w:val="21"/>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不燃</w:t>
            </w:r>
          </w:p>
        </w:tc>
        <w:tc>
          <w:tcPr>
            <w:tcW w:w="1711" w:type="dxa"/>
            <w:shd w:val="clear" w:color="auto" w:fill="auto"/>
            <w:vAlign w:val="center"/>
          </w:tcPr>
          <w:p>
            <w:pPr>
              <w:widowControl/>
              <w:jc w:val="center"/>
              <w:rPr>
                <w:rFonts w:ascii="Times New Roman" w:hAnsi="宋体"/>
                <w:color w:val="000000" w:themeColor="text1"/>
                <w:kern w:val="0"/>
                <w:szCs w:val="21"/>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LD</w:t>
            </w:r>
            <w:r>
              <w:rPr>
                <w:rFonts w:ascii="Times New Roman" w:hAnsi="Times New Roman"/>
                <w:color w:val="000000" w:themeColor="text1"/>
                <w:kern w:val="0"/>
                <w:sz w:val="18"/>
                <w:szCs w:val="18"/>
                <w:vertAlign w:val="subscript"/>
                <w14:textFill>
                  <w14:solidFill>
                    <w14:schemeClr w14:val="tx1"/>
                  </w14:solidFill>
                </w14:textFill>
              </w:rPr>
              <w:t>50</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40mg/kg</w:t>
            </w:r>
            <w:r>
              <w:rPr>
                <w:rFonts w:ascii="Times New Roman" w:hAnsi="宋体"/>
                <w:color w:val="000000" w:themeColor="text1"/>
                <w:kern w:val="0"/>
                <w:sz w:val="18"/>
                <w:szCs w:val="18"/>
                <w14:textFill>
                  <w14:solidFill>
                    <w14:schemeClr w14:val="tx1"/>
                  </w14:solidFill>
                </w14:textFill>
              </w:rPr>
              <w:t>（小鼠腹膜腔）</w:t>
            </w:r>
          </w:p>
        </w:tc>
      </w:tr>
      <w:bookmarkEnd w:id="170"/>
      <w:bookmarkEnd w:id="171"/>
    </w:tbl>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83" w:name="_Toc8079"/>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.7</w:t>
      </w:r>
      <w:r>
        <w:rPr>
          <w:rFonts w:ascii="黑体" w:hAnsi="黑体" w:eastAsia="黑体"/>
          <w:b/>
          <w:color w:val="000000" w:themeColor="text1"/>
          <w:sz w:val="32"/>
          <w:szCs w:val="32"/>
          <w14:textFill>
            <w14:solidFill>
              <w14:schemeClr w14:val="tx1"/>
            </w14:solidFill>
          </w14:textFill>
        </w:rPr>
        <w:t>主要</w:t>
      </w:r>
      <w:r>
        <w:rPr>
          <w:rFonts w:hint="eastAsia" w:ascii="黑体" w:hAnsi="黑体" w:eastAsia="黑体"/>
          <w:b/>
          <w:color w:val="000000" w:themeColor="text1"/>
          <w:sz w:val="32"/>
          <w:szCs w:val="32"/>
          <w14:textFill>
            <w14:solidFill>
              <w14:schemeClr w14:val="tx1"/>
            </w14:solidFill>
          </w14:textFill>
        </w:rPr>
        <w:t>生产</w:t>
      </w:r>
      <w:r>
        <w:rPr>
          <w:rFonts w:ascii="黑体" w:hAnsi="黑体" w:eastAsia="黑体"/>
          <w:b/>
          <w:color w:val="000000" w:themeColor="text1"/>
          <w:sz w:val="32"/>
          <w:szCs w:val="32"/>
          <w14:textFill>
            <w14:solidFill>
              <w14:schemeClr w14:val="tx1"/>
            </w14:solidFill>
          </w14:textFill>
        </w:rPr>
        <w:t>设备</w:t>
      </w:r>
      <w:bookmarkEnd w:id="178"/>
      <w:bookmarkEnd w:id="179"/>
      <w:bookmarkEnd w:id="180"/>
      <w:bookmarkEnd w:id="181"/>
      <w:bookmarkEnd w:id="182"/>
      <w:bookmarkEnd w:id="183"/>
    </w:p>
    <w:p>
      <w:pPr>
        <w:adjustRightInd w:val="0"/>
        <w:snapToGrid w:val="0"/>
        <w:spacing w:line="520" w:lineRule="exact"/>
        <w:ind w:firstLine="480" w:firstLineChars="200"/>
        <w:jc w:val="left"/>
        <w:rPr>
          <w:rFonts w:ascii="Times New Roman" w:hAnsiTheme="minorEastAsia" w:eastAsiaTheme="minorEastAsia"/>
          <w:b/>
          <w:bCs/>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本项目主要生产设备见下表</w:t>
      </w:r>
      <w:r>
        <w:rPr>
          <w:rFonts w:ascii="Times New Roman" w:hAnsiTheme="minorEastAsia" w:eastAsiaTheme="minorEastAsia"/>
          <w:color w:val="000000" w:themeColor="text1"/>
          <w:sz w:val="24"/>
          <w:szCs w:val="24"/>
          <w14:textFill>
            <w14:solidFill>
              <w14:schemeClr w14:val="tx1"/>
            </w14:solidFill>
          </w14:textFill>
        </w:rPr>
        <w:t>。</w:t>
      </w:r>
    </w:p>
    <w:p>
      <w:pPr>
        <w:adjustRightInd w:val="0"/>
        <w:snapToGrid w:val="0"/>
        <w:spacing w:line="520" w:lineRule="exact"/>
        <w:ind w:firstLine="482" w:firstLineChars="200"/>
        <w:jc w:val="center"/>
        <w:rPr>
          <w:rFonts w:ascii="Times New Roman" w:hAnsiTheme="minorEastAsia" w:eastAsiaTheme="minorEastAsia"/>
          <w:b/>
          <w:bCs/>
          <w:color w:val="000000" w:themeColor="text1"/>
          <w:sz w:val="24"/>
          <w:szCs w:val="24"/>
          <w14:textFill>
            <w14:solidFill>
              <w14:schemeClr w14:val="tx1"/>
            </w14:solidFill>
          </w14:textFill>
        </w:rPr>
      </w:pPr>
      <w:r>
        <w:rPr>
          <w:rFonts w:ascii="Times New Roman" w:hAnsiTheme="minorEastAsia" w:eastAsiaTheme="minorEastAsia"/>
          <w:b/>
          <w:bCs/>
          <w:color w:val="000000" w:themeColor="text1"/>
          <w:sz w:val="24"/>
          <w:szCs w:val="24"/>
          <w14:textFill>
            <w14:solidFill>
              <w14:schemeClr w14:val="tx1"/>
            </w14:solidFill>
          </w14:textFill>
        </w:rPr>
        <w:t>表</w:t>
      </w: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3</w:t>
      </w:r>
      <w:r>
        <w:rPr>
          <w:rFonts w:ascii="Times New Roman" w:hAnsi="Times New Roman" w:eastAsiaTheme="minorEastAsia"/>
          <w:b/>
          <w:bCs/>
          <w:color w:val="000000" w:themeColor="text1"/>
          <w:sz w:val="24"/>
          <w:szCs w:val="24"/>
          <w14:textFill>
            <w14:solidFill>
              <w14:schemeClr w14:val="tx1"/>
            </w14:solidFill>
          </w14:textFill>
        </w:rPr>
        <w:t>.7-1</w:t>
      </w:r>
      <w:r>
        <w:rPr>
          <w:rFonts w:ascii="Times New Roman" w:hAnsiTheme="minorEastAsia" w:eastAsiaTheme="minorEastAsia"/>
          <w:b/>
          <w:bCs/>
          <w:color w:val="000000" w:themeColor="text1"/>
          <w:sz w:val="24"/>
          <w:szCs w:val="24"/>
          <w14:textFill>
            <w14:solidFill>
              <w14:schemeClr w14:val="tx1"/>
            </w14:solidFill>
          </w14:textFill>
        </w:rPr>
        <w:t>主要生产设备</w:t>
      </w:r>
      <w:r>
        <w:rPr>
          <w:rFonts w:hint="eastAsia" w:ascii="Times New Roman" w:hAnsiTheme="minorEastAsia" w:eastAsiaTheme="minorEastAsia"/>
          <w:b/>
          <w:bCs/>
          <w:color w:val="000000" w:themeColor="text1"/>
          <w:sz w:val="24"/>
          <w:szCs w:val="24"/>
          <w14:textFill>
            <w14:solidFill>
              <w14:schemeClr w14:val="tx1"/>
            </w14:solidFill>
          </w14:textFill>
        </w:rPr>
        <w:t>一览</w:t>
      </w:r>
      <w:r>
        <w:rPr>
          <w:rFonts w:ascii="Times New Roman" w:hAnsiTheme="minorEastAsia" w:eastAsiaTheme="minorEastAsia"/>
          <w:b/>
          <w:bCs/>
          <w:color w:val="000000" w:themeColor="text1"/>
          <w:sz w:val="24"/>
          <w:szCs w:val="24"/>
          <w14:textFill>
            <w14:solidFill>
              <w14:schemeClr w14:val="tx1"/>
            </w14:solidFill>
          </w14:textFill>
        </w:rPr>
        <w:t>表</w:t>
      </w:r>
    </w:p>
    <w:tbl>
      <w:tblPr>
        <w:tblStyle w:val="87"/>
        <w:tblW w:w="88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86"/>
        <w:gridCol w:w="2068"/>
        <w:gridCol w:w="1908"/>
        <w:gridCol w:w="1337"/>
        <w:gridCol w:w="874"/>
        <w:gridCol w:w="17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 w:hRule="atLeast"/>
          <w:tblHeader/>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序号</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设备名称</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规格</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材质</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数量</w:t>
            </w:r>
            <w:r>
              <w:rPr>
                <w:rFonts w:hint="eastAsia" w:ascii="Times New Roman" w:hAnsi="Times New Roman"/>
                <w:bCs/>
                <w:color w:val="000000" w:themeColor="text1"/>
                <w:kern w:val="0"/>
                <w:szCs w:val="21"/>
                <w:lang w:bidi="ar"/>
                <w14:textFill>
                  <w14:solidFill>
                    <w14:schemeClr w14:val="tx1"/>
                  </w14:solidFill>
                </w14:textFill>
              </w:rPr>
              <w:t>（台/套）</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氟硅酸计量槽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V=15m³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溶硅槽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V=10m³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带式过滤器</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S=10</w:t>
            </w:r>
            <w:r>
              <w:rPr>
                <w:rFonts w:hint="eastAsia" w:ascii="Times New Roman" w:hAnsi="Times New Roman"/>
                <w:bCs/>
                <w:color w:val="000000" w:themeColor="text1"/>
                <w:kern w:val="0"/>
                <w:szCs w:val="21"/>
                <w:lang w:bidi="ar"/>
                <w14:textFill>
                  <w14:solidFill>
                    <w14:schemeClr w14:val="tx1"/>
                  </w14:solidFill>
                </w14:textFill>
              </w:rPr>
              <w:t>m</w:t>
            </w:r>
            <w:r>
              <w:rPr>
                <w:rFonts w:hint="eastAsia" w:ascii="Times New Roman" w:hAnsi="Times New Roman"/>
                <w:bCs/>
                <w:color w:val="000000" w:themeColor="text1"/>
                <w:kern w:val="0"/>
                <w:szCs w:val="21"/>
                <w:vertAlign w:val="superscript"/>
                <w:lang w:bidi="ar"/>
                <w14:textFill>
                  <w14:solidFill>
                    <w14:schemeClr w14:val="tx1"/>
                  </w14:solidFill>
                </w14:textFill>
              </w:rPr>
              <w:t>3</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衬塑</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4</w:t>
            </w:r>
          </w:p>
          <w:p>
            <w:pPr>
              <w:widowControl/>
              <w:textAlignment w:val="center"/>
              <w:rPr>
                <w:rFonts w:ascii="Times New Roman" w:hAnsi="Times New Roman"/>
                <w:bCs/>
                <w:color w:val="000000" w:themeColor="text1"/>
                <w:szCs w:val="21"/>
                <w14:textFill>
                  <w14:solidFill>
                    <w14:schemeClr w14:val="tx1"/>
                  </w14:solidFill>
                </w14:textFill>
              </w:rPr>
            </w:pP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溶盐槽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w:t>
            </w:r>
            <w:r>
              <w:rPr>
                <w:rFonts w:ascii="Times New Roman" w:hAnsi="Times New Roman"/>
                <w:bCs/>
                <w:color w:val="000000" w:themeColor="text1"/>
                <w:kern w:val="0"/>
                <w:szCs w:val="21"/>
                <w:vertAlign w:val="superscript"/>
                <w:lang w:bidi="ar"/>
                <w14:textFill>
                  <w14:solidFill>
                    <w14:schemeClr w14:val="tx1"/>
                  </w14:solidFill>
                </w14:textFill>
              </w:rPr>
              <w:t>3</w:t>
            </w:r>
          </w:p>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η=0.8</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带搅拌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盐水计量槽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V=10m³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6</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氟硅酸计量槽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V=12m³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7</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氟硅酸钠合成槽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带搅拌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8</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衬塑刮板离心机</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D=1.25m、800kg/h</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衬塑</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全自动，带清洗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9</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盘式干燥机</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10000吨/年</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组合件</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10</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母液槽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立式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11</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母液沉降槽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12</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洗水槽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V=10m³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hint="eastAsia" w:ascii="Times New Roman" w:hAnsi="Times New Roman" w:eastAsia="宋体"/>
                <w:bCs/>
                <w:color w:val="000000" w:themeColor="text1"/>
                <w:szCs w:val="21"/>
                <w:lang w:eastAsia="zh-CN"/>
                <w14:textFill>
                  <w14:solidFill>
                    <w14:schemeClr w14:val="tx1"/>
                  </w14:solidFill>
                </w14:textFill>
              </w:rPr>
            </w:pPr>
            <w:r>
              <w:rPr>
                <w:rFonts w:hint="eastAsia" w:ascii="Times New Roman" w:hAnsi="Times New Roman"/>
                <w:bCs/>
                <w:color w:val="000000" w:themeColor="text1"/>
                <w:kern w:val="0"/>
                <w:szCs w:val="21"/>
                <w:lang w:val="en-US" w:eastAsia="zh-CN" w:bidi="ar"/>
                <w14:textFill>
                  <w14:solidFill>
                    <w14:schemeClr w14:val="tx1"/>
                  </w14:solidFill>
                </w14:textFill>
              </w:rPr>
              <w:t>1</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洗水循环回用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13</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Style w:val="2143"/>
                <w:rFonts w:hint="default" w:ascii="Times New Roman" w:hAnsi="Times New Roman" w:cs="Times New Roman"/>
                <w:bCs/>
                <w:color w:val="000000" w:themeColor="text1"/>
                <w:sz w:val="21"/>
                <w:szCs w:val="21"/>
                <w:lang w:bidi="ar"/>
                <w14:textFill>
                  <w14:solidFill>
                    <w14:schemeClr w14:val="tx1"/>
                  </w14:solidFill>
                </w14:textFill>
              </w:rPr>
              <w:t>中和槽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w:t>
            </w:r>
            <w:r>
              <w:rPr>
                <w:rFonts w:ascii="Times New Roman" w:hAnsi="Times New Roman"/>
                <w:bCs/>
                <w:color w:val="000000" w:themeColor="text1"/>
                <w:kern w:val="0"/>
                <w:szCs w:val="21"/>
                <w:vertAlign w:val="superscript"/>
                <w:lang w:bidi="ar"/>
                <w14:textFill>
                  <w14:solidFill>
                    <w14:schemeClr w14:val="tx1"/>
                  </w14:solidFill>
                </w14:textFill>
              </w:rPr>
              <w:t>3</w:t>
            </w:r>
            <w:r>
              <w:rPr>
                <w:rStyle w:val="785"/>
                <w:rFonts w:ascii="Times New Roman" w:hAnsi="Times New Roman"/>
                <w:bCs/>
                <w:color w:val="000000" w:themeColor="text1"/>
                <w:szCs w:val="21"/>
                <w:lang w:bidi="ar"/>
                <w14:textFill>
                  <w14:solidFill>
                    <w14:schemeClr w14:val="tx1"/>
                  </w14:solidFill>
                </w14:textFill>
              </w:rPr>
              <w:t>，</w:t>
            </w:r>
            <w:r>
              <w:rPr>
                <w:rFonts w:ascii="Times New Roman" w:hAnsi="Times New Roman"/>
                <w:bCs/>
                <w:color w:val="000000" w:themeColor="text1"/>
                <w:kern w:val="0"/>
                <w:szCs w:val="21"/>
                <w:lang w:bidi="ar"/>
                <w14:textFill>
                  <w14:solidFill>
                    <w14:schemeClr w14:val="tx1"/>
                  </w14:solidFill>
                </w14:textFill>
              </w:rPr>
              <w:t>η=0.6</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hint="eastAsia" w:ascii="Times New Roman" w:hAnsi="Times New Roman" w:eastAsia="宋体"/>
                <w:bCs/>
                <w:color w:val="000000" w:themeColor="text1"/>
                <w:szCs w:val="21"/>
                <w:lang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6</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14</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板框压滤机</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120m²，800kg/h</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组合件</w:t>
            </w:r>
          </w:p>
        </w:tc>
        <w:tc>
          <w:tcPr>
            <w:tcW w:w="874" w:type="dxa"/>
            <w:tcMar>
              <w:top w:w="15" w:type="dxa"/>
              <w:left w:w="15" w:type="dxa"/>
              <w:right w:w="15" w:type="dxa"/>
            </w:tcMar>
            <w:vAlign w:val="center"/>
          </w:tcPr>
          <w:p>
            <w:pPr>
              <w:widowControl/>
              <w:jc w:val="center"/>
              <w:textAlignment w:val="center"/>
              <w:rPr>
                <w:rFonts w:hint="eastAsia" w:ascii="Times New Roman" w:hAnsi="Times New Roman" w:eastAsia="宋体"/>
                <w:bCs/>
                <w:color w:val="000000" w:themeColor="text1"/>
                <w:szCs w:val="21"/>
                <w:lang w:eastAsia="zh-CN"/>
                <w14:textFill>
                  <w14:solidFill>
                    <w14:schemeClr w14:val="tx1"/>
                  </w14:solidFill>
                </w14:textFill>
              </w:rPr>
            </w:pPr>
            <w:r>
              <w:rPr>
                <w:rFonts w:hint="eastAsia" w:ascii="Times New Roman" w:hAnsi="Times New Roman"/>
                <w:bCs/>
                <w:color w:val="000000" w:themeColor="text1"/>
                <w:kern w:val="0"/>
                <w:szCs w:val="21"/>
                <w:lang w:val="en-US" w:eastAsia="zh-CN" w:bidi="ar"/>
                <w14:textFill>
                  <w14:solidFill>
                    <w14:schemeClr w14:val="tx1"/>
                  </w14:solidFill>
                </w14:textFill>
              </w:rPr>
              <w:t>3</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15</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粗钙液中间槽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w:t>
            </w:r>
            <w:r>
              <w:rPr>
                <w:rFonts w:ascii="Times New Roman" w:hAnsi="Times New Roman"/>
                <w:bCs/>
                <w:color w:val="000000" w:themeColor="text1"/>
                <w:kern w:val="0"/>
                <w:szCs w:val="21"/>
                <w:vertAlign w:val="superscript"/>
                <w:lang w:bidi="ar"/>
                <w14:textFill>
                  <w14:solidFill>
                    <w14:schemeClr w14:val="tx1"/>
                  </w14:solidFill>
                </w14:textFill>
              </w:rPr>
              <w:t>3</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kern w:val="0"/>
                <w:szCs w:val="21"/>
                <w:lang w:val="en-US" w:eastAsia="zh-CN" w:bidi="ar"/>
                <w14:textFill>
                  <w14:solidFill>
                    <w14:schemeClr w14:val="tx1"/>
                  </w14:solidFill>
                </w14:textFill>
              </w:rPr>
            </w:pPr>
            <w:r>
              <w:rPr>
                <w:rFonts w:hint="eastAsia" w:ascii="Times New Roman" w:hAnsi="Times New Roman"/>
                <w:bCs/>
                <w:color w:val="000000" w:themeColor="text1"/>
                <w:kern w:val="0"/>
                <w:szCs w:val="21"/>
                <w:lang w:val="en-US" w:eastAsia="zh-CN" w:bidi="ar"/>
                <w14:textFill>
                  <w14:solidFill>
                    <w14:schemeClr w14:val="tx1"/>
                  </w14:solidFill>
                </w14:textFill>
              </w:rPr>
              <w:t>1</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16</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精钙液中间槽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w:t>
            </w:r>
            <w:r>
              <w:rPr>
                <w:rFonts w:ascii="Times New Roman" w:hAnsi="Times New Roman"/>
                <w:bCs/>
                <w:color w:val="000000" w:themeColor="text1"/>
                <w:kern w:val="0"/>
                <w:szCs w:val="21"/>
                <w:vertAlign w:val="superscript"/>
                <w:lang w:bidi="ar"/>
                <w14:textFill>
                  <w14:solidFill>
                    <w14:schemeClr w14:val="tx1"/>
                  </w14:solidFill>
                </w14:textFill>
              </w:rPr>
              <w:t>3</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val="en-US" w:eastAsia="zh-CN" w:bidi="ar"/>
                <w14:textFill>
                  <w14:solidFill>
                    <w14:schemeClr w14:val="tx1"/>
                  </w14:solidFill>
                </w14:textFill>
              </w:rPr>
              <w:t>1</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17</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除氟釜</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防腐玻璃钢</w:t>
            </w:r>
          </w:p>
        </w:tc>
        <w:tc>
          <w:tcPr>
            <w:tcW w:w="874" w:type="dxa"/>
            <w:tcMar>
              <w:top w:w="15" w:type="dxa"/>
              <w:left w:w="15" w:type="dxa"/>
              <w:right w:w="15" w:type="dxa"/>
            </w:tcMar>
            <w:vAlign w:val="center"/>
          </w:tcPr>
          <w:p>
            <w:pPr>
              <w:widowControl/>
              <w:jc w:val="center"/>
              <w:textAlignment w:val="center"/>
              <w:rPr>
                <w:rFonts w:hint="eastAsia" w:ascii="Times New Roman" w:hAnsi="Times New Roman" w:eastAsia="宋体"/>
                <w:bCs/>
                <w:color w:val="000000" w:themeColor="text1"/>
                <w:szCs w:val="21"/>
                <w:lang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4</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带搅拌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18</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16t/h氯化钙</w:t>
            </w:r>
          </w:p>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蒸发系统</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10t/h蒸</w:t>
            </w:r>
            <w:r>
              <w:rPr>
                <w:rFonts w:ascii="Times New Roman" w:hAnsi="Times New Roman"/>
                <w:bCs/>
                <w:color w:val="000000" w:themeColor="text1"/>
                <w:kern w:val="0"/>
                <w:szCs w:val="21"/>
                <w:lang w:bidi="ar"/>
                <w14:textFill>
                  <w14:solidFill>
                    <w14:schemeClr w14:val="tx1"/>
                  </w14:solidFill>
                </w14:textFill>
              </w:rPr>
              <w:br w:type="textWrapping"/>
            </w:r>
            <w:r>
              <w:rPr>
                <w:rFonts w:ascii="Times New Roman" w:hAnsi="Times New Roman"/>
                <w:bCs/>
                <w:color w:val="000000" w:themeColor="text1"/>
                <w:kern w:val="0"/>
                <w:szCs w:val="21"/>
                <w:lang w:bidi="ar"/>
                <w14:textFill>
                  <w14:solidFill>
                    <w14:schemeClr w14:val="tx1"/>
                  </w14:solidFill>
                </w14:textFill>
              </w:rPr>
              <w:t>发水量</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TA2/2205</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三效蒸发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19</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氟硅酸储槽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V=200m³</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20</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氟硅酸输送泵</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21</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成品氯化钙储槽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V=400m³</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22</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成品钙液输送泵</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23</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粗钙液储槽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V=400m³</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24</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粗钙液输送泵</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25</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废酸储槽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w:t>
            </w:r>
            <w:r>
              <w:rPr>
                <w:rFonts w:hint="eastAsia" w:ascii="Times New Roman" w:hAnsi="Times New Roman"/>
                <w:bCs/>
                <w:color w:val="000000" w:themeColor="text1"/>
                <w:kern w:val="0"/>
                <w:szCs w:val="21"/>
                <w:lang w:bidi="ar"/>
                <w14:textFill>
                  <w14:solidFill>
                    <w14:schemeClr w14:val="tx1"/>
                  </w14:solidFill>
                </w14:textFill>
              </w:rPr>
              <w:t>1</w:t>
            </w:r>
            <w:r>
              <w:rPr>
                <w:rFonts w:ascii="Times New Roman" w:hAnsi="Times New Roman"/>
                <w:bCs/>
                <w:color w:val="000000" w:themeColor="text1"/>
                <w:kern w:val="0"/>
                <w:szCs w:val="21"/>
                <w:lang w:bidi="ar"/>
                <w14:textFill>
                  <w14:solidFill>
                    <w14:schemeClr w14:val="tx1"/>
                  </w14:solidFill>
                </w14:textFill>
              </w:rPr>
              <w:t>00m³</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CS/PE</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26</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废酸输送泵</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27</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蒸汽冷凝水槽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碳钢</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28</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污冷凝水槽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V=20m³</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PP</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29</w:t>
            </w:r>
          </w:p>
        </w:tc>
        <w:tc>
          <w:tcPr>
            <w:tcW w:w="2068" w:type="dxa"/>
            <w:tcMar>
              <w:top w:w="15" w:type="dxa"/>
              <w:left w:w="15" w:type="dxa"/>
              <w:right w:w="15" w:type="dxa"/>
            </w:tcMar>
            <w:vAlign w:val="center"/>
          </w:tcPr>
          <w:p>
            <w:pPr>
              <w:widowControl/>
              <w:jc w:val="center"/>
              <w:textAlignment w:val="center"/>
              <w:rPr>
                <w:rFonts w:hint="eastAsia" w:ascii="Times New Roman" w:hAnsi="Times New Roman" w:eastAsia="宋体"/>
                <w:bCs/>
                <w:color w:val="000000" w:themeColor="text1"/>
                <w:kern w:val="0"/>
                <w:szCs w:val="21"/>
                <w:lang w:eastAsia="zh-CN" w:bidi="ar"/>
                <w14:textFill>
                  <w14:solidFill>
                    <w14:schemeClr w14:val="tx1"/>
                  </w14:solidFill>
                </w14:textFill>
              </w:rPr>
            </w:pPr>
            <w:r>
              <w:rPr>
                <w:rFonts w:hint="eastAsia" w:ascii="Times New Roman" w:hAnsi="Times New Roman"/>
                <w:bCs/>
                <w:color w:val="000000" w:themeColor="text1"/>
                <w:kern w:val="0"/>
                <w:szCs w:val="21"/>
                <w:lang w:eastAsia="zh-CN" w:bidi="ar"/>
                <w14:textFill>
                  <w14:solidFill>
                    <w14:schemeClr w14:val="tx1"/>
                  </w14:solidFill>
                </w14:textFill>
              </w:rPr>
              <w:t>调浆槽</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V=20m³</w:t>
            </w:r>
          </w:p>
        </w:tc>
        <w:tc>
          <w:tcPr>
            <w:tcW w:w="1337" w:type="dxa"/>
            <w:tcMar>
              <w:top w:w="15" w:type="dxa"/>
              <w:left w:w="15" w:type="dxa"/>
              <w:right w:w="15" w:type="dxa"/>
            </w:tcMar>
            <w:vAlign w:val="center"/>
          </w:tcPr>
          <w:p>
            <w:pPr>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szCs w:val="21"/>
                <w14:textFill>
                  <w14:solidFill>
                    <w14:schemeClr w14:val="tx1"/>
                  </w14:solidFill>
                </w14:textFill>
              </w:rPr>
              <w:t>FRP</w:t>
            </w:r>
          </w:p>
        </w:tc>
        <w:tc>
          <w:tcPr>
            <w:tcW w:w="874" w:type="dxa"/>
            <w:tcMar>
              <w:top w:w="15" w:type="dxa"/>
              <w:left w:w="15" w:type="dxa"/>
              <w:right w:w="15" w:type="dxa"/>
            </w:tcMar>
            <w:vAlign w:val="center"/>
          </w:tcPr>
          <w:p>
            <w:pPr>
              <w:widowControl/>
              <w:jc w:val="center"/>
              <w:textAlignment w:val="center"/>
              <w:rPr>
                <w:rFonts w:hint="eastAsia" w:ascii="Times New Roman" w:hAnsi="Times New Roman" w:eastAsia="宋体"/>
                <w:bCs/>
                <w:color w:val="000000" w:themeColor="text1"/>
                <w:kern w:val="0"/>
                <w:szCs w:val="21"/>
                <w:lang w:eastAsia="zh-CN" w:bidi="ar"/>
                <w14:textFill>
                  <w14:solidFill>
                    <w14:schemeClr w14:val="tx1"/>
                  </w14:solidFill>
                </w14:textFill>
              </w:rPr>
            </w:pPr>
            <w:r>
              <w:rPr>
                <w:rFonts w:hint="eastAsia" w:ascii="Times New Roman" w:hAnsi="Times New Roman"/>
                <w:bCs/>
                <w:color w:val="000000" w:themeColor="text1"/>
                <w:kern w:val="0"/>
                <w:szCs w:val="21"/>
                <w:lang w:val="en-US" w:eastAsia="zh-CN" w:bidi="ar"/>
                <w14:textFill>
                  <w14:solidFill>
                    <w14:schemeClr w14:val="tx1"/>
                  </w14:solidFill>
                </w14:textFill>
              </w:rPr>
              <w:t>1</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30</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循环水泵</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Q=300m</w:t>
            </w:r>
            <w:r>
              <w:rPr>
                <w:rFonts w:ascii="Times New Roman" w:hAnsi="Times New Roman"/>
                <w:bCs/>
                <w:color w:val="000000" w:themeColor="text1"/>
                <w:kern w:val="0"/>
                <w:szCs w:val="21"/>
                <w:vertAlign w:val="superscript"/>
                <w:lang w:bidi="ar"/>
                <w14:textFill>
                  <w14:solidFill>
                    <w14:schemeClr w14:val="tx1"/>
                  </w14:solidFill>
                </w14:textFill>
              </w:rPr>
              <w:t>3</w:t>
            </w:r>
            <w:r>
              <w:rPr>
                <w:rFonts w:ascii="Times New Roman" w:hAnsi="Times New Roman"/>
                <w:bCs/>
                <w:color w:val="000000" w:themeColor="text1"/>
                <w:kern w:val="0"/>
                <w:szCs w:val="21"/>
                <w:lang w:bidi="ar"/>
                <w14:textFill>
                  <w14:solidFill>
                    <w14:schemeClr w14:val="tx1"/>
                  </w14:solidFill>
                </w14:textFill>
              </w:rPr>
              <w:t>/h，H=51m，N=75kW</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31</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螺杆式空压机</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BLT-150A/W，90kW</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32</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压缩空气缓冲罐</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33</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包装机</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1</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34</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絮凝剂配制罐</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V=1m³</w:t>
            </w:r>
          </w:p>
        </w:tc>
        <w:tc>
          <w:tcPr>
            <w:tcW w:w="1337" w:type="dxa"/>
            <w:tcMar>
              <w:top w:w="15" w:type="dxa"/>
              <w:left w:w="15" w:type="dxa"/>
              <w:right w:w="15" w:type="dxa"/>
            </w:tcMar>
            <w:vAlign w:val="center"/>
          </w:tcPr>
          <w:p>
            <w:pPr>
              <w:ind w:firstLine="630" w:firstLineChars="300"/>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1744" w:type="dxa"/>
            <w:tcMar>
              <w:top w:w="15" w:type="dxa"/>
              <w:left w:w="15" w:type="dxa"/>
              <w:right w:w="15" w:type="dxa"/>
            </w:tcMar>
            <w:vAlign w:val="center"/>
          </w:tcPr>
          <w:p>
            <w:pPr>
              <w:ind w:firstLine="420"/>
              <w:jc w:val="center"/>
              <w:rPr>
                <w:rFonts w:ascii="Times New Roman" w:hAnsi="Times New Roman"/>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35</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尾气吸收系统</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三级吸收塔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886" w:type="dxa"/>
            <w:tcMar>
              <w:top w:w="15" w:type="dxa"/>
              <w:left w:w="15" w:type="dxa"/>
              <w:right w:w="15" w:type="dxa"/>
            </w:tcMar>
            <w:vAlign w:val="center"/>
          </w:tcPr>
          <w:p>
            <w:pPr>
              <w:widowControl/>
              <w:jc w:val="center"/>
              <w:textAlignment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36</w:t>
            </w:r>
          </w:p>
        </w:tc>
        <w:tc>
          <w:tcPr>
            <w:tcW w:w="206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风机</w:t>
            </w:r>
          </w:p>
        </w:tc>
        <w:tc>
          <w:tcPr>
            <w:tcW w:w="1908"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1337"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w:t>
            </w:r>
          </w:p>
        </w:tc>
        <w:tc>
          <w:tcPr>
            <w:tcW w:w="874" w:type="dxa"/>
            <w:tcMar>
              <w:top w:w="15" w:type="dxa"/>
              <w:left w:w="15" w:type="dxa"/>
              <w:right w:w="15" w:type="dxa"/>
            </w:tcMar>
            <w:vAlign w:val="center"/>
          </w:tcPr>
          <w:p>
            <w:pPr>
              <w:widowControl/>
              <w:jc w:val="center"/>
              <w:textAlignment w:val="center"/>
              <w:rPr>
                <w:rFonts w:ascii="Times New Roman" w:hAnsi="Times New Roman"/>
                <w:bCs/>
                <w:color w:val="000000" w:themeColor="text1"/>
                <w:kern w:val="0"/>
                <w:szCs w:val="21"/>
                <w:lang w:bidi="ar"/>
                <w14:textFill>
                  <w14:solidFill>
                    <w14:schemeClr w14:val="tx1"/>
                  </w14:solidFill>
                </w14:textFill>
              </w:rPr>
            </w:pPr>
            <w:r>
              <w:rPr>
                <w:rFonts w:hint="eastAsia" w:ascii="Times New Roman" w:hAnsi="Times New Roman"/>
                <w:bCs/>
                <w:color w:val="000000" w:themeColor="text1"/>
                <w:kern w:val="0"/>
                <w:szCs w:val="21"/>
                <w:lang w:bidi="ar"/>
                <w14:textFill>
                  <w14:solidFill>
                    <w14:schemeClr w14:val="tx1"/>
                  </w14:solidFill>
                </w14:textFill>
              </w:rPr>
              <w:t>3</w:t>
            </w:r>
          </w:p>
        </w:tc>
        <w:tc>
          <w:tcPr>
            <w:tcW w:w="1744" w:type="dxa"/>
            <w:tcMar>
              <w:top w:w="15" w:type="dxa"/>
              <w:left w:w="15" w:type="dxa"/>
              <w:right w:w="15" w:type="dxa"/>
            </w:tcMar>
            <w:vAlign w:val="center"/>
          </w:tcPr>
          <w:p>
            <w:pPr>
              <w:widowControl/>
              <w:jc w:val="center"/>
              <w:textAlignment w:val="center"/>
              <w:rPr>
                <w:rFonts w:ascii="Times New Roman" w:hAnsi="Times New Roman"/>
                <w:bCs/>
                <w:color w:val="000000" w:themeColor="text1"/>
                <w:szCs w:val="21"/>
                <w14:textFill>
                  <w14:solidFill>
                    <w14:schemeClr w14:val="tx1"/>
                  </w14:solidFill>
                </w14:textFill>
              </w:rPr>
            </w:pPr>
          </w:p>
        </w:tc>
      </w:tr>
    </w:tbl>
    <w:p>
      <w:pPr>
        <w:rPr>
          <w:color w:val="000000" w:themeColor="text1"/>
          <w14:textFill>
            <w14:solidFill>
              <w14:schemeClr w14:val="tx1"/>
            </w14:solidFill>
          </w14:textFill>
        </w:rPr>
      </w:pPr>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84" w:name="_Toc24716"/>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.8</w:t>
      </w:r>
      <w:r>
        <w:rPr>
          <w:rFonts w:hint="eastAsia" w:ascii="黑体" w:hAnsi="黑体" w:eastAsia="黑体"/>
          <w:b/>
          <w:color w:val="000000" w:themeColor="text1"/>
          <w:sz w:val="32"/>
          <w:szCs w:val="32"/>
          <w14:textFill>
            <w14:solidFill>
              <w14:schemeClr w14:val="tx1"/>
            </w14:solidFill>
          </w14:textFill>
        </w:rPr>
        <w:t>项目平面布置</w:t>
      </w:r>
      <w:bookmarkEnd w:id="184"/>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bookmarkStart w:id="185" w:name="_Toc9967"/>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bookmarkEnd w:id="185"/>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186" w:name="_Toc16868"/>
      <w:bookmarkStart w:id="187" w:name="_Toc7485"/>
      <w:bookmarkStart w:id="188" w:name="_Toc17428"/>
      <w:r>
        <w:rPr>
          <w:rFonts w:hint="eastAsia" w:ascii="Times New Roman" w:hAnsi="Times New Roman" w:eastAsia="黑体"/>
          <w:b/>
          <w:color w:val="000000" w:themeColor="text1"/>
          <w:kern w:val="0"/>
          <w:sz w:val="28"/>
          <w:szCs w:val="28"/>
          <w:lang w:val="en-US" w:eastAsia="zh-CN"/>
          <w14:textFill>
            <w14:solidFill>
              <w14:schemeClr w14:val="tx1"/>
            </w14:solidFill>
          </w14:textFill>
        </w:rPr>
        <w:t>3</w:t>
      </w:r>
      <w:r>
        <w:rPr>
          <w:rFonts w:hint="eastAsia" w:ascii="Times New Roman" w:hAnsi="Times New Roman" w:eastAsia="黑体"/>
          <w:b/>
          <w:color w:val="000000" w:themeColor="text1"/>
          <w:kern w:val="0"/>
          <w:sz w:val="28"/>
          <w:szCs w:val="28"/>
          <w14:textFill>
            <w14:solidFill>
              <w14:schemeClr w14:val="tx1"/>
            </w14:solidFill>
          </w14:textFill>
        </w:rPr>
        <w:t>.8.1布置原则</w:t>
      </w:r>
      <w:bookmarkEnd w:id="186"/>
      <w:bookmarkEnd w:id="187"/>
      <w:bookmarkEnd w:id="188"/>
    </w:p>
    <w:p>
      <w:pPr>
        <w:shd w:val="clear" w:color="auto" w:fill="FFFFFF"/>
        <w:overflowPunct w:val="0"/>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（1）总平面布置原则</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①</w:t>
      </w:r>
      <w:r>
        <w:rPr>
          <w:rFonts w:ascii="Times New Roman" w:hAnsiTheme="minorEastAsia" w:eastAsiaTheme="minorEastAsia"/>
          <w:color w:val="000000" w:themeColor="text1"/>
          <w:sz w:val="24"/>
          <w14:textFill>
            <w14:solidFill>
              <w14:schemeClr w14:val="tx1"/>
            </w14:solidFill>
          </w14:textFill>
        </w:rPr>
        <w:t>充分利用园区内现有土地资源，因地制宜、合理布置、节约用地、规划方案符合</w:t>
      </w:r>
      <w:r>
        <w:rPr>
          <w:rFonts w:hint="eastAsia" w:ascii="Times New Roman" w:hAnsiTheme="minorEastAsia" w:eastAsiaTheme="minorEastAsia"/>
          <w:color w:val="000000" w:themeColor="text1"/>
          <w:sz w:val="24"/>
          <w14:textFill>
            <w14:solidFill>
              <w14:schemeClr w14:val="tx1"/>
            </w14:solidFill>
          </w14:textFill>
        </w:rPr>
        <w:t>宜昌化工园宜都园区</w:t>
      </w:r>
      <w:r>
        <w:rPr>
          <w:rFonts w:ascii="Times New Roman" w:hAnsiTheme="minorEastAsia" w:eastAsiaTheme="minorEastAsia"/>
          <w:color w:val="000000" w:themeColor="text1"/>
          <w:sz w:val="24"/>
          <w14:textFill>
            <w14:solidFill>
              <w14:schemeClr w14:val="tx1"/>
            </w14:solidFill>
          </w14:textFill>
        </w:rPr>
        <w:t>总体规划的要求。</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②</w:t>
      </w:r>
      <w:r>
        <w:rPr>
          <w:rFonts w:ascii="Times New Roman" w:hAnsiTheme="minorEastAsia" w:eastAsiaTheme="minorEastAsia"/>
          <w:color w:val="000000" w:themeColor="text1"/>
          <w:sz w:val="24"/>
          <w14:textFill>
            <w14:solidFill>
              <w14:schemeClr w14:val="tx1"/>
            </w14:solidFill>
          </w14:textFill>
        </w:rPr>
        <w:t>结合场地现状条件，合理布置建、构筑物，力求工艺流程顺畅，管线短捷，人、物流畅通，使各规划装置区有机结合，方便生产管理。</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③</w:t>
      </w:r>
      <w:r>
        <w:rPr>
          <w:rFonts w:ascii="Times New Roman" w:hAnsiTheme="minorEastAsia" w:eastAsiaTheme="minorEastAsia"/>
          <w:color w:val="000000" w:themeColor="text1"/>
          <w:sz w:val="24"/>
          <w14:textFill>
            <w14:solidFill>
              <w14:schemeClr w14:val="tx1"/>
            </w14:solidFill>
          </w14:textFill>
        </w:rPr>
        <w:t>总图布置充分考虑规划厂址所在地区的风向因素，符合消防、安全、环保及卫生等有关规范的要求，为工厂安全生产创造有利条件</w:t>
      </w:r>
      <w:r>
        <w:rPr>
          <w:rFonts w:hint="eastAsia" w:ascii="Times New Roman" w:hAnsiTheme="minorEastAsia" w:eastAsiaTheme="minorEastAsia"/>
          <w:color w:val="000000" w:themeColor="text1"/>
          <w:sz w:val="24"/>
          <w14:textFill>
            <w14:solidFill>
              <w14:schemeClr w14:val="tx1"/>
            </w14:solidFill>
          </w14:textFill>
        </w:rPr>
        <w:t>。</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④</w:t>
      </w:r>
      <w:r>
        <w:rPr>
          <w:rFonts w:ascii="Times New Roman" w:hAnsiTheme="minorEastAsia" w:eastAsiaTheme="minorEastAsia"/>
          <w:color w:val="000000" w:themeColor="text1"/>
          <w:sz w:val="24"/>
          <w14:textFill>
            <w14:solidFill>
              <w14:schemeClr w14:val="tx1"/>
            </w14:solidFill>
          </w14:textFill>
        </w:rPr>
        <w:t>根据厂区的生产性质在满足功能分区的同时，公用工程设施集中布置，尽可能靠近负荷中心，统一分配管理。</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fldChar w:fldCharType="begin"/>
      </w:r>
      <w:r>
        <w:rPr>
          <w:rFonts w:ascii="Times New Roman" w:hAnsiTheme="minorEastAsia" w:eastAsiaTheme="minorEastAsia"/>
          <w:color w:val="000000" w:themeColor="text1"/>
          <w:sz w:val="24"/>
          <w14:textFill>
            <w14:solidFill>
              <w14:schemeClr w14:val="tx1"/>
            </w14:solidFill>
          </w14:textFill>
        </w:rPr>
        <w:instrText xml:space="preserve"> = 5 \* GB3 </w:instrText>
      </w:r>
      <w:r>
        <w:rPr>
          <w:rFonts w:ascii="Times New Roman" w:hAnsiTheme="minorEastAsia" w:eastAsiaTheme="minorEastAsia"/>
          <w:color w:val="000000" w:themeColor="text1"/>
          <w:sz w:val="24"/>
          <w14:textFill>
            <w14:solidFill>
              <w14:schemeClr w14:val="tx1"/>
            </w14:solidFill>
          </w14:textFill>
        </w:rPr>
        <w:fldChar w:fldCharType="separate"/>
      </w:r>
      <w:r>
        <w:rPr>
          <w:rFonts w:hint="eastAsia" w:ascii="Times New Roman" w:hAnsiTheme="minorEastAsia" w:eastAsiaTheme="minorEastAsia"/>
          <w:color w:val="000000" w:themeColor="text1"/>
          <w:sz w:val="24"/>
          <w14:textFill>
            <w14:solidFill>
              <w14:schemeClr w14:val="tx1"/>
            </w14:solidFill>
          </w14:textFill>
        </w:rPr>
        <w:t>⑤</w:t>
      </w:r>
      <w:r>
        <w:rPr>
          <w:rFonts w:ascii="Times New Roman" w:hAnsiTheme="minorEastAsia" w:eastAsiaTheme="minorEastAsia"/>
          <w:color w:val="000000" w:themeColor="text1"/>
          <w:sz w:val="24"/>
          <w14:textFill>
            <w14:solidFill>
              <w14:schemeClr w14:val="tx1"/>
            </w14:solidFill>
          </w14:textFill>
        </w:rPr>
        <w:fldChar w:fldCharType="end"/>
      </w:r>
      <w:r>
        <w:rPr>
          <w:rFonts w:hint="eastAsia" w:ascii="Times New Roman" w:hAnsiTheme="minorEastAsia" w:eastAsiaTheme="minorEastAsia"/>
          <w:color w:val="000000" w:themeColor="text1"/>
          <w:sz w:val="24"/>
          <w14:textFill>
            <w14:solidFill>
              <w14:schemeClr w14:val="tx1"/>
            </w14:solidFill>
          </w14:textFill>
        </w:rPr>
        <w:t>氟硅酸钠装置</w:t>
      </w:r>
      <w:r>
        <w:rPr>
          <w:rFonts w:ascii="Times New Roman" w:hAnsiTheme="minorEastAsia" w:eastAsiaTheme="minorEastAsia"/>
          <w:color w:val="000000" w:themeColor="text1"/>
          <w:sz w:val="24"/>
          <w14:textFill>
            <w14:solidFill>
              <w14:schemeClr w14:val="tx1"/>
            </w14:solidFill>
          </w14:textFill>
        </w:rPr>
        <w:t>的大小要充分考虑装置的操作、设备安装、检修要求。</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imes New Roman" w:eastAsiaTheme="minorEastAsia"/>
          <w:bCs/>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w:t>
      </w:r>
      <w:r>
        <w:rPr>
          <w:rFonts w:hint="eastAsia" w:ascii="Times New Roman" w:hAnsiTheme="minorEastAsia" w:eastAsiaTheme="minorEastAsia"/>
          <w:bCs/>
          <w:color w:val="000000" w:themeColor="text1"/>
          <w:sz w:val="24"/>
          <w14:textFill>
            <w14:solidFill>
              <w14:schemeClr w14:val="tx1"/>
            </w14:solidFill>
          </w14:textFill>
        </w:rPr>
        <w:t>竖向布置原则</w:t>
      </w:r>
    </w:p>
    <w:p>
      <w:pPr>
        <w:shd w:val="clear" w:color="auto" w:fill="FFFFFF"/>
        <w:overflowPunct w:val="0"/>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在满足生产工艺流程、运输要求的前提下，结合场地现状及周边道路，随坡就势，因地制宜，尽量节省土方量，力争土方平衡。合理确定场地标高，排水方式和坡度，保证场地不受洪水和区域性积水的威胁。</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189" w:name="_Toc32433"/>
      <w:bookmarkStart w:id="190" w:name="_Toc27428"/>
      <w:bookmarkStart w:id="191" w:name="_Toc6512"/>
      <w:r>
        <w:rPr>
          <w:rFonts w:hint="eastAsia" w:ascii="Times New Roman" w:hAnsi="Times New Roman" w:eastAsia="黑体"/>
          <w:b/>
          <w:color w:val="000000" w:themeColor="text1"/>
          <w:kern w:val="0"/>
          <w:sz w:val="28"/>
          <w:szCs w:val="28"/>
          <w:lang w:val="en-US" w:eastAsia="zh-CN"/>
          <w14:textFill>
            <w14:solidFill>
              <w14:schemeClr w14:val="tx1"/>
            </w14:solidFill>
          </w14:textFill>
        </w:rPr>
        <w:t>3</w:t>
      </w:r>
      <w:r>
        <w:rPr>
          <w:rFonts w:hint="eastAsia" w:ascii="Times New Roman" w:hAnsi="Times New Roman" w:eastAsia="黑体"/>
          <w:b/>
          <w:color w:val="000000" w:themeColor="text1"/>
          <w:kern w:val="0"/>
          <w:sz w:val="28"/>
          <w:szCs w:val="28"/>
          <w14:textFill>
            <w14:solidFill>
              <w14:schemeClr w14:val="tx1"/>
            </w14:solidFill>
          </w14:textFill>
        </w:rPr>
        <w:t>.8.2布置方案</w:t>
      </w:r>
      <w:bookmarkEnd w:id="189"/>
      <w:bookmarkEnd w:id="190"/>
      <w:bookmarkEnd w:id="191"/>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（1）总平面布置方案</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厂区设置两个出入口，出入口一位于厂区西北侧，出入口二位于厂区东北侧。</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氟硅酸钠装置及综合楼位于厂区东北侧，综合楼靠近出入口二，罐区布置在厂区西北侧，靠近出入口一；综合仓库与初期雨水收集池及事故池、水泵房布置在厂区东南侧；变配电站和控制室均设置在综合楼内。循环水系统设置在氟硅酸钠装置内。</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整个总体布局特点是功能分区明确，工艺流程顺畅，公用工程与生产装置之间联系方便，管线短捷，减少能耗。从原料进厂到产品出厂，运输线路顺畅，降低运营成本。</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厂区主要道路宽度7m，采用城市型道路，转弯半径12m，可以满足生产运输及消防使用要求。</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（2）竖向布置方案</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bCs/>
          <w:color w:val="000000" w:themeColor="text1"/>
          <w:sz w:val="24"/>
          <w14:textFill>
            <w14:solidFill>
              <w14:schemeClr w14:val="tx1"/>
            </w14:solidFill>
          </w14:textFill>
        </w:rPr>
      </w:pPr>
      <w:r>
        <w:rPr>
          <w:rFonts w:hint="eastAsia" w:ascii="Times New Roman" w:hAnsiTheme="minorEastAsia" w:eastAsiaTheme="minorEastAsia"/>
          <w:bCs/>
          <w:color w:val="000000" w:themeColor="text1"/>
          <w:sz w:val="24"/>
          <w14:textFill>
            <w14:solidFill>
              <w14:schemeClr w14:val="tx1"/>
            </w14:solidFill>
          </w14:textFill>
        </w:rPr>
        <w:t xml:space="preserve">本工程所在地块地势高差大，场地以挖方量为主，竖向采用台阶式布置方式，场地标高满足总图规划设计要求。 </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（3）厂内运输</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厂区设有两个出入口，均与生产区的运输通道相连，方便运输。厂内运输任务及车辆购置主要考虑厂内零星货物运输及人员乘车。厂内的运输方式主要采用汽车、叉车运输。根据生产性质、运输及消防要求，道路宽度为7.0与4m。道路采用城市型，其结构为：水泥混凝土面层25cm，级配砾石基层30cm，可满足生产运输和消防要求。</w:t>
      </w:r>
    </w:p>
    <w:p>
      <w:pPr>
        <w:shd w:val="clear" w:color="auto" w:fill="FFFFFF"/>
        <w:overflowPunct w:val="0"/>
        <w:autoSpaceDE w:val="0"/>
        <w:autoSpaceDN w:val="0"/>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综上</w:t>
      </w:r>
      <w:r>
        <w:rPr>
          <w:rFonts w:hint="eastAsia" w:ascii="Times New Roman" w:hAnsiTheme="minorEastAsia" w:eastAsiaTheme="minorEastAsia"/>
          <w:color w:val="000000" w:themeColor="text1"/>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本项目总平面布置综合考虑了园区规划、工艺要求、功能分区、管线布置、物流运输、安全生产、节能环保等各方面的要求，本项目布局合理。</w:t>
      </w:r>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92" w:name="_Toc21804"/>
      <w:r>
        <w:rPr>
          <w:rFonts w:hint="eastAsia" w:ascii="Times New Roman" w:hAnsi="Times New Roman" w:eastAsia="黑体"/>
          <w:b/>
          <w:color w:val="000000" w:themeColor="text1"/>
          <w:sz w:val="32"/>
          <w:szCs w:val="32"/>
          <w:lang w:val="en-US" w:eastAsia="zh-CN"/>
          <w14:textFill>
            <w14:solidFill>
              <w14:schemeClr w14:val="tx1"/>
            </w14:solidFill>
          </w14:textFill>
        </w:rPr>
        <w:t>3</w:t>
      </w:r>
      <w:r>
        <w:rPr>
          <w:rFonts w:ascii="Times New Roman" w:hAnsi="Times New Roman" w:eastAsia="黑体"/>
          <w:b/>
          <w:color w:val="000000" w:themeColor="text1"/>
          <w:sz w:val="32"/>
          <w:szCs w:val="32"/>
          <w14:textFill>
            <w14:solidFill>
              <w14:schemeClr w14:val="tx1"/>
            </w14:solidFill>
          </w14:textFill>
        </w:rPr>
        <w:t>.9</w:t>
      </w:r>
      <w:r>
        <w:rPr>
          <w:rFonts w:hint="eastAsia" w:ascii="黑体" w:hAnsi="黑体" w:eastAsia="黑体"/>
          <w:b/>
          <w:color w:val="000000" w:themeColor="text1"/>
          <w:sz w:val="32"/>
          <w:szCs w:val="32"/>
          <w14:textFill>
            <w14:solidFill>
              <w14:schemeClr w14:val="tx1"/>
            </w14:solidFill>
          </w14:textFill>
        </w:rPr>
        <w:t>项目</w:t>
      </w:r>
      <w:r>
        <w:rPr>
          <w:rFonts w:ascii="黑体" w:hAnsi="黑体" w:eastAsia="黑体"/>
          <w:b/>
          <w:color w:val="000000" w:themeColor="text1"/>
          <w:sz w:val="32"/>
          <w:szCs w:val="32"/>
          <w14:textFill>
            <w14:solidFill>
              <w14:schemeClr w14:val="tx1"/>
            </w14:solidFill>
          </w14:textFill>
        </w:rPr>
        <w:t>主要技术经济指标</w:t>
      </w:r>
      <w:bookmarkEnd w:id="192"/>
    </w:p>
    <w:p>
      <w:pPr>
        <w:spacing w:line="520" w:lineRule="exact"/>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3</w:t>
      </w:r>
      <w:r>
        <w:rPr>
          <w:rFonts w:ascii="Times New Roman" w:hAnsi="Times New Roman" w:eastAsiaTheme="minorEastAsia"/>
          <w:b/>
          <w:color w:val="000000" w:themeColor="text1"/>
          <w:sz w:val="24"/>
          <w:szCs w:val="24"/>
          <w14:textFill>
            <w14:solidFill>
              <w14:schemeClr w14:val="tx1"/>
            </w14:solidFill>
          </w14:textFill>
        </w:rPr>
        <w:t>.9-1</w:t>
      </w:r>
      <w:r>
        <w:rPr>
          <w:rFonts w:ascii="Times New Roman" w:hAnsiTheme="minorEastAsia" w:eastAsiaTheme="minorEastAsia"/>
          <w:b/>
          <w:color w:val="000000" w:themeColor="text1"/>
          <w:sz w:val="24"/>
          <w:szCs w:val="24"/>
          <w14:textFill>
            <w14:solidFill>
              <w14:schemeClr w14:val="tx1"/>
            </w14:solidFill>
          </w14:textFill>
        </w:rPr>
        <w:t>主要经济技术指标表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2"/>
        <w:gridCol w:w="2639"/>
        <w:gridCol w:w="1894"/>
        <w:gridCol w:w="1895"/>
        <w:gridCol w:w="1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序号</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指标名称</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单位</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数据</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639"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项目总征地面积</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r>
              <w:rPr>
                <w:rFonts w:hint="eastAsia" w:ascii="Times New Roman" w:hAnsi="宋体"/>
                <w:color w:val="000000" w:themeColor="text1"/>
                <w:szCs w:val="21"/>
                <w:vertAlign w:val="superscript"/>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13289.28</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折合19.93亩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2639" w:type="dxa"/>
            <w:vAlign w:val="center"/>
          </w:tcPr>
          <w:p>
            <w:pPr>
              <w:ind w:firstLine="210" w:firstLineChars="100"/>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建、构筑物总占地面积</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r>
              <w:rPr>
                <w:rFonts w:hint="eastAsia" w:ascii="Times New Roman" w:hAnsi="宋体"/>
                <w:color w:val="000000" w:themeColor="text1"/>
                <w:szCs w:val="21"/>
                <w:vertAlign w:val="superscript"/>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5406.65</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2639"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操作场用地面积</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r>
              <w:rPr>
                <w:rFonts w:hint="eastAsia" w:ascii="Times New Roman" w:hAnsi="宋体"/>
                <w:color w:val="000000" w:themeColor="text1"/>
                <w:szCs w:val="21"/>
                <w:vertAlign w:val="superscript"/>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774.61</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2639" w:type="dxa"/>
            <w:vAlign w:val="center"/>
          </w:tcPr>
          <w:p>
            <w:pP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 xml:space="preserve">（计算容积率）总建筑物、构筑物面积 </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r>
              <w:rPr>
                <w:rFonts w:hint="eastAsia" w:ascii="Times New Roman" w:hAnsi="宋体"/>
                <w:color w:val="000000" w:themeColor="text1"/>
                <w:szCs w:val="21"/>
                <w:vertAlign w:val="superscript"/>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9436.08</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2639"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总建筑面积</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r>
              <w:rPr>
                <w:rFonts w:hint="eastAsia" w:ascii="Times New Roman" w:hAnsi="宋体"/>
                <w:color w:val="000000" w:themeColor="text1"/>
                <w:szCs w:val="21"/>
                <w:vertAlign w:val="superscript"/>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4604.95</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建设</w:t>
            </w:r>
            <w:r>
              <w:rPr>
                <w:rFonts w:hint="eastAsia" w:ascii="Times New Roman" w:hAnsi="宋体"/>
                <w:color w:val="000000" w:themeColor="text1"/>
                <w:szCs w:val="21"/>
                <w14:textFill>
                  <w14:solidFill>
                    <w14:schemeClr w14:val="tx1"/>
                  </w14:solidFill>
                </w14:textFill>
              </w:rPr>
              <w:t>系数</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49.2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容积率</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0.75</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8</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绿化面积</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r>
              <w:rPr>
                <w:rFonts w:hint="eastAsia" w:ascii="Times New Roman" w:hAnsi="宋体"/>
                <w:color w:val="000000" w:themeColor="text1"/>
                <w:szCs w:val="21"/>
                <w:vertAlign w:val="superscript"/>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1433.93</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绿地率</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11.4</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10</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围墙长度</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415.3</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11</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道路及硬化地面面积</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r>
              <w:rPr>
                <w:rFonts w:hint="eastAsia" w:ascii="Times New Roman" w:hAnsi="宋体"/>
                <w:color w:val="000000" w:themeColor="text1"/>
                <w:szCs w:val="21"/>
                <w:vertAlign w:val="superscript"/>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5684.7</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含进厂道路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12</w:t>
            </w:r>
          </w:p>
        </w:tc>
        <w:tc>
          <w:tcPr>
            <w:tcW w:w="2639"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电动门</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个</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2</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13</w:t>
            </w:r>
          </w:p>
        </w:tc>
        <w:tc>
          <w:tcPr>
            <w:tcW w:w="2639"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挡土墙长度</w:t>
            </w:r>
          </w:p>
        </w:tc>
        <w:tc>
          <w:tcPr>
            <w:tcW w:w="1894"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m</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147.4</w:t>
            </w:r>
          </w:p>
        </w:tc>
        <w:tc>
          <w:tcPr>
            <w:tcW w:w="1895" w:type="dxa"/>
            <w:vAlign w:val="center"/>
          </w:tcPr>
          <w:p>
            <w:pPr>
              <w:jc w:val="center"/>
              <w:rPr>
                <w:rFonts w:ascii="Times New Roman" w:hAnsi="宋体"/>
                <w:color w:val="000000" w:themeColor="text1"/>
                <w:szCs w:val="21"/>
                <w14:textFill>
                  <w14:solidFill>
                    <w14:schemeClr w14:val="tx1"/>
                  </w14:solidFill>
                </w14:textFill>
              </w:rPr>
            </w:pPr>
            <w:r>
              <w:rPr>
                <w:rFonts w:hint="eastAsia" w:ascii="Times New Roman" w:hAnsi="宋体"/>
                <w:color w:val="000000" w:themeColor="text1"/>
                <w:szCs w:val="21"/>
                <w14:textFill>
                  <w14:solidFill>
                    <w14:schemeClr w14:val="tx1"/>
                  </w14:solidFill>
                </w14:textFill>
              </w:rPr>
              <w:t>/</w:t>
            </w:r>
          </w:p>
        </w:tc>
      </w:tr>
    </w:tbl>
    <w:p>
      <w:pPr>
        <w:rPr>
          <w:rFonts w:ascii="黑体" w:hAnsi="黑体" w:eastAsia="黑体"/>
          <w:b/>
          <w:color w:val="000000" w:themeColor="text1"/>
          <w:sz w:val="44"/>
          <w:szCs w:val="44"/>
          <w14:textFill>
            <w14:solidFill>
              <w14:schemeClr w14:val="tx1"/>
            </w14:solidFill>
          </w14:textFill>
        </w:rPr>
      </w:pPr>
      <w:r>
        <w:rPr>
          <w:rFonts w:ascii="黑体" w:hAnsi="黑体" w:eastAsia="黑体"/>
          <w:b/>
          <w:color w:val="000000" w:themeColor="text1"/>
          <w:sz w:val="44"/>
          <w:szCs w:val="44"/>
          <w14:textFill>
            <w14:solidFill>
              <w14:schemeClr w14:val="tx1"/>
            </w14:solidFill>
          </w14:textFill>
        </w:rPr>
        <w:br w:type="page"/>
      </w:r>
    </w:p>
    <w:p>
      <w:pPr>
        <w:pStyle w:val="380"/>
        <w:adjustRightInd w:val="0"/>
        <w:snapToGrid w:val="0"/>
        <w:spacing w:after="360" w:afterLines="150"/>
        <w:ind w:firstLine="0" w:firstLineChars="0"/>
        <w:jc w:val="center"/>
        <w:outlineLvl w:val="1"/>
        <w:rPr>
          <w:rFonts w:ascii="黑体" w:hAnsi="黑体" w:eastAsia="黑体"/>
          <w:b/>
          <w:color w:val="000000" w:themeColor="text1"/>
          <w:sz w:val="44"/>
          <w:szCs w:val="44"/>
          <w14:textFill>
            <w14:solidFill>
              <w14:schemeClr w14:val="tx1"/>
            </w14:solidFill>
          </w14:textFill>
        </w:rPr>
      </w:pPr>
      <w:bookmarkStart w:id="193" w:name="_Toc23798"/>
      <w:r>
        <w:rPr>
          <w:rFonts w:hint="eastAsia" w:ascii="Times New Roman" w:hAnsi="Times New Roman" w:eastAsia="黑体"/>
          <w:b/>
          <w:color w:val="000000" w:themeColor="text1"/>
          <w:sz w:val="44"/>
          <w:szCs w:val="44"/>
          <w:lang w:val="en-US" w:eastAsia="zh-CN"/>
          <w14:textFill>
            <w14:solidFill>
              <w14:schemeClr w14:val="tx1"/>
            </w14:solidFill>
          </w14:textFill>
        </w:rPr>
        <w:t>4</w:t>
      </w:r>
      <w:r>
        <w:rPr>
          <w:rFonts w:ascii="黑体" w:hAnsi="黑体" w:eastAsia="黑体"/>
          <w:b/>
          <w:color w:val="000000" w:themeColor="text1"/>
          <w:sz w:val="44"/>
          <w:szCs w:val="44"/>
          <w14:textFill>
            <w14:solidFill>
              <w14:schemeClr w14:val="tx1"/>
            </w14:solidFill>
          </w14:textFill>
        </w:rPr>
        <w:t>工程分析</w:t>
      </w:r>
      <w:bookmarkEnd w:id="193"/>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94" w:name="_Toc2393"/>
      <w:r>
        <w:rPr>
          <w:rFonts w:hint="eastAsia" w:ascii="Times New Roman" w:hAnsi="Times New Roman" w:eastAsia="黑体"/>
          <w:b/>
          <w:color w:val="000000" w:themeColor="text1"/>
          <w:sz w:val="32"/>
          <w:szCs w:val="32"/>
          <w:lang w:val="en-US" w:eastAsia="zh-CN"/>
          <w14:textFill>
            <w14:solidFill>
              <w14:schemeClr w14:val="tx1"/>
            </w14:solidFill>
          </w14:textFill>
        </w:rPr>
        <w:t>4</w:t>
      </w:r>
      <w:r>
        <w:rPr>
          <w:rFonts w:ascii="Times New Roman" w:hAnsi="Times New Roman" w:eastAsia="黑体"/>
          <w:b/>
          <w:color w:val="000000" w:themeColor="text1"/>
          <w:sz w:val="32"/>
          <w:szCs w:val="32"/>
          <w14:textFill>
            <w14:solidFill>
              <w14:schemeClr w14:val="tx1"/>
            </w14:solidFill>
          </w14:textFill>
        </w:rPr>
        <w:t>.1</w:t>
      </w:r>
      <w:r>
        <w:rPr>
          <w:rFonts w:hint="eastAsia" w:ascii="Times New Roman" w:hAnsi="Times New Roman" w:eastAsia="黑体"/>
          <w:b/>
          <w:color w:val="000000" w:themeColor="text1"/>
          <w:sz w:val="32"/>
          <w:szCs w:val="32"/>
          <w14:textFill>
            <w14:solidFill>
              <w14:schemeClr w14:val="tx1"/>
            </w14:solidFill>
          </w14:textFill>
        </w:rPr>
        <w:t>施工期</w:t>
      </w:r>
      <w:r>
        <w:rPr>
          <w:rFonts w:hint="eastAsia" w:ascii="黑体" w:hAnsi="黑体" w:eastAsia="黑体"/>
          <w:b/>
          <w:color w:val="000000" w:themeColor="text1"/>
          <w:sz w:val="32"/>
          <w:szCs w:val="32"/>
          <w14:textFill>
            <w14:solidFill>
              <w14:schemeClr w14:val="tx1"/>
            </w14:solidFill>
          </w14:textFill>
        </w:rPr>
        <w:t>工程分析</w:t>
      </w:r>
      <w:bookmarkEnd w:id="194"/>
    </w:p>
    <w:p>
      <w:pPr>
        <w:pStyle w:val="152"/>
        <w:spacing w:after="0" w:line="520" w:lineRule="exact"/>
        <w:ind w:firstLine="480"/>
        <w:rPr>
          <w:rFonts w:ascii="Times New Roman"/>
          <w:color w:val="000000" w:themeColor="text1"/>
          <w14:textFill>
            <w14:solidFill>
              <w14:schemeClr w14:val="tx1"/>
            </w14:solidFill>
          </w14:textFill>
        </w:rPr>
      </w:pPr>
      <w:r>
        <w:rPr>
          <w:rFonts w:ascii="Times New Roman" w:hAnsi="宋体"/>
          <w:color w:val="000000" w:themeColor="text1"/>
          <w14:textFill>
            <w14:solidFill>
              <w14:schemeClr w14:val="tx1"/>
            </w14:solidFill>
          </w14:textFill>
        </w:rPr>
        <w:t>施工期环境问题主要为项目厂区建设活动对周围环境的影响，施工期主要环境影响详见下表</w:t>
      </w:r>
      <w:r>
        <w:rPr>
          <w:rFonts w:hint="eastAsia" w:ascii="Times New Roman"/>
          <w:color w:val="000000" w:themeColor="text1"/>
          <w:lang w:val="en-US" w:eastAsia="zh-CN"/>
          <w14:textFill>
            <w14:solidFill>
              <w14:schemeClr w14:val="tx1"/>
            </w14:solidFill>
          </w14:textFill>
        </w:rPr>
        <w:t>4</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-1</w:t>
      </w:r>
      <w:r>
        <w:rPr>
          <w:rFonts w:ascii="Times New Roman" w:hAnsi="宋体"/>
          <w:color w:val="000000" w:themeColor="text1"/>
          <w14:textFill>
            <w14:solidFill>
              <w14:schemeClr w14:val="tx1"/>
            </w14:solidFill>
          </w14:textFill>
        </w:rPr>
        <w:t>：</w:t>
      </w:r>
    </w:p>
    <w:p>
      <w:pPr>
        <w:pStyle w:val="380"/>
        <w:adjustRightInd w:val="0"/>
        <w:snapToGrid w:val="0"/>
        <w:spacing w:before="48" w:beforeLines="20" w:after="48" w:afterLines="20"/>
        <w:ind w:firstLine="1687" w:firstLineChars="700"/>
        <w:jc w:val="left"/>
        <w:outlineLvl w:val="2"/>
        <w:rPr>
          <w:rFonts w:ascii="Times New Roman" w:hAnsi="Times New Roman"/>
          <w:b/>
          <w:color w:val="000000" w:themeColor="text1"/>
          <w:sz w:val="24"/>
          <w:szCs w:val="24"/>
          <w14:textFill>
            <w14:solidFill>
              <w14:schemeClr w14:val="tx1"/>
            </w14:solidFill>
          </w14:textFill>
        </w:rPr>
      </w:pPr>
      <w:bookmarkStart w:id="195" w:name="_Toc7568"/>
      <w:bookmarkStart w:id="196" w:name="_Toc31628"/>
      <w:bookmarkStart w:id="197" w:name="_Toc18591"/>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4</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1</w:t>
      </w:r>
      <w:r>
        <w:rPr>
          <w:rFonts w:ascii="Times New Roman" w:hAnsi="Times New Roman"/>
          <w:b/>
          <w:color w:val="000000" w:themeColor="text1"/>
          <w:sz w:val="24"/>
          <w:szCs w:val="24"/>
          <w14:textFill>
            <w14:solidFill>
              <w14:schemeClr w14:val="tx1"/>
            </w14:solidFill>
          </w14:textFill>
        </w:rPr>
        <w:t>-1  项目施工阶段环境影响特征及主要污染污一览表</w:t>
      </w:r>
      <w:bookmarkEnd w:id="195"/>
      <w:bookmarkEnd w:id="196"/>
      <w:bookmarkEnd w:id="197"/>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2"/>
        <w:gridCol w:w="70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施工活动</w:t>
            </w: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施工环境影响特征说明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restart"/>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基建施工阶段</w:t>
            </w: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废气：施工机械排放废气，主要是</w:t>
            </w:r>
            <w:r>
              <w:rPr>
                <w:rFonts w:ascii="Times New Roman" w:hAnsi="Times New Roman" w:eastAsiaTheme="minorEastAsia"/>
                <w:color w:val="000000" w:themeColor="text1"/>
                <w:sz w:val="21"/>
                <w:szCs w:val="21"/>
                <w14:textFill>
                  <w14:solidFill>
                    <w14:schemeClr w14:val="tx1"/>
                  </w14:solidFill>
                </w14:textFill>
              </w:rPr>
              <w:t>NO</w:t>
            </w:r>
            <w:r>
              <w:rPr>
                <w:rFonts w:ascii="Times New Roman" w:hAnsi="Times New Roman" w:eastAsiaTheme="minorEastAsia"/>
                <w:color w:val="000000" w:themeColor="text1"/>
                <w:sz w:val="21"/>
                <w:szCs w:val="21"/>
                <w:vertAlign w:val="subscript"/>
                <w14:textFill>
                  <w14:solidFill>
                    <w14:schemeClr w14:val="tx1"/>
                  </w14:solidFill>
                </w14:textFill>
              </w:rPr>
              <w:t>2</w:t>
            </w:r>
            <w:r>
              <w:rPr>
                <w:rFonts w:ascii="Times New Roman" w:hAnsiTheme="minorEastAsia" w:eastAsiaTheme="minorEastAsia"/>
                <w:color w:val="000000" w:themeColor="text1"/>
                <w:sz w:val="21"/>
                <w:szCs w:val="21"/>
                <w14:textFill>
                  <w14:solidFill>
                    <w14:schemeClr w14:val="tx1"/>
                  </w14:solidFill>
                </w14:textFill>
              </w:rPr>
              <w:t>、</w:t>
            </w:r>
            <w:r>
              <w:rPr>
                <w:rFonts w:ascii="Times New Roman" w:hAnsi="Times New Roman" w:eastAsiaTheme="minorEastAsia"/>
                <w:color w:val="000000" w:themeColor="text1"/>
                <w:sz w:val="21"/>
                <w:szCs w:val="21"/>
                <w14:textFill>
                  <w14:solidFill>
                    <w14:schemeClr w14:val="tx1"/>
                  </w14:solidFill>
                </w14:textFill>
              </w:rPr>
              <w:t>SO</w:t>
            </w:r>
            <w:r>
              <w:rPr>
                <w:rFonts w:ascii="Times New Roman" w:hAnsi="Times New Roman" w:eastAsiaTheme="minorEastAsia"/>
                <w:color w:val="000000" w:themeColor="text1"/>
                <w:sz w:val="21"/>
                <w:szCs w:val="21"/>
                <w:vertAlign w:val="subscript"/>
                <w14:textFill>
                  <w14:solidFill>
                    <w14:schemeClr w14:val="tx1"/>
                  </w14:solidFill>
                </w14:textFill>
              </w:rPr>
              <w:t>2</w:t>
            </w:r>
            <w:r>
              <w:rPr>
                <w:rFonts w:ascii="Times New Roman" w:hAnsiTheme="minorEastAsia" w:eastAsiaTheme="minorEastAsia"/>
                <w:color w:val="000000" w:themeColor="text1"/>
                <w:sz w:val="21"/>
                <w:szCs w:val="21"/>
                <w14:textFill>
                  <w14:solidFill>
                    <w14:schemeClr w14:val="tx1"/>
                  </w14:solidFill>
                </w14:textFill>
              </w:rPr>
              <w:t>、</w:t>
            </w:r>
            <w:r>
              <w:rPr>
                <w:rFonts w:ascii="Times New Roman" w:hAnsi="Times New Roman" w:eastAsiaTheme="minorEastAsia"/>
                <w:color w:val="000000" w:themeColor="text1"/>
                <w:sz w:val="21"/>
                <w:szCs w:val="21"/>
                <w14:textFill>
                  <w14:solidFill>
                    <w14:schemeClr w14:val="tx1"/>
                  </w14:solidFill>
                </w14:textFill>
              </w:rPr>
              <w:t>CO</w:t>
            </w:r>
            <w:r>
              <w:rPr>
                <w:rFonts w:ascii="Times New Roman" w:hAnsiTheme="minorEastAsia" w:eastAsiaTheme="minorEastAsia"/>
                <w:color w:val="000000" w:themeColor="text1"/>
                <w:sz w:val="21"/>
                <w:szCs w:val="21"/>
                <w14:textFill>
                  <w14:solidFill>
                    <w14:schemeClr w14:val="tx1"/>
                  </w14:solidFill>
                </w14:textFill>
              </w:rPr>
              <w:t>、</w:t>
            </w:r>
            <w:r>
              <w:rPr>
                <w:rFonts w:ascii="Times New Roman" w:hAnsi="Times New Roman" w:eastAsiaTheme="minorEastAsia"/>
                <w:color w:val="000000" w:themeColor="text1"/>
                <w:sz w:val="21"/>
                <w:szCs w:val="21"/>
                <w14:textFill>
                  <w14:solidFill>
                    <w14:schemeClr w14:val="tx1"/>
                  </w14:solidFill>
                </w14:textFill>
              </w:rPr>
              <w:t>HC</w:t>
            </w:r>
            <w:r>
              <w:rPr>
                <w:rFonts w:ascii="Times New Roman" w:hAnsiTheme="minorEastAsia" w:eastAsiaTheme="minorEastAsia"/>
                <w:color w:val="000000" w:themeColor="text1"/>
                <w:sz w:val="21"/>
                <w:szCs w:val="21"/>
                <w14:textFill>
                  <w14:solidFill>
                    <w14:schemeClr w14:val="tx1"/>
                  </w14:solidFill>
                </w14:textFill>
              </w:rPr>
              <w:t>和粉尘等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continue"/>
            <w:vAlign w:val="center"/>
          </w:tcPr>
          <w:p>
            <w:pPr>
              <w:pStyle w:val="174"/>
              <w:rPr>
                <w:rFonts w:ascii="Times New Roman" w:hAnsi="Times New Roman" w:eastAsiaTheme="minorEastAsia"/>
                <w:color w:val="000000" w:themeColor="text1"/>
                <w:sz w:val="21"/>
                <w:szCs w:val="21"/>
                <w14:textFill>
                  <w14:solidFill>
                    <w14:schemeClr w14:val="tx1"/>
                  </w14:solidFill>
                </w14:textFill>
              </w:rPr>
            </w:pP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噪声：挖掘打桩机械噪声，石料加工噪声，交通运输噪声等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continue"/>
            <w:vAlign w:val="center"/>
          </w:tcPr>
          <w:p>
            <w:pPr>
              <w:pStyle w:val="174"/>
              <w:rPr>
                <w:rFonts w:ascii="Times New Roman" w:hAnsi="Times New Roman" w:eastAsiaTheme="minorEastAsia"/>
                <w:color w:val="000000" w:themeColor="text1"/>
                <w:sz w:val="21"/>
                <w:szCs w:val="21"/>
                <w14:textFill>
                  <w14:solidFill>
                    <w14:schemeClr w14:val="tx1"/>
                  </w14:solidFill>
                </w14:textFill>
              </w:rPr>
            </w:pP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废水：施工人员生活废水和雨水冲刷石料产生的废水，主要是</w:t>
            </w:r>
            <w:r>
              <w:rPr>
                <w:rFonts w:ascii="Times New Roman" w:hAnsi="Times New Roman" w:eastAsiaTheme="minorEastAsia"/>
                <w:color w:val="000000" w:themeColor="text1"/>
                <w:sz w:val="21"/>
                <w:szCs w:val="21"/>
                <w14:textFill>
                  <w14:solidFill>
                    <w14:schemeClr w14:val="tx1"/>
                  </w14:solidFill>
                </w14:textFill>
              </w:rPr>
              <w:t>COD</w:t>
            </w:r>
            <w:r>
              <w:rPr>
                <w:rFonts w:ascii="Times New Roman" w:hAnsiTheme="minorEastAsia" w:eastAsiaTheme="minorEastAsia"/>
                <w:color w:val="000000" w:themeColor="text1"/>
                <w:sz w:val="21"/>
                <w:szCs w:val="21"/>
                <w14:textFill>
                  <w14:solidFill>
                    <w14:schemeClr w14:val="tx1"/>
                  </w14:solidFill>
                </w14:textFill>
              </w:rPr>
              <w:t>、</w:t>
            </w:r>
            <w:r>
              <w:rPr>
                <w:rFonts w:ascii="Times New Roman" w:hAnsi="Times New Roman" w:eastAsiaTheme="minorEastAsia"/>
                <w:color w:val="000000" w:themeColor="text1"/>
                <w:sz w:val="21"/>
                <w:szCs w:val="21"/>
                <w14:textFill>
                  <w14:solidFill>
                    <w14:schemeClr w14:val="tx1"/>
                  </w14:solidFill>
                </w14:textFill>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continue"/>
            <w:vAlign w:val="center"/>
          </w:tcPr>
          <w:p>
            <w:pPr>
              <w:pStyle w:val="174"/>
              <w:rPr>
                <w:rFonts w:ascii="Times New Roman" w:hAnsi="Times New Roman" w:eastAsiaTheme="minorEastAsia"/>
                <w:color w:val="000000" w:themeColor="text1"/>
                <w:sz w:val="21"/>
                <w:szCs w:val="21"/>
                <w14:textFill>
                  <w14:solidFill>
                    <w14:schemeClr w14:val="tx1"/>
                  </w14:solidFill>
                </w14:textFill>
              </w:rPr>
            </w:pP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景观：开挖场地对自然景观的影响、破坏。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continue"/>
            <w:vAlign w:val="center"/>
          </w:tcPr>
          <w:p>
            <w:pPr>
              <w:pStyle w:val="174"/>
              <w:rPr>
                <w:rFonts w:ascii="Times New Roman" w:hAnsi="Times New Roman" w:eastAsiaTheme="minorEastAsia"/>
                <w:color w:val="000000" w:themeColor="text1"/>
                <w:sz w:val="21"/>
                <w:szCs w:val="21"/>
                <w14:textFill>
                  <w14:solidFill>
                    <w14:schemeClr w14:val="tx1"/>
                  </w14:solidFill>
                </w14:textFill>
              </w:rPr>
            </w:pP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弃土及弃渣：施工弃土、渣等。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restart"/>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安装施工阶段</w:t>
            </w: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废气：汽车运输尾气排放主要污染物</w:t>
            </w:r>
            <w:r>
              <w:rPr>
                <w:rFonts w:ascii="Times New Roman" w:hAnsi="Times New Roman" w:eastAsiaTheme="minorEastAsia"/>
                <w:color w:val="000000" w:themeColor="text1"/>
                <w:sz w:val="21"/>
                <w:szCs w:val="21"/>
                <w14:textFill>
                  <w14:solidFill>
                    <w14:schemeClr w14:val="tx1"/>
                  </w14:solidFill>
                </w14:textFill>
              </w:rPr>
              <w:t>HC</w:t>
            </w:r>
            <w:r>
              <w:rPr>
                <w:rFonts w:ascii="Times New Roman" w:hAnsiTheme="minorEastAsia" w:eastAsiaTheme="minorEastAsia"/>
                <w:color w:val="000000" w:themeColor="text1"/>
                <w:sz w:val="21"/>
                <w:szCs w:val="21"/>
                <w14:textFill>
                  <w14:solidFill>
                    <w14:schemeClr w14:val="tx1"/>
                  </w14:solidFill>
                </w14:textFill>
              </w:rPr>
              <w:t>、</w:t>
            </w:r>
            <w:r>
              <w:rPr>
                <w:rFonts w:ascii="Times New Roman" w:hAnsi="Times New Roman" w:eastAsiaTheme="minorEastAsia"/>
                <w:color w:val="000000" w:themeColor="text1"/>
                <w:sz w:val="21"/>
                <w:szCs w:val="21"/>
                <w14:textFill>
                  <w14:solidFill>
                    <w14:schemeClr w14:val="tx1"/>
                  </w14:solidFill>
                </w14:textFill>
              </w:rPr>
              <w:t>CO</w:t>
            </w:r>
            <w:r>
              <w:rPr>
                <w:rFonts w:ascii="Times New Roman" w:hAnsiTheme="minorEastAsia" w:eastAsiaTheme="minorEastAsia"/>
                <w:color w:val="000000" w:themeColor="text1"/>
                <w:sz w:val="21"/>
                <w:szCs w:val="21"/>
                <w14:textFill>
                  <w14:solidFill>
                    <w14:schemeClr w14:val="tx1"/>
                  </w14:solidFill>
                </w14:textFill>
              </w:rPr>
              <w:t>、</w:t>
            </w:r>
            <w:r>
              <w:rPr>
                <w:rFonts w:ascii="Times New Roman" w:hAnsi="Times New Roman" w:eastAsiaTheme="minorEastAsia"/>
                <w:color w:val="000000" w:themeColor="text1"/>
                <w:sz w:val="21"/>
                <w:szCs w:val="21"/>
                <w14:textFill>
                  <w14:solidFill>
                    <w14:schemeClr w14:val="tx1"/>
                  </w14:solidFill>
                </w14:textFill>
              </w:rPr>
              <w:t>NO</w:t>
            </w:r>
            <w:r>
              <w:rPr>
                <w:rFonts w:ascii="Times New Roman" w:hAnsi="Times New Roman" w:eastAsiaTheme="minorEastAsia"/>
                <w:color w:val="000000" w:themeColor="text1"/>
                <w:sz w:val="21"/>
                <w:szCs w:val="21"/>
                <w:vertAlign w:val="subscript"/>
                <w14:textFill>
                  <w14:solidFill>
                    <w14:schemeClr w14:val="tx1"/>
                  </w14:solidFill>
                </w14:textFill>
              </w:rPr>
              <w:t>2</w:t>
            </w:r>
            <w:r>
              <w:rPr>
                <w:rFonts w:ascii="Times New Roman" w:hAnsiTheme="minorEastAsia" w:eastAsiaTheme="minorEastAsia"/>
                <w:color w:val="000000" w:themeColor="text1"/>
                <w:sz w:val="21"/>
                <w:szCs w:val="21"/>
                <w14:textFill>
                  <w14:solidFill>
                    <w14:schemeClr w14:val="tx1"/>
                  </w14:solidFill>
                </w14:textFill>
              </w:rPr>
              <w:t>、粉尘等，电弧焊烟气。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continue"/>
            <w:vAlign w:val="center"/>
          </w:tcPr>
          <w:p>
            <w:pPr>
              <w:pStyle w:val="174"/>
              <w:rPr>
                <w:rFonts w:ascii="Times New Roman" w:hAnsi="Times New Roman" w:eastAsiaTheme="minorEastAsia"/>
                <w:color w:val="000000" w:themeColor="text1"/>
                <w:sz w:val="21"/>
                <w:szCs w:val="21"/>
                <w14:textFill>
                  <w14:solidFill>
                    <w14:schemeClr w14:val="tx1"/>
                  </w14:solidFill>
                </w14:textFill>
              </w:rPr>
            </w:pP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噪声：汽车、吊等机械噪声。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continue"/>
            <w:vAlign w:val="center"/>
          </w:tcPr>
          <w:p>
            <w:pPr>
              <w:pStyle w:val="174"/>
              <w:rPr>
                <w:rFonts w:ascii="Times New Roman" w:hAnsi="Times New Roman" w:eastAsiaTheme="minorEastAsia"/>
                <w:color w:val="000000" w:themeColor="text1"/>
                <w:sz w:val="21"/>
                <w:szCs w:val="21"/>
                <w14:textFill>
                  <w14:solidFill>
                    <w14:schemeClr w14:val="tx1"/>
                  </w14:solidFill>
                </w14:textFill>
              </w:rPr>
            </w:pP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废水：施工人员生活废水。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2" w:type="dxa"/>
            <w:vMerge w:val="continue"/>
            <w:vAlign w:val="center"/>
          </w:tcPr>
          <w:p>
            <w:pPr>
              <w:pStyle w:val="174"/>
              <w:rPr>
                <w:rFonts w:ascii="Times New Roman" w:hAnsi="Times New Roman" w:eastAsiaTheme="minorEastAsia"/>
                <w:color w:val="000000" w:themeColor="text1"/>
                <w:sz w:val="21"/>
                <w:szCs w:val="21"/>
                <w14:textFill>
                  <w14:solidFill>
                    <w14:schemeClr w14:val="tx1"/>
                  </w14:solidFill>
                </w14:textFill>
              </w:rPr>
            </w:pPr>
          </w:p>
        </w:tc>
        <w:tc>
          <w:tcPr>
            <w:tcW w:w="7013"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废土及弃渣：各种施工废砖石料等废渣。</w:t>
            </w:r>
          </w:p>
        </w:tc>
      </w:tr>
    </w:tbl>
    <w:p>
      <w:pPr>
        <w:pStyle w:val="152"/>
        <w:spacing w:after="0" w:line="520" w:lineRule="exact"/>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1、施工扬尘</w:t>
      </w:r>
    </w:p>
    <w:p>
      <w:pPr>
        <w:shd w:val="clear" w:color="auto" w:fill="FFFFFF"/>
        <w:overflowPunct w:val="0"/>
        <w:autoSpaceDE w:val="0"/>
        <w:autoSpaceDN w:val="0"/>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厂区建设、渣场建设及道路建设活动的场地平整、打桩、开挖、回填、道路浇筑、建材运输、露天堆放、装卸、搅拌等作业都会产生扬尘，如遇大风干燥天气，施工扬尘将更加严重。据有关调查资料，施工场地的扬尘浓度见下表</w:t>
      </w:r>
      <w:r>
        <w:rPr>
          <w:rFonts w:hint="eastAsia" w:ascii="Times New Roman" w:hAnsiTheme="minorEastAsia" w:eastAsiaTheme="minorEastAsia"/>
          <w:color w:val="000000" w:themeColor="text1"/>
          <w:sz w:val="24"/>
          <w:lang w:val="en-US" w:eastAsia="zh-CN"/>
          <w14:textFill>
            <w14:solidFill>
              <w14:schemeClr w14:val="tx1"/>
            </w14:solidFill>
          </w14:textFill>
        </w:rPr>
        <w:t>4</w:t>
      </w:r>
      <w:r>
        <w:rPr>
          <w:rFonts w:hint="eastAsia" w:ascii="Times New Roman" w:hAnsiTheme="minorEastAsia" w:eastAsiaTheme="minorEastAsia"/>
          <w:color w:val="000000" w:themeColor="text1"/>
          <w:sz w:val="24"/>
          <w14:textFill>
            <w14:solidFill>
              <w14:schemeClr w14:val="tx1"/>
            </w14:solidFill>
          </w14:textFill>
        </w:rPr>
        <w:t>.1-2。</w:t>
      </w:r>
    </w:p>
    <w:p>
      <w:pPr>
        <w:pStyle w:val="186"/>
        <w:spacing w:line="520" w:lineRule="exact"/>
        <w:ind w:firstLine="964"/>
        <w:jc w:val="center"/>
        <w:rPr>
          <w:rFonts w:ascii="Times New Roman" w:hAnsi="Times New Roman" w:eastAsiaTheme="minorEastAsia"/>
          <w:b/>
          <w:color w:val="000000" w:themeColor="text1"/>
          <w14:textFill>
            <w14:solidFill>
              <w14:schemeClr w14:val="tx1"/>
            </w14:solidFill>
          </w14:textFill>
        </w:rPr>
      </w:pPr>
      <w:r>
        <w:rPr>
          <w:rFonts w:ascii="Times New Roman" w:hAnsiTheme="minorEastAsia" w:eastAsiaTheme="minorEastAsia"/>
          <w:b/>
          <w:color w:val="000000" w:themeColor="text1"/>
          <w14:textFill>
            <w14:solidFill>
              <w14:schemeClr w14:val="tx1"/>
            </w14:solidFill>
          </w14:textFill>
        </w:rPr>
        <w:t>表</w:t>
      </w:r>
      <w:r>
        <w:rPr>
          <w:rFonts w:hint="eastAsia" w:ascii="Times New Roman" w:hAnsi="Times New Roman" w:eastAsiaTheme="minorEastAsia"/>
          <w:b/>
          <w:color w:val="000000" w:themeColor="text1"/>
          <w:lang w:val="en-US" w:eastAsia="zh-CN"/>
          <w14:textFill>
            <w14:solidFill>
              <w14:schemeClr w14:val="tx1"/>
            </w14:solidFill>
          </w14:textFill>
        </w:rPr>
        <w:t>4</w:t>
      </w:r>
      <w:r>
        <w:rPr>
          <w:rFonts w:ascii="Times New Roman" w:hAnsi="Times New Roman" w:eastAsiaTheme="minorEastAsia"/>
          <w:b/>
          <w:color w:val="000000" w:themeColor="text1"/>
          <w14:textFill>
            <w14:solidFill>
              <w14:schemeClr w14:val="tx1"/>
            </w14:solidFill>
          </w14:textFill>
        </w:rPr>
        <w:t>.</w:t>
      </w:r>
      <w:r>
        <w:rPr>
          <w:rFonts w:hint="eastAsia" w:ascii="Times New Roman" w:hAnsi="Times New Roman" w:eastAsiaTheme="minorEastAsia"/>
          <w:b/>
          <w:color w:val="000000" w:themeColor="text1"/>
          <w14:textFill>
            <w14:solidFill>
              <w14:schemeClr w14:val="tx1"/>
            </w14:solidFill>
          </w14:textFill>
        </w:rPr>
        <w:t>1</w:t>
      </w:r>
      <w:r>
        <w:rPr>
          <w:rFonts w:ascii="Times New Roman" w:hAnsi="Times New Roman" w:eastAsiaTheme="minorEastAsia"/>
          <w:b/>
          <w:color w:val="000000" w:themeColor="text1"/>
          <w14:textFill>
            <w14:solidFill>
              <w14:schemeClr w14:val="tx1"/>
            </w14:solidFill>
          </w14:textFill>
        </w:rPr>
        <w:t xml:space="preserve">-2  </w:t>
      </w:r>
      <w:r>
        <w:rPr>
          <w:rFonts w:ascii="Times New Roman" w:hAnsiTheme="minorEastAsia" w:eastAsiaTheme="minorEastAsia"/>
          <w:b/>
          <w:color w:val="000000" w:themeColor="text1"/>
          <w14:textFill>
            <w14:solidFill>
              <w14:schemeClr w14:val="tx1"/>
            </w14:solidFill>
          </w14:textFill>
        </w:rPr>
        <w:t>一般施工场地扬尘调查统计资料</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74"/>
        <w:gridCol w:w="1404"/>
        <w:gridCol w:w="1404"/>
        <w:gridCol w:w="1404"/>
        <w:gridCol w:w="1404"/>
        <w:gridCol w:w="14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3478" w:type="dxa"/>
            <w:gridSpan w:val="2"/>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距施工地距离</w:t>
            </w:r>
            <w:r>
              <w:rPr>
                <w:rFonts w:ascii="Times New Roman" w:hAnsi="Times New Roman" w:eastAsia="宋体"/>
                <w:color w:val="000000" w:themeColor="text1"/>
                <w:sz w:val="21"/>
                <w:szCs w:val="21"/>
                <w14:textFill>
                  <w14:solidFill>
                    <w14:schemeClr w14:val="tx1"/>
                  </w14:solidFill>
                </w14:textFill>
              </w:rPr>
              <w:t>(m)</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20</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50</w:t>
            </w:r>
          </w:p>
        </w:tc>
        <w:tc>
          <w:tcPr>
            <w:tcW w:w="1405"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74" w:type="dxa"/>
            <w:vMerge w:val="restart"/>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TSP</w:t>
            </w:r>
            <w:r>
              <w:rPr>
                <w:rFonts w:ascii="Times New Roman" w:hAnsi="宋体" w:eastAsia="宋体"/>
                <w:color w:val="000000" w:themeColor="text1"/>
                <w:sz w:val="21"/>
                <w:szCs w:val="21"/>
                <w14:textFill>
                  <w14:solidFill>
                    <w14:schemeClr w14:val="tx1"/>
                  </w14:solidFill>
                </w14:textFill>
              </w:rPr>
              <w:t>小时平均浓度</w:t>
            </w:r>
          </w:p>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(mg/m</w:t>
            </w:r>
            <w:r>
              <w:rPr>
                <w:rFonts w:ascii="Times New Roman" w:hAnsi="Times New Roman" w:eastAsia="宋体"/>
                <w:color w:val="000000" w:themeColor="text1"/>
                <w:sz w:val="21"/>
                <w:szCs w:val="21"/>
                <w:vertAlign w:val="super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不洒水</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10.14</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2.89</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1.15</w:t>
            </w:r>
          </w:p>
        </w:tc>
        <w:tc>
          <w:tcPr>
            <w:tcW w:w="1405"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2074" w:type="dxa"/>
            <w:vMerge w:val="continue"/>
            <w:vAlign w:val="center"/>
          </w:tcPr>
          <w:p>
            <w:pPr>
              <w:pStyle w:val="174"/>
              <w:rPr>
                <w:rFonts w:ascii="Times New Roman" w:hAnsi="Times New Roman" w:eastAsia="宋体"/>
                <w:color w:val="000000" w:themeColor="text1"/>
                <w:sz w:val="21"/>
                <w:szCs w:val="21"/>
                <w14:textFill>
                  <w14:solidFill>
                    <w14:schemeClr w14:val="tx1"/>
                  </w14:solidFill>
                </w14:textFill>
              </w:rPr>
            </w:pP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洒</w:t>
            </w:r>
            <w:r>
              <w:rPr>
                <w:rFonts w:ascii="Times New Roman" w:hAnsi="Times New Roman" w:eastAsia="宋体"/>
                <w:color w:val="000000" w:themeColor="text1"/>
                <w:sz w:val="21"/>
                <w:szCs w:val="21"/>
                <w14:textFill>
                  <w14:solidFill>
                    <w14:schemeClr w14:val="tx1"/>
                  </w14:solidFill>
                </w14:textFill>
              </w:rPr>
              <w:t xml:space="preserve">  </w:t>
            </w:r>
            <w:r>
              <w:rPr>
                <w:rFonts w:ascii="Times New Roman" w:hAnsi="宋体" w:eastAsia="宋体"/>
                <w:color w:val="000000" w:themeColor="text1"/>
                <w:sz w:val="21"/>
                <w:szCs w:val="21"/>
                <w14:textFill>
                  <w14:solidFill>
                    <w14:schemeClr w14:val="tx1"/>
                  </w14:solidFill>
                </w14:textFill>
              </w:rPr>
              <w:t>水</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2.01</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1.40</w:t>
            </w:r>
          </w:p>
        </w:tc>
        <w:tc>
          <w:tcPr>
            <w:tcW w:w="1404"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0.67</w:t>
            </w:r>
          </w:p>
        </w:tc>
        <w:tc>
          <w:tcPr>
            <w:tcW w:w="1405" w:type="dxa"/>
            <w:vAlign w:val="center"/>
          </w:tcPr>
          <w:p>
            <w:pPr>
              <w:pStyle w:val="174"/>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0.60</w:t>
            </w:r>
          </w:p>
        </w:tc>
      </w:tr>
    </w:tbl>
    <w:p>
      <w:pPr>
        <w:pStyle w:val="152"/>
        <w:numPr>
          <w:ilvl w:val="0"/>
          <w:numId w:val="29"/>
        </w:numPr>
        <w:spacing w:after="0" w:line="520" w:lineRule="exact"/>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施工废水</w:t>
      </w:r>
    </w:p>
    <w:p>
      <w:pPr>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建设期的废水主要有施工人员生活污水及施工过程中产生的地下渗水、泥浆、地面设备冲洗水等，该施工废水经隔栅沉淀处理后散排。</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）施工废水</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施工期施工废水主要包括施工场地的场地废水、工程所需砂石骨料加工废水、混凝土搅拌和养护废水等</w:t>
      </w:r>
      <w:r>
        <w:rPr>
          <w:rFonts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heme="minorEastAsia" w:eastAsiaTheme="minorEastAsia"/>
          <w:color w:val="000000" w:themeColor="text1"/>
          <w:sz w:val="24"/>
          <w:szCs w:val="24"/>
          <w14:textFill>
            <w14:solidFill>
              <w14:schemeClr w14:val="tx1"/>
            </w14:solidFill>
          </w14:textFill>
        </w:rPr>
        <w:t>，类比产生量约</w:t>
      </w:r>
      <w:r>
        <w:rPr>
          <w:rFonts w:ascii="Times New Roman" w:hAnsi="Times New Roman" w:eastAsiaTheme="minorEastAsia"/>
          <w:color w:val="000000" w:themeColor="text1"/>
          <w:sz w:val="24"/>
          <w:szCs w:val="24"/>
          <w14:textFill>
            <w14:solidFill>
              <w14:schemeClr w14:val="tx1"/>
            </w14:solidFill>
          </w14:textFill>
        </w:rPr>
        <w:t>5m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r>
        <w:rPr>
          <w:rFonts w:ascii="Times New Roman" w:hAnsiTheme="minorEastAsia" w:eastAsiaTheme="minorEastAsia"/>
          <w:color w:val="000000" w:themeColor="text1"/>
          <w:sz w:val="24"/>
          <w:szCs w:val="24"/>
          <w14:textFill>
            <w14:solidFill>
              <w14:schemeClr w14:val="tx1"/>
            </w14:solidFill>
          </w14:textFill>
        </w:rPr>
        <w:t>（施工期合计</w:t>
      </w:r>
      <w:r>
        <w:rPr>
          <w:rFonts w:ascii="Times New Roman" w:hAnsi="Times New Roman" w:eastAsiaTheme="minorEastAsia"/>
          <w:color w:val="000000" w:themeColor="text1"/>
          <w:sz w:val="24"/>
          <w:szCs w:val="24"/>
          <w14:textFill>
            <w14:solidFill>
              <w14:schemeClr w14:val="tx1"/>
            </w14:solidFill>
          </w14:textFill>
        </w:rPr>
        <w:t>900m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），全部经沉淀处理后回用于场地扬尘洒水，不外排。</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）生活污水</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施工中最大施工人数约</w:t>
      </w:r>
      <w:r>
        <w:rPr>
          <w:rFonts w:ascii="Times New Roman" w:hAnsi="Times New Roman" w:eastAsiaTheme="minorEastAsia"/>
          <w:color w:val="000000" w:themeColor="text1"/>
          <w:sz w:val="24"/>
          <w:szCs w:val="24"/>
          <w14:textFill>
            <w14:solidFill>
              <w14:schemeClr w14:val="tx1"/>
            </w14:solidFill>
          </w14:textFill>
        </w:rPr>
        <w:t>20</w:t>
      </w:r>
      <w:r>
        <w:rPr>
          <w:rFonts w:ascii="Times New Roman" w:hAnsiTheme="minorEastAsia" w:eastAsiaTheme="minorEastAsia"/>
          <w:color w:val="000000" w:themeColor="text1"/>
          <w:sz w:val="24"/>
          <w:szCs w:val="24"/>
          <w14:textFill>
            <w14:solidFill>
              <w14:schemeClr w14:val="tx1"/>
            </w14:solidFill>
          </w14:textFill>
        </w:rPr>
        <w:t>人，生活用水量按</w:t>
      </w:r>
      <w:r>
        <w:rPr>
          <w:rFonts w:ascii="Times New Roman" w:hAnsi="Times New Roman" w:eastAsiaTheme="minorEastAsia"/>
          <w:color w:val="000000" w:themeColor="text1"/>
          <w:sz w:val="24"/>
          <w:szCs w:val="24"/>
          <w14:textFill>
            <w14:solidFill>
              <w14:schemeClr w14:val="tx1"/>
            </w14:solidFill>
          </w14:textFill>
        </w:rPr>
        <w:t>150l/(</w:t>
      </w:r>
      <w:r>
        <w:rPr>
          <w:rFonts w:ascii="Times New Roman" w:hAnsiTheme="minorEastAsia" w:eastAsiaTheme="minorEastAsia"/>
          <w:color w:val="000000" w:themeColor="text1"/>
          <w:sz w:val="24"/>
          <w:szCs w:val="24"/>
          <w14:textFill>
            <w14:solidFill>
              <w14:schemeClr w14:val="tx1"/>
            </w14:solidFill>
          </w14:textFill>
        </w:rPr>
        <w:t>人</w:t>
      </w:r>
      <w:r>
        <w:rPr>
          <w:rFonts w:ascii="Times New Roman" w:hAnsi="Times New Roman" w:eastAsiaTheme="minorEastAsia"/>
          <w:color w:val="000000" w:themeColor="text1"/>
          <w:sz w:val="24"/>
          <w:szCs w:val="24"/>
          <w14:textFill>
            <w14:solidFill>
              <w14:schemeClr w14:val="tx1"/>
            </w14:solidFill>
          </w14:textFill>
        </w:rPr>
        <w:t>.d)</w:t>
      </w:r>
      <w:r>
        <w:rPr>
          <w:rFonts w:ascii="Times New Roman" w:hAnsiTheme="minorEastAsia" w:eastAsiaTheme="minorEastAsia"/>
          <w:color w:val="000000" w:themeColor="text1"/>
          <w:sz w:val="24"/>
          <w:szCs w:val="24"/>
          <w14:textFill>
            <w14:solidFill>
              <w14:schemeClr w14:val="tx1"/>
            </w14:solidFill>
          </w14:textFill>
        </w:rPr>
        <w:t>计</w:t>
      </w:r>
      <w:r>
        <w:rPr>
          <w:rFonts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heme="minorEastAsia" w:eastAsiaTheme="minorEastAsia"/>
          <w:color w:val="000000" w:themeColor="text1"/>
          <w:sz w:val="24"/>
          <w:szCs w:val="24"/>
          <w14:textFill>
            <w14:solidFill>
              <w14:schemeClr w14:val="tx1"/>
            </w14:solidFill>
          </w14:textFill>
        </w:rPr>
        <w:t>，排放系数取</w:t>
      </w:r>
      <w:r>
        <w:rPr>
          <w:rFonts w:ascii="Times New Roman" w:hAnsi="Times New Roman" w:eastAsiaTheme="minorEastAsia"/>
          <w:color w:val="000000" w:themeColor="text1"/>
          <w:sz w:val="24"/>
          <w:szCs w:val="24"/>
          <w14:textFill>
            <w14:solidFill>
              <w14:schemeClr w14:val="tx1"/>
            </w14:solidFill>
          </w14:textFill>
        </w:rPr>
        <w:t>0.9</w:t>
      </w:r>
      <w:r>
        <w:rPr>
          <w:rFonts w:ascii="Times New Roman" w:hAnsiTheme="minorEastAsia" w:eastAsiaTheme="minorEastAsia"/>
          <w:color w:val="000000" w:themeColor="text1"/>
          <w:sz w:val="24"/>
          <w:szCs w:val="24"/>
          <w14:textFill>
            <w14:solidFill>
              <w14:schemeClr w14:val="tx1"/>
            </w14:solidFill>
          </w14:textFill>
        </w:rPr>
        <w:t>计，则生活污水产生量为</w:t>
      </w:r>
      <w:r>
        <w:rPr>
          <w:rFonts w:ascii="Times New Roman" w:hAnsi="Times New Roman" w:eastAsiaTheme="minorEastAsia"/>
          <w:color w:val="000000" w:themeColor="text1"/>
          <w:sz w:val="24"/>
          <w:szCs w:val="24"/>
          <w14:textFill>
            <w14:solidFill>
              <w14:schemeClr w14:val="tx1"/>
            </w14:solidFill>
          </w14:textFill>
        </w:rPr>
        <w:t>2.70m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r>
        <w:rPr>
          <w:rFonts w:ascii="Times New Roman" w:hAnsiTheme="minorEastAsia" w:eastAsiaTheme="minorEastAsia"/>
          <w:color w:val="000000" w:themeColor="text1"/>
          <w:sz w:val="24"/>
          <w:szCs w:val="24"/>
          <w14:textFill>
            <w14:solidFill>
              <w14:schemeClr w14:val="tx1"/>
            </w14:solidFill>
          </w14:textFill>
        </w:rPr>
        <w:t>（施工期合计</w:t>
      </w:r>
      <w:r>
        <w:rPr>
          <w:rFonts w:ascii="Times New Roman" w:hAnsi="Times New Roman" w:eastAsiaTheme="minorEastAsia"/>
          <w:color w:val="000000" w:themeColor="text1"/>
          <w:sz w:val="24"/>
          <w:szCs w:val="24"/>
          <w14:textFill>
            <w14:solidFill>
              <w14:schemeClr w14:val="tx1"/>
            </w14:solidFill>
          </w14:textFill>
        </w:rPr>
        <w:t>486m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），污水中主要含有</w:t>
      </w:r>
      <w:r>
        <w:rPr>
          <w:rFonts w:ascii="Times New Roman" w:hAnsi="Times New Roman" w:eastAsiaTheme="minorEastAsia"/>
          <w:color w:val="000000" w:themeColor="text1"/>
          <w:sz w:val="24"/>
          <w:szCs w:val="24"/>
          <w14:textFill>
            <w14:solidFill>
              <w14:schemeClr w14:val="tx1"/>
            </w14:solidFill>
          </w14:textFill>
        </w:rPr>
        <w:t xml:space="preserve"> SS 300mg/</w:t>
      </w:r>
      <w:r>
        <w:rPr>
          <w:rFonts w:hint="eastAsia" w:ascii="Times New Roman" w:hAnsi="Times New Roman" w:eastAsiaTheme="minorEastAsia"/>
          <w:color w:val="000000" w:themeColor="text1"/>
          <w:sz w:val="24"/>
          <w:szCs w:val="24"/>
          <w14:textFill>
            <w14:solidFill>
              <w14:schemeClr w14:val="tx1"/>
            </w14:solidFill>
          </w14:textFill>
        </w:rPr>
        <w:t>L、</w:t>
      </w:r>
      <w:r>
        <w:rPr>
          <w:rFonts w:ascii="Times New Roman" w:hAnsi="Times New Roman" w:eastAsiaTheme="minorEastAsia"/>
          <w:color w:val="000000" w:themeColor="text1"/>
          <w:sz w:val="24"/>
          <w:szCs w:val="24"/>
          <w14:textFill>
            <w14:solidFill>
              <w14:schemeClr w14:val="tx1"/>
            </w14:solidFill>
          </w14:textFill>
        </w:rPr>
        <w:t xml:space="preserve"> COD 350mg/</w:t>
      </w:r>
      <w:r>
        <w:rPr>
          <w:rFonts w:hint="eastAsia" w:ascii="Times New Roman" w:hAnsi="Times New Roman" w:eastAsiaTheme="minorEastAsia"/>
          <w:color w:val="000000" w:themeColor="text1"/>
          <w:sz w:val="24"/>
          <w:szCs w:val="24"/>
          <w14:textFill>
            <w14:solidFill>
              <w14:schemeClr w14:val="tx1"/>
            </w14:solidFill>
          </w14:textFill>
        </w:rPr>
        <w:t>L</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BOD</w:t>
      </w:r>
      <w:r>
        <w:rPr>
          <w:rFonts w:ascii="Times New Roman" w:hAnsi="Times New Roman" w:eastAsiaTheme="minorEastAsia"/>
          <w:color w:val="000000" w:themeColor="text1"/>
          <w:sz w:val="24"/>
          <w:szCs w:val="24"/>
          <w:vertAlign w:val="subscript"/>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 xml:space="preserve"> 250mg/</w:t>
      </w:r>
      <w:r>
        <w:rPr>
          <w:rFonts w:hint="eastAsia" w:ascii="Times New Roman" w:hAnsi="Times New Roman" w:eastAsiaTheme="minorEastAsia"/>
          <w:color w:val="000000" w:themeColor="text1"/>
          <w:sz w:val="24"/>
          <w:szCs w:val="24"/>
          <w14:textFill>
            <w14:solidFill>
              <w14:schemeClr w14:val="tx1"/>
            </w14:solidFill>
          </w14:textFill>
        </w:rPr>
        <w:t>L</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NH</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-N 35mg/</w:t>
      </w:r>
      <w:r>
        <w:rPr>
          <w:rFonts w:hint="eastAsia" w:ascii="Times New Roman" w:hAnsi="Times New Roman" w:eastAsiaTheme="minorEastAsia"/>
          <w:color w:val="000000" w:themeColor="text1"/>
          <w:sz w:val="24"/>
          <w:szCs w:val="24"/>
          <w14:textFill>
            <w14:solidFill>
              <w14:schemeClr w14:val="tx1"/>
            </w14:solidFill>
          </w14:textFill>
        </w:rPr>
        <w:t>L</w:t>
      </w:r>
      <w:r>
        <w:rPr>
          <w:rFonts w:ascii="Times New Roman" w:hAnsiTheme="minorEastAsia" w:eastAsiaTheme="minorEastAsia"/>
          <w:color w:val="000000" w:themeColor="text1"/>
          <w:sz w:val="24"/>
          <w:szCs w:val="24"/>
          <w14:textFill>
            <w14:solidFill>
              <w14:schemeClr w14:val="tx1"/>
            </w14:solidFill>
          </w14:textFill>
        </w:rPr>
        <w:t>，施工期污染物产生量为</w:t>
      </w:r>
      <w:r>
        <w:rPr>
          <w:rFonts w:ascii="Times New Roman" w:hAnsi="Times New Roman" w:eastAsiaTheme="minorEastAsia"/>
          <w:color w:val="000000" w:themeColor="text1"/>
          <w:sz w:val="24"/>
          <w:szCs w:val="24"/>
          <w14:textFill>
            <w14:solidFill>
              <w14:schemeClr w14:val="tx1"/>
            </w14:solidFill>
          </w14:textFill>
        </w:rPr>
        <w:t xml:space="preserve"> SS 145.80kg</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COD 170.10kg</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BOD</w:t>
      </w:r>
      <w:r>
        <w:rPr>
          <w:rFonts w:ascii="Times New Roman" w:hAnsi="Times New Roman" w:eastAsiaTheme="minorEastAsia"/>
          <w:color w:val="000000" w:themeColor="text1"/>
          <w:sz w:val="24"/>
          <w:szCs w:val="24"/>
          <w:vertAlign w:val="subscript"/>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 xml:space="preserve"> 121.50kg</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NH</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-N 17.01kg</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。施工期施工人员食宿租用附近民房，生活污水依托农户现有污水处理设施处理。</w:t>
      </w:r>
    </w:p>
    <w:p>
      <w:pPr>
        <w:pStyle w:val="152"/>
        <w:numPr>
          <w:ilvl w:val="0"/>
          <w:numId w:val="29"/>
        </w:numPr>
        <w:spacing w:after="0" w:line="520" w:lineRule="exact"/>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施工噪声</w:t>
      </w:r>
    </w:p>
    <w:p>
      <w:pPr>
        <w:pStyle w:val="152"/>
        <w:spacing w:after="0" w:line="520" w:lineRule="exact"/>
        <w:ind w:firstLine="480" w:firstLineChars="200"/>
        <w:rPr>
          <w:rFonts w:ascii="Times New Roman" w:eastAsiaTheme="minorEastAsia"/>
          <w:color w:val="000000" w:themeColor="text1"/>
          <w14:textFill>
            <w14:solidFill>
              <w14:schemeClr w14:val="tx1"/>
            </w14:solidFill>
          </w14:textFill>
        </w:rPr>
      </w:pPr>
      <w:r>
        <w:rPr>
          <w:rFonts w:ascii="Times New Roman" w:hAnsiTheme="minorEastAsia" w:eastAsiaTheme="minorEastAsia"/>
          <w:color w:val="000000" w:themeColor="text1"/>
          <w14:textFill>
            <w14:solidFill>
              <w14:schemeClr w14:val="tx1"/>
            </w14:solidFill>
          </w14:textFill>
        </w:rPr>
        <w:t>建设期噪声主要分为机械噪声、施工作业噪声和施工车辆噪声。机械噪声主要由施工机械所造成，如铲平机、压路机、搅拌机和铣刨机等，多为点声源；施工作业噪声主要指一些零星的敲打声、装卸车辆撞击声、吆喝声、拆卸模板的撞击声等，多为瞬时噪声；施工车辆的噪声属于交通噪声。</w:t>
      </w:r>
    </w:p>
    <w:p>
      <w:pPr>
        <w:pStyle w:val="186"/>
        <w:spacing w:line="520" w:lineRule="exact"/>
        <w:ind w:firstLine="0" w:firstLineChars="0"/>
        <w:jc w:val="center"/>
        <w:rPr>
          <w:rFonts w:ascii="Times New Roman" w:hAnsi="Times New Roman"/>
          <w:b/>
          <w:color w:val="000000" w:themeColor="text1"/>
          <w14:textFill>
            <w14:solidFill>
              <w14:schemeClr w14:val="tx1"/>
            </w14:solidFill>
          </w14:textFill>
        </w:rPr>
      </w:pPr>
      <w:r>
        <w:rPr>
          <w:rFonts w:ascii="Times New Roman" w:hAnsiTheme="minorEastAsia" w:eastAsiaTheme="minorEastAsia"/>
          <w:b/>
          <w:color w:val="000000" w:themeColor="text1"/>
          <w14:textFill>
            <w14:solidFill>
              <w14:schemeClr w14:val="tx1"/>
            </w14:solidFill>
          </w14:textFill>
        </w:rPr>
        <w:t>表</w:t>
      </w:r>
      <w:r>
        <w:rPr>
          <w:rFonts w:hint="eastAsia" w:ascii="Times New Roman" w:hAnsi="Times New Roman" w:eastAsiaTheme="minorEastAsia"/>
          <w:b/>
          <w:color w:val="000000" w:themeColor="text1"/>
          <w:lang w:val="en-US" w:eastAsia="zh-CN"/>
          <w14:textFill>
            <w14:solidFill>
              <w14:schemeClr w14:val="tx1"/>
            </w14:solidFill>
          </w14:textFill>
        </w:rPr>
        <w:t>4</w:t>
      </w:r>
      <w:r>
        <w:rPr>
          <w:rFonts w:ascii="Times New Roman" w:hAnsi="Times New Roman" w:eastAsiaTheme="minorEastAsia"/>
          <w:b/>
          <w:color w:val="000000" w:themeColor="text1"/>
          <w14:textFill>
            <w14:solidFill>
              <w14:schemeClr w14:val="tx1"/>
            </w14:solidFill>
          </w14:textFill>
        </w:rPr>
        <w:t>.</w:t>
      </w:r>
      <w:r>
        <w:rPr>
          <w:rFonts w:hint="eastAsia" w:ascii="Times New Roman" w:hAnsi="Times New Roman" w:eastAsiaTheme="minorEastAsia"/>
          <w:b/>
          <w:color w:val="000000" w:themeColor="text1"/>
          <w14:textFill>
            <w14:solidFill>
              <w14:schemeClr w14:val="tx1"/>
            </w14:solidFill>
          </w14:textFill>
        </w:rPr>
        <w:t>1</w:t>
      </w:r>
      <w:r>
        <w:rPr>
          <w:rFonts w:ascii="Times New Roman" w:hAnsi="Times New Roman" w:eastAsiaTheme="minorEastAsia"/>
          <w:b/>
          <w:color w:val="000000" w:themeColor="text1"/>
          <w14:textFill>
            <w14:solidFill>
              <w14:schemeClr w14:val="tx1"/>
            </w14:solidFill>
          </w14:textFill>
        </w:rPr>
        <w:t>-</w:t>
      </w:r>
      <w:r>
        <w:rPr>
          <w:rFonts w:hint="eastAsia" w:ascii="Times New Roman" w:hAnsi="Times New Roman" w:eastAsiaTheme="minorEastAsia"/>
          <w:b/>
          <w:color w:val="000000" w:themeColor="text1"/>
          <w14:textFill>
            <w14:solidFill>
              <w14:schemeClr w14:val="tx1"/>
            </w14:solidFill>
          </w14:textFill>
        </w:rPr>
        <w:t>3</w:t>
      </w:r>
      <w:r>
        <w:rPr>
          <w:rFonts w:ascii="Times New Roman" w:hAnsi="Times New Roman" w:eastAsiaTheme="minorEastAsia"/>
          <w:b/>
          <w:color w:val="000000" w:themeColor="text1"/>
          <w14:textFill>
            <w14:solidFill>
              <w14:schemeClr w14:val="tx1"/>
            </w14:solidFill>
          </w14:textFill>
        </w:rPr>
        <w:t xml:space="preserve"> </w:t>
      </w:r>
      <w:r>
        <w:rPr>
          <w:rFonts w:hint="eastAsia" w:ascii="Times New Roman" w:hAnsi="Times New Roman" w:eastAsiaTheme="minorEastAsia"/>
          <w:b/>
          <w:color w:val="000000" w:themeColor="text1"/>
          <w14:textFill>
            <w14:solidFill>
              <w14:schemeClr w14:val="tx1"/>
            </w14:solidFill>
          </w14:textFill>
        </w:rPr>
        <w:t xml:space="preserve"> </w:t>
      </w:r>
      <w:r>
        <w:rPr>
          <w:rFonts w:ascii="Times New Roman" w:hAnsiTheme="minorEastAsia" w:eastAsiaTheme="minorEastAsia"/>
          <w:b/>
          <w:color w:val="000000" w:themeColor="text1"/>
          <w14:textFill>
            <w14:solidFill>
              <w14:schemeClr w14:val="tx1"/>
            </w14:solidFill>
          </w14:textFill>
        </w:rPr>
        <w:t>施工机械设备的噪声等级</w:t>
      </w:r>
    </w:p>
    <w:tbl>
      <w:tblPr>
        <w:tblStyle w:val="87"/>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410"/>
        <w:gridCol w:w="3402"/>
        <w:gridCol w:w="15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施工机械</w:t>
            </w:r>
          </w:p>
        </w:tc>
        <w:tc>
          <w:tcPr>
            <w:tcW w:w="2410"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噪声源源强</w:t>
            </w:r>
            <w:r>
              <w:rPr>
                <w:rFonts w:ascii="Times New Roman" w:hAnsi="Times New Roman" w:eastAsiaTheme="minorEastAsia"/>
                <w:color w:val="000000" w:themeColor="text1"/>
                <w:sz w:val="21"/>
                <w:szCs w:val="21"/>
                <w14:textFill>
                  <w14:solidFill>
                    <w14:schemeClr w14:val="tx1"/>
                  </w14:solidFill>
                </w14:textFill>
              </w:rPr>
              <w:t>Lw(A)(dB)</w:t>
            </w:r>
          </w:p>
        </w:tc>
        <w:tc>
          <w:tcPr>
            <w:tcW w:w="340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参考距离处的噪声声级</w:t>
            </w:r>
            <w:r>
              <w:rPr>
                <w:rFonts w:ascii="Times New Roman" w:hAnsi="Times New Roman" w:eastAsiaTheme="minorEastAsia"/>
                <w:color w:val="000000" w:themeColor="text1"/>
                <w:sz w:val="21"/>
                <w:szCs w:val="21"/>
                <w14:textFill>
                  <w14:solidFill>
                    <w14:schemeClr w14:val="tx1"/>
                  </w14:solidFill>
                </w14:textFill>
              </w:rPr>
              <w:t>Lw</w:t>
            </w:r>
            <w:r>
              <w:rPr>
                <w:rFonts w:ascii="Times New Roman" w:hAnsi="Times New Roman" w:eastAsiaTheme="minorEastAsia"/>
                <w:color w:val="000000" w:themeColor="text1"/>
                <w:sz w:val="21"/>
                <w:szCs w:val="21"/>
                <w:vertAlign w:val="subscript"/>
                <w14:textFill>
                  <w14:solidFill>
                    <w14:schemeClr w14:val="tx1"/>
                  </w14:solidFill>
                </w14:textFill>
              </w:rPr>
              <w:t>ref</w:t>
            </w:r>
            <w:r>
              <w:rPr>
                <w:rFonts w:ascii="Times New Roman" w:hAnsi="Times New Roman" w:eastAsiaTheme="minorEastAsia"/>
                <w:color w:val="000000" w:themeColor="text1"/>
                <w:sz w:val="21"/>
                <w:szCs w:val="21"/>
                <w14:textFill>
                  <w14:solidFill>
                    <w14:schemeClr w14:val="tx1"/>
                  </w14:solidFill>
                </w14:textFill>
              </w:rPr>
              <w:t>(r0)(dB)</w:t>
            </w:r>
          </w:p>
        </w:tc>
        <w:tc>
          <w:tcPr>
            <w:tcW w:w="1541"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参考距离</w:t>
            </w:r>
            <w:r>
              <w:rPr>
                <w:rFonts w:ascii="Times New Roman" w:hAnsi="Times New Roman" w:eastAsiaTheme="minorEastAsia"/>
                <w:color w:val="000000" w:themeColor="text1"/>
                <w:sz w:val="21"/>
                <w:szCs w:val="21"/>
                <w14:textFill>
                  <w14:solidFill>
                    <w14:schemeClr w14:val="tx1"/>
                  </w14:solidFill>
                </w14:textFill>
              </w:rPr>
              <w:t>r</w:t>
            </w:r>
            <w:r>
              <w:rPr>
                <w:rFonts w:ascii="Times New Roman" w:hAnsi="Times New Roman" w:eastAsiaTheme="minorEastAsia"/>
                <w:color w:val="000000" w:themeColor="text1"/>
                <w:sz w:val="21"/>
                <w:szCs w:val="21"/>
                <w:vertAlign w:val="subscript"/>
                <w14:textFill>
                  <w14:solidFill>
                    <w14:schemeClr w14:val="tx1"/>
                  </w14:solidFill>
                </w14:textFill>
              </w:rPr>
              <w:t>0</w:t>
            </w:r>
            <w:r>
              <w:rPr>
                <w:rFonts w:ascii="Times New Roman" w:hAnsi="Times New Roman" w:eastAsiaTheme="minorEastAsia"/>
                <w:color w:val="000000" w:themeColor="text1"/>
                <w:sz w:val="21"/>
                <w:szCs w:val="2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挖掘机</w:t>
            </w:r>
          </w:p>
        </w:tc>
        <w:tc>
          <w:tcPr>
            <w:tcW w:w="2410"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114</w:t>
            </w:r>
          </w:p>
        </w:tc>
        <w:tc>
          <w:tcPr>
            <w:tcW w:w="340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79</w:t>
            </w:r>
          </w:p>
        </w:tc>
        <w:tc>
          <w:tcPr>
            <w:tcW w:w="1541"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压路机</w:t>
            </w:r>
          </w:p>
        </w:tc>
        <w:tc>
          <w:tcPr>
            <w:tcW w:w="2410"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104</w:t>
            </w:r>
          </w:p>
        </w:tc>
        <w:tc>
          <w:tcPr>
            <w:tcW w:w="340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73</w:t>
            </w:r>
          </w:p>
        </w:tc>
        <w:tc>
          <w:tcPr>
            <w:tcW w:w="1541"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铲土机</w:t>
            </w:r>
          </w:p>
        </w:tc>
        <w:tc>
          <w:tcPr>
            <w:tcW w:w="2410"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110</w:t>
            </w:r>
          </w:p>
        </w:tc>
        <w:tc>
          <w:tcPr>
            <w:tcW w:w="340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75</w:t>
            </w:r>
          </w:p>
        </w:tc>
        <w:tc>
          <w:tcPr>
            <w:tcW w:w="1541"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自卸卡车</w:t>
            </w:r>
          </w:p>
        </w:tc>
        <w:tc>
          <w:tcPr>
            <w:tcW w:w="2410"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95</w:t>
            </w:r>
          </w:p>
        </w:tc>
        <w:tc>
          <w:tcPr>
            <w:tcW w:w="340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70</w:t>
            </w:r>
          </w:p>
        </w:tc>
        <w:tc>
          <w:tcPr>
            <w:tcW w:w="1541"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混凝土振捣机</w:t>
            </w:r>
          </w:p>
        </w:tc>
        <w:tc>
          <w:tcPr>
            <w:tcW w:w="2410"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112</w:t>
            </w:r>
          </w:p>
        </w:tc>
        <w:tc>
          <w:tcPr>
            <w:tcW w:w="340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80</w:t>
            </w:r>
          </w:p>
        </w:tc>
        <w:tc>
          <w:tcPr>
            <w:tcW w:w="1541"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heme="minorEastAsia" w:eastAsiaTheme="minorEastAsia"/>
                <w:color w:val="000000" w:themeColor="text1"/>
                <w:sz w:val="21"/>
                <w:szCs w:val="21"/>
                <w14:textFill>
                  <w14:solidFill>
                    <w14:schemeClr w14:val="tx1"/>
                  </w14:solidFill>
                </w14:textFill>
              </w:rPr>
              <w:t>混凝土搅拌机</w:t>
            </w:r>
          </w:p>
        </w:tc>
        <w:tc>
          <w:tcPr>
            <w:tcW w:w="2410"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84</w:t>
            </w:r>
          </w:p>
        </w:tc>
        <w:tc>
          <w:tcPr>
            <w:tcW w:w="3402"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79</w:t>
            </w:r>
          </w:p>
        </w:tc>
        <w:tc>
          <w:tcPr>
            <w:tcW w:w="1541" w:type="dxa"/>
            <w:vAlign w:val="center"/>
          </w:tcPr>
          <w:p>
            <w:pPr>
              <w:pStyle w:val="174"/>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15</w:t>
            </w:r>
          </w:p>
        </w:tc>
      </w:tr>
    </w:tbl>
    <w:p>
      <w:pPr>
        <w:pStyle w:val="152"/>
        <w:spacing w:after="0" w:line="520" w:lineRule="exact"/>
        <w:ind w:firstLine="480" w:firstLineChars="200"/>
        <w:rPr>
          <w:rFonts w:ascii="Times New Roman" w:cs="Times New Roman" w:eastAsiaTheme="minorEastAsia"/>
          <w:color w:val="000000" w:themeColor="text1"/>
          <w:szCs w:val="24"/>
          <w14:textFill>
            <w14:solidFill>
              <w14:schemeClr w14:val="tx1"/>
            </w14:solidFill>
          </w14:textFill>
        </w:rPr>
      </w:pPr>
      <w:r>
        <w:rPr>
          <w:rFonts w:ascii="Times New Roman" w:cs="Times New Roman" w:hAnsiTheme="minorEastAsia" w:eastAsiaTheme="minorEastAsia"/>
          <w:color w:val="000000" w:themeColor="text1"/>
          <w:szCs w:val="24"/>
          <w14:textFill>
            <w14:solidFill>
              <w14:schemeClr w14:val="tx1"/>
            </w14:solidFill>
          </w14:textFill>
        </w:rPr>
        <w:t>项目建设过程中需加强施工管理，限制夜间施工，严禁施工扰民。</w:t>
      </w:r>
    </w:p>
    <w:p>
      <w:pPr>
        <w:pStyle w:val="152"/>
        <w:numPr>
          <w:ilvl w:val="0"/>
          <w:numId w:val="29"/>
        </w:numPr>
        <w:spacing w:after="0" w:line="520" w:lineRule="exact"/>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固体废物</w:t>
      </w:r>
    </w:p>
    <w:p>
      <w:pPr>
        <w:pStyle w:val="152"/>
        <w:spacing w:after="0" w:line="520" w:lineRule="exact"/>
        <w:ind w:firstLine="480"/>
        <w:rPr>
          <w:rFonts w:ascii="Times New Roman" w:eastAsiaTheme="minorEastAsia"/>
          <w:color w:val="000000" w:themeColor="text1"/>
          <w14:textFill>
            <w14:solidFill>
              <w14:schemeClr w14:val="tx1"/>
            </w14:solidFill>
          </w14:textFill>
        </w:rPr>
      </w:pPr>
      <w:r>
        <w:rPr>
          <w:rFonts w:ascii="Times New Roman" w:hAnsiTheme="minorEastAsia" w:eastAsiaTheme="minorEastAsia"/>
          <w:color w:val="000000" w:themeColor="text1"/>
          <w14:textFill>
            <w14:solidFill>
              <w14:schemeClr w14:val="tx1"/>
            </w14:solidFill>
          </w14:textFill>
        </w:rPr>
        <w:t>土方开挖主要有厂址的基础开挖、道路开挖、排水沟开挖等，主要采用</w:t>
      </w:r>
      <w:r>
        <w:rPr>
          <w:rFonts w:ascii="Times New Roman" w:eastAsiaTheme="minorEastAsia"/>
          <w:color w:val="000000" w:themeColor="text1"/>
          <w14:textFill>
            <w14:solidFill>
              <w14:schemeClr w14:val="tx1"/>
            </w14:solidFill>
          </w14:textFill>
        </w:rPr>
        <w:t>1m</w:t>
      </w:r>
      <w:r>
        <w:rPr>
          <w:rFonts w:ascii="Times New Roman" w:eastAsiaTheme="minorEastAsia"/>
          <w:color w:val="000000" w:themeColor="text1"/>
          <w:vertAlign w:val="superscript"/>
          <w14:textFill>
            <w14:solidFill>
              <w14:schemeClr w14:val="tx1"/>
            </w14:solidFill>
          </w14:textFill>
        </w:rPr>
        <w:t>3</w:t>
      </w:r>
      <w:r>
        <w:rPr>
          <w:rFonts w:ascii="Times New Roman" w:hAnsiTheme="minorEastAsia" w:eastAsiaTheme="minorEastAsia"/>
          <w:color w:val="000000" w:themeColor="text1"/>
          <w14:textFill>
            <w14:solidFill>
              <w14:schemeClr w14:val="tx1"/>
            </w14:solidFill>
          </w14:textFill>
        </w:rPr>
        <w:t>反铲挖掘机、配</w:t>
      </w:r>
      <w:r>
        <w:rPr>
          <w:rFonts w:ascii="Times New Roman" w:eastAsiaTheme="minorEastAsia"/>
          <w:color w:val="000000" w:themeColor="text1"/>
          <w14:textFill>
            <w14:solidFill>
              <w14:schemeClr w14:val="tx1"/>
            </w14:solidFill>
          </w14:textFill>
        </w:rPr>
        <w:t>8</w:t>
      </w:r>
      <w:r>
        <w:rPr>
          <w:rFonts w:ascii="Times New Roman" w:hAnsiTheme="minorEastAsia" w:eastAsiaTheme="minorEastAsia"/>
          <w:color w:val="000000" w:themeColor="text1"/>
          <w14:textFill>
            <w14:solidFill>
              <w14:schemeClr w14:val="tx1"/>
            </w14:solidFill>
          </w14:textFill>
        </w:rPr>
        <w:t>～</w:t>
      </w:r>
      <w:r>
        <w:rPr>
          <w:rFonts w:ascii="Times New Roman" w:eastAsiaTheme="minorEastAsia"/>
          <w:color w:val="000000" w:themeColor="text1"/>
          <w14:textFill>
            <w14:solidFill>
              <w14:schemeClr w14:val="tx1"/>
            </w14:solidFill>
          </w14:textFill>
        </w:rPr>
        <w:t>12t</w:t>
      </w:r>
      <w:r>
        <w:rPr>
          <w:rFonts w:ascii="Times New Roman" w:hAnsiTheme="minorEastAsia" w:eastAsiaTheme="minorEastAsia"/>
          <w:color w:val="000000" w:themeColor="text1"/>
          <w14:textFill>
            <w14:solidFill>
              <w14:schemeClr w14:val="tx1"/>
            </w14:solidFill>
          </w14:textFill>
        </w:rPr>
        <w:t>自卸汽车运输、临时集中至堆土区或需要回填土的部位，必要时配合人工修整开挖和挑运。</w:t>
      </w:r>
    </w:p>
    <w:p>
      <w:pPr>
        <w:pStyle w:val="152"/>
        <w:spacing w:after="0" w:line="520" w:lineRule="exact"/>
        <w:ind w:firstLine="480"/>
        <w:rPr>
          <w:rFonts w:ascii="Times New Roman" w:eastAsiaTheme="minorEastAsia"/>
          <w:color w:val="000000" w:themeColor="text1"/>
          <w14:textFill>
            <w14:solidFill>
              <w14:schemeClr w14:val="tx1"/>
            </w14:solidFill>
          </w14:textFill>
        </w:rPr>
      </w:pPr>
      <w:r>
        <w:rPr>
          <w:rFonts w:ascii="Times New Roman" w:hAnsiTheme="minorEastAsia" w:eastAsiaTheme="minorEastAsia"/>
          <w:color w:val="000000" w:themeColor="text1"/>
          <w14:textFill>
            <w14:solidFill>
              <w14:schemeClr w14:val="tx1"/>
            </w14:solidFill>
          </w14:textFill>
        </w:rPr>
        <w:t>开挖主要采用</w:t>
      </w:r>
      <w:r>
        <w:rPr>
          <w:rFonts w:ascii="Times New Roman" w:eastAsiaTheme="minorEastAsia"/>
          <w:color w:val="000000" w:themeColor="text1"/>
          <w14:textFill>
            <w14:solidFill>
              <w14:schemeClr w14:val="tx1"/>
            </w14:solidFill>
          </w14:textFill>
        </w:rPr>
        <w:t>1m</w:t>
      </w:r>
      <w:r>
        <w:rPr>
          <w:rFonts w:ascii="Times New Roman" w:eastAsiaTheme="minorEastAsia"/>
          <w:color w:val="000000" w:themeColor="text1"/>
          <w:vertAlign w:val="superscript"/>
          <w14:textFill>
            <w14:solidFill>
              <w14:schemeClr w14:val="tx1"/>
            </w14:solidFill>
          </w14:textFill>
        </w:rPr>
        <w:t>3</w:t>
      </w:r>
      <w:r>
        <w:rPr>
          <w:rFonts w:ascii="Times New Roman" w:hAnsiTheme="minorEastAsia" w:eastAsiaTheme="minorEastAsia"/>
          <w:color w:val="000000" w:themeColor="text1"/>
          <w14:textFill>
            <w14:solidFill>
              <w14:schemeClr w14:val="tx1"/>
            </w14:solidFill>
          </w14:textFill>
        </w:rPr>
        <w:t>反铲挖、装土，</w:t>
      </w:r>
      <w:r>
        <w:rPr>
          <w:rFonts w:ascii="Times New Roman" w:eastAsiaTheme="minorEastAsia"/>
          <w:color w:val="000000" w:themeColor="text1"/>
          <w14:textFill>
            <w14:solidFill>
              <w14:schemeClr w14:val="tx1"/>
            </w14:solidFill>
          </w14:textFill>
        </w:rPr>
        <w:t>8</w:t>
      </w:r>
      <w:r>
        <w:rPr>
          <w:rFonts w:ascii="Times New Roman" w:hAnsiTheme="minorEastAsia" w:eastAsiaTheme="minorEastAsia"/>
          <w:color w:val="000000" w:themeColor="text1"/>
          <w14:textFill>
            <w14:solidFill>
              <w14:schemeClr w14:val="tx1"/>
            </w14:solidFill>
          </w14:textFill>
        </w:rPr>
        <w:t>～</w:t>
      </w:r>
      <w:r>
        <w:rPr>
          <w:rFonts w:ascii="Times New Roman" w:eastAsiaTheme="minorEastAsia"/>
          <w:color w:val="000000" w:themeColor="text1"/>
          <w14:textFill>
            <w14:solidFill>
              <w14:schemeClr w14:val="tx1"/>
            </w14:solidFill>
          </w14:textFill>
        </w:rPr>
        <w:t>12t</w:t>
      </w:r>
      <w:r>
        <w:rPr>
          <w:rFonts w:ascii="Times New Roman" w:hAnsiTheme="minorEastAsia" w:eastAsiaTheme="minorEastAsia"/>
          <w:color w:val="000000" w:themeColor="text1"/>
          <w14:textFill>
            <w14:solidFill>
              <w14:schemeClr w14:val="tx1"/>
            </w14:solidFill>
          </w14:textFill>
        </w:rPr>
        <w:t>自卸汽车运输，采用</w:t>
      </w:r>
      <w:r>
        <w:rPr>
          <w:rFonts w:ascii="Times New Roman" w:eastAsiaTheme="minorEastAsia"/>
          <w:color w:val="000000" w:themeColor="text1"/>
          <w14:textFill>
            <w14:solidFill>
              <w14:schemeClr w14:val="tx1"/>
            </w14:solidFill>
          </w14:textFill>
        </w:rPr>
        <w:t>1t</w:t>
      </w:r>
      <w:r>
        <w:rPr>
          <w:rFonts w:ascii="Times New Roman" w:hAnsiTheme="minorEastAsia" w:eastAsiaTheme="minorEastAsia"/>
          <w:color w:val="000000" w:themeColor="text1"/>
          <w14:textFill>
            <w14:solidFill>
              <w14:schemeClr w14:val="tx1"/>
            </w14:solidFill>
          </w14:textFill>
        </w:rPr>
        <w:t>的机动翻斗车运至工作面，人工摊铺，</w:t>
      </w:r>
      <w:r>
        <w:rPr>
          <w:rFonts w:ascii="Times New Roman" w:eastAsiaTheme="minorEastAsia"/>
          <w:color w:val="000000" w:themeColor="text1"/>
          <w14:textFill>
            <w14:solidFill>
              <w14:schemeClr w14:val="tx1"/>
            </w14:solidFill>
          </w14:textFill>
        </w:rPr>
        <w:t>2.8kw</w:t>
      </w:r>
      <w:r>
        <w:rPr>
          <w:rFonts w:ascii="Times New Roman" w:hAnsiTheme="minorEastAsia" w:eastAsiaTheme="minorEastAsia"/>
          <w:color w:val="000000" w:themeColor="text1"/>
          <w14:textFill>
            <w14:solidFill>
              <w14:schemeClr w14:val="tx1"/>
            </w14:solidFill>
          </w14:textFill>
        </w:rPr>
        <w:t>蛙式打夯机夯实。</w:t>
      </w:r>
    </w:p>
    <w:p>
      <w:pPr>
        <w:pStyle w:val="152"/>
        <w:numPr>
          <w:ilvl w:val="0"/>
          <w:numId w:val="29"/>
        </w:numPr>
        <w:spacing w:after="0" w:line="520" w:lineRule="exact"/>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生态环境</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项目施工期将导致地表原有植被破坏，造成的地面裸露，形成水土流失。同时，项目临时堆土方堆存过程将在雨水冲刷等过程造成水土流失。</w:t>
      </w:r>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198" w:name="_Toc20077"/>
      <w:r>
        <w:rPr>
          <w:rFonts w:hint="eastAsia" w:ascii="Times New Roman" w:hAnsi="Times New Roman" w:eastAsia="黑体"/>
          <w:b/>
          <w:color w:val="000000" w:themeColor="text1"/>
          <w:sz w:val="32"/>
          <w:szCs w:val="32"/>
          <w:lang w:val="en-US" w:eastAsia="zh-CN"/>
          <w14:textFill>
            <w14:solidFill>
              <w14:schemeClr w14:val="tx1"/>
            </w14:solidFill>
          </w14:textFill>
        </w:rPr>
        <w:t>4</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2运营期</w:t>
      </w:r>
      <w:r>
        <w:rPr>
          <w:rFonts w:hint="eastAsia" w:ascii="黑体" w:hAnsi="黑体" w:eastAsia="黑体"/>
          <w:b/>
          <w:color w:val="000000" w:themeColor="text1"/>
          <w:sz w:val="32"/>
          <w:szCs w:val="32"/>
          <w14:textFill>
            <w14:solidFill>
              <w14:schemeClr w14:val="tx1"/>
            </w14:solidFill>
          </w14:textFill>
        </w:rPr>
        <w:t>工程分析</w:t>
      </w:r>
      <w:bookmarkEnd w:id="198"/>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199" w:name="_Toc32591"/>
      <w:bookmarkStart w:id="200" w:name="_Toc9918"/>
      <w:bookmarkStart w:id="201" w:name="_Toc19609"/>
      <w:r>
        <w:rPr>
          <w:rFonts w:hint="eastAsia" w:ascii="Times New Roman" w:hAnsi="Times New Roman" w:eastAsia="黑体"/>
          <w:b/>
          <w:color w:val="000000" w:themeColor="text1"/>
          <w:sz w:val="28"/>
          <w:szCs w:val="28"/>
          <w:lang w:val="en-US" w:eastAsia="zh-CN"/>
          <w14:textFill>
            <w14:solidFill>
              <w14:schemeClr w14:val="tx1"/>
            </w14:solidFill>
          </w14:textFill>
        </w:rPr>
        <w:t>4</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2</w:t>
      </w:r>
      <w:r>
        <w:rPr>
          <w:rFonts w:ascii="Times New Roman" w:hAnsi="Times New Roman" w:eastAsia="黑体"/>
          <w:b/>
          <w:color w:val="000000" w:themeColor="text1"/>
          <w:sz w:val="28"/>
          <w:szCs w:val="28"/>
          <w14:textFill>
            <w14:solidFill>
              <w14:schemeClr w14:val="tx1"/>
            </w14:solidFill>
          </w14:textFill>
        </w:rPr>
        <w:t>.1</w:t>
      </w:r>
      <w:r>
        <w:rPr>
          <w:rFonts w:hint="eastAsia" w:ascii="黑体" w:hAnsi="黑体" w:eastAsia="黑体"/>
          <w:b/>
          <w:color w:val="000000" w:themeColor="text1"/>
          <w:sz w:val="28"/>
          <w:szCs w:val="28"/>
          <w14:textFill>
            <w14:solidFill>
              <w14:schemeClr w14:val="tx1"/>
            </w14:solidFill>
          </w14:textFill>
        </w:rPr>
        <w:t>工艺流程简述</w:t>
      </w:r>
      <w:bookmarkEnd w:id="199"/>
      <w:bookmarkEnd w:id="200"/>
      <w:bookmarkEnd w:id="201"/>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02" w:name="_Toc30286"/>
      <w:bookmarkStart w:id="203" w:name="_Toc7198"/>
      <w:bookmarkStart w:id="204" w:name="_Toc15929"/>
      <w:r>
        <w:rPr>
          <w:rFonts w:hint="eastAsia" w:ascii="Times New Roman" w:hAnsiTheme="minorEastAsia" w:eastAsiaTheme="minorEastAsia"/>
          <w:color w:val="000000" w:themeColor="text1"/>
          <w:sz w:val="24"/>
          <w:szCs w:val="24"/>
          <w14:textFill>
            <w14:solidFill>
              <w14:schemeClr w14:val="tx1"/>
            </w14:solidFill>
          </w14:textFill>
        </w:rPr>
        <w:t>本项目由氟硅酸钠析出单元、母液中和单元、深度除氟单元、蒸发浓缩单元和尾气吸收单元组成。</w:t>
      </w:r>
      <w:bookmarkEnd w:id="202"/>
      <w:bookmarkEnd w:id="203"/>
      <w:bookmarkEnd w:id="204"/>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05" w:name="_Toc29283"/>
      <w:bookmarkStart w:id="206" w:name="_Toc1040"/>
      <w:bookmarkStart w:id="207" w:name="_Toc897"/>
      <w:r>
        <w:rPr>
          <w:rFonts w:hint="eastAsia" w:ascii="Times New Roman" w:hAnsiTheme="minorEastAsia" w:eastAsiaTheme="minorEastAsia"/>
          <w:color w:val="000000" w:themeColor="text1"/>
          <w:sz w:val="24"/>
          <w:szCs w:val="24"/>
          <w14:textFill>
            <w14:solidFill>
              <w14:schemeClr w14:val="tx1"/>
            </w14:solidFill>
          </w14:textFill>
        </w:rPr>
        <w:t>（1）氟硅酸钠析出单元</w:t>
      </w:r>
      <w:bookmarkEnd w:id="205"/>
      <w:bookmarkEnd w:id="206"/>
      <w:bookmarkEnd w:id="207"/>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08" w:name="_Toc13930"/>
      <w:bookmarkStart w:id="209" w:name="_Toc20615"/>
      <w:bookmarkStart w:id="210" w:name="_Toc2437"/>
      <w:r>
        <w:rPr>
          <w:rFonts w:hint="eastAsia" w:ascii="Times New Roman" w:hAnsiTheme="minorEastAsia" w:eastAsiaTheme="minorEastAsia"/>
          <w:color w:val="000000" w:themeColor="text1"/>
          <w:sz w:val="24"/>
          <w:szCs w:val="24"/>
          <w14:textFill>
            <w14:solidFill>
              <w14:schemeClr w14:val="tx1"/>
            </w14:solidFill>
          </w14:textFill>
        </w:rPr>
        <w:t>含氟废酸预处理：来自罐区的废酸经泵打入车间中间槽缓存，然后再泵入溶硅槽。开启搅拌后，将来自仓库的硅胶经料斗缓慢投入溶硅槽，在常温常压下充分反应后，将原料废酸中的氢氟酸全部转化为氟硅酸（原料废酸中的氟硅酸不参与反应）。反应结束后，将溶硅槽中的酸液泵入密闭式硅胶过滤机，滤渣回用到溶硅槽，滤液进入氟硅酸缓存槽待用。</w:t>
      </w:r>
      <w:bookmarkEnd w:id="208"/>
      <w:bookmarkEnd w:id="209"/>
      <w:bookmarkEnd w:id="210"/>
    </w:p>
    <w:p>
      <w:pPr>
        <w:pStyle w:val="380"/>
        <w:adjustRightInd w:val="0"/>
        <w:snapToGrid w:val="0"/>
        <w:spacing w:before="48" w:beforeLines="20" w:after="48" w:afterLines="20" w:line="520" w:lineRule="exact"/>
        <w:ind w:firstLine="2160" w:firstLineChars="90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11" w:name="_Toc22458"/>
      <w:bookmarkStart w:id="212" w:name="_Toc18150"/>
      <w:bookmarkStart w:id="213" w:name="_Toc8721"/>
      <w:r>
        <w:rPr>
          <w:rFonts w:hint="eastAsia" w:ascii="Times New Roman" w:hAnsiTheme="minorEastAsia" w:eastAsiaTheme="minorEastAsia"/>
          <w:color w:val="000000" w:themeColor="text1"/>
          <w:sz w:val="24"/>
          <w:szCs w:val="24"/>
          <w14:textFill>
            <w14:solidFill>
              <w14:schemeClr w14:val="tx1"/>
            </w14:solidFill>
          </w14:textFill>
        </w:rPr>
        <w:t>反应方程式：6HF+SiO</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=H</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SiF</w:t>
      </w:r>
      <w:r>
        <w:rPr>
          <w:rFonts w:hint="eastAsia" w:ascii="Times New Roman" w:hAnsiTheme="minorEastAsia" w:eastAsiaTheme="minorEastAsia"/>
          <w:color w:val="000000" w:themeColor="text1"/>
          <w:sz w:val="24"/>
          <w:szCs w:val="24"/>
          <w:vertAlign w:val="subscript"/>
          <w14:textFill>
            <w14:solidFill>
              <w14:schemeClr w14:val="tx1"/>
            </w14:solidFill>
          </w14:textFill>
        </w:rPr>
        <w:t>6</w:t>
      </w:r>
      <w:r>
        <w:rPr>
          <w:rFonts w:hint="eastAsia" w:ascii="Times New Roman" w:hAnsiTheme="minorEastAsia" w:eastAsiaTheme="minorEastAsia"/>
          <w:color w:val="000000" w:themeColor="text1"/>
          <w:sz w:val="24"/>
          <w:szCs w:val="24"/>
          <w14:textFill>
            <w14:solidFill>
              <w14:schemeClr w14:val="tx1"/>
            </w14:solidFill>
          </w14:textFill>
        </w:rPr>
        <w:t>+2H</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O</w:t>
      </w:r>
      <w:bookmarkEnd w:id="211"/>
      <w:bookmarkEnd w:id="212"/>
      <w:bookmarkEnd w:id="213"/>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14" w:name="_Toc9697"/>
      <w:bookmarkStart w:id="215" w:name="_Toc22931"/>
      <w:bookmarkStart w:id="216" w:name="_Toc5142"/>
      <w:r>
        <w:rPr>
          <w:rFonts w:hint="eastAsia" w:ascii="Times New Roman" w:hAnsiTheme="minorEastAsia" w:eastAsiaTheme="minorEastAsia"/>
          <w:color w:val="000000" w:themeColor="text1"/>
          <w:sz w:val="24"/>
          <w:szCs w:val="24"/>
          <w14:textFill>
            <w14:solidFill>
              <w14:schemeClr w14:val="tx1"/>
            </w14:solidFill>
          </w14:textFill>
        </w:rPr>
        <w:t>来自综合仓库的吨包盐（氯化钠）经电子称去皮计量，利用叉车吊装至溶盐槽下料口上部，然后从吨包装底部将工业盐投入料斗，工业盐通过料仓进入溶盐槽，加水配制成25%饱和溶液。来自罐区的氟硅酸溶液或经含氟废酸转化获得的氟硅酸，在氟硅酸钠置换反应槽内于常温和搅拌条件下进行置换反应生成氟硅酸钠料浆。输送含氟废酸溶液的阀门均选用电动阀，电信号远传DCS系统，由中控完成控制操作。氟硅酸钠在饱和氯化钠溶液中溶解度很低，易于析出，经离心机过滤、洗涤处理后，滤饼为氟硅酸钠软膏（含水率约6%），其中三分之一的氟硅酸钠软膏经检测合格后直接作为产品包装外售，三分之二的产品经干燥（盘式干燥机，干燥温度164℃）并检测合格后包装外售，滤液为氟硅酸钠母液（浓度约为8%的稀盐酸溶液），送至母液中和单元。</w:t>
      </w:r>
      <w:bookmarkEnd w:id="214"/>
      <w:bookmarkEnd w:id="215"/>
      <w:bookmarkEnd w:id="216"/>
    </w:p>
    <w:p>
      <w:pPr>
        <w:pStyle w:val="380"/>
        <w:adjustRightInd w:val="0"/>
        <w:snapToGrid w:val="0"/>
        <w:spacing w:before="48" w:beforeLines="20" w:after="48" w:afterLines="20" w:line="520" w:lineRule="exact"/>
        <w:ind w:firstLine="1920" w:firstLineChars="80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17" w:name="_Toc1947"/>
      <w:bookmarkStart w:id="218" w:name="_Toc21394"/>
      <w:bookmarkStart w:id="219" w:name="_Toc6336"/>
      <w:r>
        <w:rPr>
          <w:rFonts w:hint="eastAsia" w:ascii="Times New Roman" w:hAnsiTheme="minorEastAsia" w:eastAsiaTheme="minorEastAsia"/>
          <w:color w:val="000000" w:themeColor="text1"/>
          <w:sz w:val="24"/>
          <w:szCs w:val="24"/>
          <w14:textFill>
            <w14:solidFill>
              <w14:schemeClr w14:val="tx1"/>
            </w14:solidFill>
          </w14:textFill>
        </w:rPr>
        <w:t>化学方程式：2NaCl+H</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SiF</w:t>
      </w:r>
      <w:r>
        <w:rPr>
          <w:rFonts w:hint="eastAsia" w:ascii="Times New Roman" w:hAnsiTheme="minorEastAsia" w:eastAsiaTheme="minorEastAsia"/>
          <w:color w:val="000000" w:themeColor="text1"/>
          <w:sz w:val="24"/>
          <w:szCs w:val="24"/>
          <w:vertAlign w:val="subscript"/>
          <w14:textFill>
            <w14:solidFill>
              <w14:schemeClr w14:val="tx1"/>
            </w14:solidFill>
          </w14:textFill>
        </w:rPr>
        <w:t>6</w:t>
      </w:r>
      <w:r>
        <w:rPr>
          <w:rFonts w:hint="eastAsia" w:ascii="Times New Roman" w:hAnsiTheme="minorEastAsia" w:eastAsiaTheme="minorEastAsia"/>
          <w:color w:val="000000" w:themeColor="text1"/>
          <w:sz w:val="24"/>
          <w:szCs w:val="24"/>
          <w14:textFill>
            <w14:solidFill>
              <w14:schemeClr w14:val="tx1"/>
            </w14:solidFill>
          </w14:textFill>
        </w:rPr>
        <w:t>=Na</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SiF</w:t>
      </w:r>
      <w:r>
        <w:rPr>
          <w:rFonts w:hint="eastAsia" w:ascii="Times New Roman" w:hAnsiTheme="minorEastAsia" w:eastAsiaTheme="minorEastAsia"/>
          <w:color w:val="000000" w:themeColor="text1"/>
          <w:sz w:val="24"/>
          <w:szCs w:val="24"/>
          <w:vertAlign w:val="subscript"/>
          <w14:textFill>
            <w14:solidFill>
              <w14:schemeClr w14:val="tx1"/>
            </w14:solidFill>
          </w14:textFill>
        </w:rPr>
        <w:t>6</w:t>
      </w:r>
      <w:r>
        <w:rPr>
          <w:rFonts w:hint="eastAsia" w:ascii="Times New Roman" w:hAnsiTheme="minorEastAsia" w:eastAsiaTheme="minorEastAsia"/>
          <w:color w:val="000000" w:themeColor="text1"/>
          <w:sz w:val="24"/>
          <w:szCs w:val="24"/>
          <w14:textFill>
            <w14:solidFill>
              <w14:schemeClr w14:val="tx1"/>
            </w14:solidFill>
          </w14:textFill>
        </w:rPr>
        <w:t>↓+2HCl</w:t>
      </w:r>
      <w:bookmarkEnd w:id="217"/>
      <w:bookmarkEnd w:id="218"/>
      <w:bookmarkEnd w:id="219"/>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20" w:name="_Toc14017"/>
      <w:bookmarkStart w:id="221" w:name="_Toc4487"/>
      <w:bookmarkStart w:id="222" w:name="_Toc13576"/>
      <w:r>
        <w:rPr>
          <w:rFonts w:hint="eastAsia" w:ascii="Times New Roman" w:hAnsiTheme="minorEastAsia" w:eastAsiaTheme="minorEastAsia"/>
          <w:color w:val="000000" w:themeColor="text1"/>
          <w:sz w:val="24"/>
          <w:szCs w:val="24"/>
          <w14:textFill>
            <w14:solidFill>
              <w14:schemeClr w14:val="tx1"/>
            </w14:solidFill>
          </w14:textFill>
        </w:rPr>
        <w:t>（2）母液中和单元</w:t>
      </w:r>
      <w:bookmarkEnd w:id="220"/>
      <w:bookmarkEnd w:id="221"/>
      <w:bookmarkEnd w:id="222"/>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23" w:name="_Toc27236"/>
      <w:bookmarkStart w:id="224" w:name="_Toc2341"/>
      <w:bookmarkStart w:id="225" w:name="_Toc3602"/>
      <w:r>
        <w:rPr>
          <w:rFonts w:hint="eastAsia" w:ascii="Times New Roman" w:hAnsiTheme="minorEastAsia" w:eastAsiaTheme="minorEastAsia"/>
          <w:color w:val="000000" w:themeColor="text1"/>
          <w:sz w:val="24"/>
          <w:szCs w:val="24"/>
          <w14:textFill>
            <w14:solidFill>
              <w14:schemeClr w14:val="tx1"/>
            </w14:solidFill>
          </w14:textFill>
        </w:rPr>
        <w:t>氟硅酸钠母液泵入中和槽内，在常温及搅拌条件下加入配制好的15%浓度的熟石灰料浆，至反应液呈弱碱性后进行板框压滤，得到合格的11%浓度的粗钙液并输送至深度除氟单元，滤渣运至附近砖厂回收利用。</w:t>
      </w:r>
      <w:bookmarkEnd w:id="223"/>
      <w:bookmarkEnd w:id="224"/>
      <w:bookmarkEnd w:id="225"/>
    </w:p>
    <w:p>
      <w:pPr>
        <w:pStyle w:val="380"/>
        <w:adjustRightInd w:val="0"/>
        <w:snapToGrid w:val="0"/>
        <w:spacing w:before="48" w:beforeLines="20" w:after="48" w:afterLines="20" w:line="520" w:lineRule="exact"/>
        <w:ind w:firstLine="2160" w:firstLineChars="90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26" w:name="_Toc11984"/>
      <w:bookmarkStart w:id="227" w:name="_Toc4631"/>
      <w:bookmarkStart w:id="228" w:name="_Toc12861"/>
      <w:r>
        <w:rPr>
          <w:rFonts w:hint="eastAsia" w:ascii="Times New Roman" w:hAnsiTheme="minorEastAsia" w:eastAsiaTheme="minorEastAsia"/>
          <w:color w:val="000000" w:themeColor="text1"/>
          <w:sz w:val="24"/>
          <w:szCs w:val="24"/>
          <w14:textFill>
            <w14:solidFill>
              <w14:schemeClr w14:val="tx1"/>
            </w14:solidFill>
          </w14:textFill>
        </w:rPr>
        <w:t>化学方程式：2HCl+Ca（OH）</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=2H</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O+CaCl</w:t>
      </w:r>
      <w:r>
        <w:rPr>
          <w:rFonts w:hint="eastAsia" w:ascii="Times New Roman" w:hAnsiTheme="minorEastAsia" w:eastAsiaTheme="minorEastAsia"/>
          <w:color w:val="000000" w:themeColor="text1"/>
          <w:sz w:val="24"/>
          <w:szCs w:val="24"/>
          <w:vertAlign w:val="subscript"/>
          <w14:textFill>
            <w14:solidFill>
              <w14:schemeClr w14:val="tx1"/>
            </w14:solidFill>
          </w14:textFill>
        </w:rPr>
        <w:t>2</w:t>
      </w:r>
      <w:bookmarkEnd w:id="226"/>
      <w:bookmarkEnd w:id="227"/>
      <w:bookmarkEnd w:id="228"/>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29" w:name="_Toc1173"/>
      <w:bookmarkStart w:id="230" w:name="_Toc19715"/>
      <w:bookmarkStart w:id="231" w:name="_Toc29236"/>
      <w:r>
        <w:rPr>
          <w:rFonts w:hint="eastAsia" w:ascii="Times New Roman" w:hAnsiTheme="minorEastAsia" w:eastAsiaTheme="minorEastAsia"/>
          <w:color w:val="000000" w:themeColor="text1"/>
          <w:sz w:val="24"/>
          <w:szCs w:val="24"/>
          <w14:textFill>
            <w14:solidFill>
              <w14:schemeClr w14:val="tx1"/>
            </w14:solidFill>
          </w14:textFill>
        </w:rPr>
        <w:t>（3）深度除氟单元</w:t>
      </w:r>
      <w:bookmarkEnd w:id="229"/>
      <w:bookmarkEnd w:id="230"/>
      <w:bookmarkEnd w:id="231"/>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32" w:name="_Toc31629"/>
      <w:bookmarkStart w:id="233" w:name="_Toc7175"/>
      <w:bookmarkStart w:id="234" w:name="_Toc10443"/>
      <w:r>
        <w:rPr>
          <w:rFonts w:hint="eastAsia" w:ascii="Times New Roman" w:hAnsiTheme="minorEastAsia" w:eastAsiaTheme="minorEastAsia"/>
          <w:color w:val="000000" w:themeColor="text1"/>
          <w:sz w:val="24"/>
          <w:szCs w:val="24"/>
          <w14:textFill>
            <w14:solidFill>
              <w14:schemeClr w14:val="tx1"/>
            </w14:solidFill>
          </w14:textFill>
        </w:rPr>
        <w:t>来自母液中和单元的粗钙液在除氟釜中与除氟药剂于一定温度下发生除氟反应，将粗钙液中的氟离子浓度由</w:t>
      </w:r>
      <w:r>
        <w:rPr>
          <w:rFonts w:ascii="Times New Roman" w:hAnsi="Times New Roman" w:eastAsiaTheme="minorEastAsia"/>
          <w:color w:val="000000" w:themeColor="text1"/>
          <w:sz w:val="24"/>
          <w:szCs w:val="24"/>
          <w14:textFill>
            <w14:solidFill>
              <w14:schemeClr w14:val="tx1"/>
            </w14:solidFill>
          </w14:textFill>
        </w:rPr>
        <w:t>20</w:t>
      </w:r>
      <w:r>
        <w:rPr>
          <w:rFonts w:hint="eastAsia" w:ascii="Times New Roman" w:hAnsi="Times New Roman" w:eastAsiaTheme="minorEastAsia"/>
          <w:color w:val="000000" w:themeColor="text1"/>
          <w:sz w:val="24"/>
          <w:szCs w:val="24"/>
          <w14:textFill>
            <w14:solidFill>
              <w14:schemeClr w14:val="tx1"/>
            </w14:solidFill>
          </w14:textFill>
        </w:rPr>
        <w:t>mg/L</w:t>
      </w:r>
      <w:r>
        <w:rPr>
          <w:rFonts w:ascii="Times New Roman" w:hAnsi="Times New Roman" w:eastAsiaTheme="minorEastAsia"/>
          <w:color w:val="000000" w:themeColor="text1"/>
          <w:sz w:val="24"/>
          <w:szCs w:val="24"/>
          <w14:textFill>
            <w14:solidFill>
              <w14:schemeClr w14:val="tx1"/>
            </w14:solidFill>
          </w14:textFill>
        </w:rPr>
        <w:t>降低至6</w:t>
      </w:r>
      <w:r>
        <w:rPr>
          <w:rFonts w:hint="eastAsia" w:ascii="Times New Roman" w:hAnsi="Times New Roman" w:eastAsiaTheme="minorEastAsia"/>
          <w:color w:val="000000" w:themeColor="text1"/>
          <w:sz w:val="24"/>
          <w:szCs w:val="24"/>
          <w14:textFill>
            <w14:solidFill>
              <w14:schemeClr w14:val="tx1"/>
            </w14:solidFill>
          </w14:textFill>
        </w:rPr>
        <w:t>mg/L</w:t>
      </w:r>
      <w:r>
        <w:rPr>
          <w:rFonts w:hint="eastAsia" w:ascii="Times New Roman" w:hAnsiTheme="minorEastAsia" w:eastAsiaTheme="minorEastAsia"/>
          <w:color w:val="000000" w:themeColor="text1"/>
          <w:sz w:val="24"/>
          <w:szCs w:val="24"/>
          <w14:textFill>
            <w14:solidFill>
              <w14:schemeClr w14:val="tx1"/>
            </w14:solidFill>
          </w14:textFill>
        </w:rPr>
        <w:t>。粗钙液中氟离子浓度降至指标后，得到合格的精钙液，送至蒸发浓缩单元。</w:t>
      </w:r>
      <w:bookmarkEnd w:id="232"/>
      <w:bookmarkEnd w:id="233"/>
      <w:bookmarkEnd w:id="234"/>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35" w:name="_Toc21225"/>
      <w:bookmarkStart w:id="236" w:name="_Toc17889"/>
      <w:bookmarkStart w:id="237" w:name="_Toc2906"/>
      <w:r>
        <w:rPr>
          <w:rFonts w:hint="eastAsia" w:ascii="Times New Roman" w:hAnsiTheme="minorEastAsia" w:eastAsiaTheme="minorEastAsia"/>
          <w:color w:val="000000" w:themeColor="text1"/>
          <w:sz w:val="24"/>
          <w:szCs w:val="24"/>
          <w14:textFill>
            <w14:solidFill>
              <w14:schemeClr w14:val="tx1"/>
            </w14:solidFill>
          </w14:textFill>
        </w:rPr>
        <w:t>（4）蒸发浓缩单元</w:t>
      </w:r>
      <w:bookmarkEnd w:id="235"/>
      <w:bookmarkEnd w:id="236"/>
      <w:bookmarkEnd w:id="237"/>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38" w:name="_Toc243"/>
      <w:bookmarkStart w:id="239" w:name="_Toc26829"/>
      <w:bookmarkStart w:id="240" w:name="_Toc21357"/>
      <w:r>
        <w:rPr>
          <w:rFonts w:hint="eastAsia" w:ascii="Times New Roman" w:hAnsiTheme="minorEastAsia" w:eastAsiaTheme="minorEastAsia"/>
          <w:color w:val="000000" w:themeColor="text1"/>
          <w:sz w:val="24"/>
          <w:szCs w:val="24"/>
          <w14:textFill>
            <w14:solidFill>
              <w14:schemeClr w14:val="tx1"/>
            </w14:solidFill>
          </w14:textFill>
        </w:rPr>
        <w:t>来自深度除氟单元的精钙液（浓度约为11.2%）在氯化钙蒸发系统中进行蒸发、浓缩，得到合格的30%浓度液钙产品外售。</w:t>
      </w:r>
      <w:bookmarkEnd w:id="238"/>
      <w:bookmarkEnd w:id="239"/>
      <w:bookmarkEnd w:id="240"/>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41" w:name="_Toc12454"/>
      <w:bookmarkStart w:id="242" w:name="_Toc19026"/>
      <w:bookmarkStart w:id="243" w:name="_Toc30630"/>
      <w:r>
        <w:rPr>
          <w:rFonts w:hint="eastAsia" w:ascii="Times New Roman" w:hAnsiTheme="minorEastAsia" w:eastAsiaTheme="minorEastAsia"/>
          <w:color w:val="000000" w:themeColor="text1"/>
          <w:sz w:val="24"/>
          <w:szCs w:val="24"/>
          <w14:textFill>
            <w14:solidFill>
              <w14:schemeClr w14:val="tx1"/>
            </w14:solidFill>
          </w14:textFill>
        </w:rPr>
        <w:t>（5）尾气吸收单元</w:t>
      </w:r>
      <w:bookmarkEnd w:id="241"/>
      <w:bookmarkEnd w:id="242"/>
      <w:bookmarkEnd w:id="243"/>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44" w:name="_Toc20773"/>
      <w:bookmarkStart w:id="245" w:name="_Toc25657"/>
      <w:bookmarkStart w:id="246" w:name="_Toc29331"/>
      <w:r>
        <w:rPr>
          <w:rFonts w:hint="eastAsia" w:ascii="Times New Roman" w:hAnsiTheme="minorEastAsia" w:eastAsiaTheme="minorEastAsia"/>
          <w:color w:val="000000" w:themeColor="text1"/>
          <w:sz w:val="24"/>
          <w:szCs w:val="24"/>
          <w14:textFill>
            <w14:solidFill>
              <w14:schemeClr w14:val="tx1"/>
            </w14:solidFill>
          </w14:textFill>
        </w:rPr>
        <w:t>将来自氟硅酸钠</w:t>
      </w:r>
      <w:r>
        <w:rPr>
          <w:rFonts w:hint="eastAsia" w:ascii="Times New Roman" w:hAnsiTheme="minorEastAsia" w:eastAsiaTheme="minorEastAsia"/>
          <w:color w:val="000000" w:themeColor="text1"/>
          <w:sz w:val="24"/>
          <w:szCs w:val="24"/>
          <w:lang w:eastAsia="zh-CN"/>
          <w14:textFill>
            <w14:solidFill>
              <w14:schemeClr w14:val="tx1"/>
            </w14:solidFill>
          </w14:textFill>
        </w:rPr>
        <w:t>析出</w:t>
      </w:r>
      <w:r>
        <w:rPr>
          <w:rFonts w:hint="eastAsia" w:ascii="Times New Roman" w:hAnsiTheme="minorEastAsia" w:eastAsiaTheme="minorEastAsia"/>
          <w:color w:val="000000" w:themeColor="text1"/>
          <w:sz w:val="24"/>
          <w:szCs w:val="24"/>
          <w14:textFill>
            <w14:solidFill>
              <w14:schemeClr w14:val="tx1"/>
            </w14:solidFill>
          </w14:textFill>
        </w:rPr>
        <w:t>单元、母液中和单元、深度除氟单元、蒸发浓缩单元产生的尾气通过尾气吸收系统二级水洗一级碱洗处理后达标排放。</w:t>
      </w:r>
      <w:bookmarkEnd w:id="244"/>
      <w:bookmarkEnd w:id="245"/>
      <w:bookmarkEnd w:id="246"/>
    </w:p>
    <w:p>
      <w:pPr>
        <w:spacing w:line="520" w:lineRule="exact"/>
        <w:rPr>
          <w:rFonts w:ascii="黑体" w:hAnsi="黑体" w:eastAsia="黑体"/>
          <w:b/>
          <w:color w:val="000000" w:themeColor="text1"/>
          <w:sz w:val="28"/>
          <w:szCs w:val="28"/>
          <w14:textFill>
            <w14:solidFill>
              <w14:schemeClr w14:val="tx1"/>
            </w14:solidFill>
          </w14:textFill>
        </w:rPr>
      </w:pPr>
      <w:r>
        <w:rPr>
          <w:rFonts w:hint="eastAsia" w:ascii="Times New Roman" w:hAnsi="Times New Roman" w:eastAsia="黑体"/>
          <w:b/>
          <w:color w:val="000000" w:themeColor="text1"/>
          <w:sz w:val="28"/>
          <w:szCs w:val="28"/>
          <w:lang w:val="en-US" w:eastAsia="zh-CN"/>
          <w14:textFill>
            <w14:solidFill>
              <w14:schemeClr w14:val="tx1"/>
            </w14:solidFill>
          </w14:textFill>
        </w:rPr>
        <w:t>4</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2</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2</w:t>
      </w:r>
      <w:r>
        <w:rPr>
          <w:rFonts w:hint="eastAsia" w:ascii="黑体" w:hAnsi="黑体" w:eastAsia="黑体"/>
          <w:b/>
          <w:color w:val="000000" w:themeColor="text1"/>
          <w:sz w:val="28"/>
          <w:szCs w:val="28"/>
          <w14:textFill>
            <w14:solidFill>
              <w14:schemeClr w14:val="tx1"/>
            </w14:solidFill>
          </w14:textFill>
        </w:rPr>
        <w:t>生产工艺流程及产排污节点图</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85410" cy="4105910"/>
            <wp:effectExtent l="0" t="0" r="0" b="8890"/>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93062" cy="4111981"/>
                    </a:xfrm>
                    <a:prstGeom prst="rect">
                      <a:avLst/>
                    </a:prstGeom>
                    <a:noFill/>
                    <a:ln>
                      <a:noFill/>
                    </a:ln>
                  </pic:spPr>
                </pic:pic>
              </a:graphicData>
            </a:graphic>
          </wp:inline>
        </w:drawing>
      </w:r>
    </w:p>
    <w:p>
      <w:pPr>
        <w:spacing w:before="240" w:beforeLines="100" w:line="480" w:lineRule="auto"/>
        <w:jc w:val="center"/>
        <w:rPr>
          <w:rFonts w:ascii="Times New Roman" w:hAnsi="Times New Roman"/>
          <w:b/>
          <w:color w:val="000000" w:themeColor="text1"/>
          <w:kern w:val="0"/>
          <w:sz w:val="24"/>
          <w:szCs w:val="24"/>
          <w14:textFill>
            <w14:solidFill>
              <w14:schemeClr w14:val="tx1"/>
            </w14:solidFill>
          </w14:textFill>
        </w:rPr>
      </w:pPr>
      <w:r>
        <w:rPr>
          <w:rFonts w:ascii="Times New Roman" w:hAnsi="Times New Roman"/>
          <w:b/>
          <w:color w:val="000000" w:themeColor="text1"/>
          <w:kern w:val="0"/>
          <w:sz w:val="24"/>
          <w:szCs w:val="24"/>
          <w14:textFill>
            <w14:solidFill>
              <w14:schemeClr w14:val="tx1"/>
            </w14:solidFill>
          </w14:textFill>
        </w:rPr>
        <w:t>图</w:t>
      </w:r>
      <w:r>
        <w:rPr>
          <w:rFonts w:hint="eastAsia" w:ascii="Times New Roman" w:hAnsi="Times New Roman"/>
          <w:b/>
          <w:color w:val="000000" w:themeColor="text1"/>
          <w:kern w:val="0"/>
          <w:sz w:val="24"/>
          <w:szCs w:val="24"/>
          <w:lang w:val="en-US" w:eastAsia="zh-CN"/>
          <w14:textFill>
            <w14:solidFill>
              <w14:schemeClr w14:val="tx1"/>
            </w14:solidFill>
          </w14:textFill>
        </w:rPr>
        <w:t>4</w:t>
      </w:r>
      <w:r>
        <w:rPr>
          <w:rFonts w:hint="eastAsia" w:ascii="Times New Roman" w:hAnsi="Times New Roman"/>
          <w:b/>
          <w:color w:val="000000" w:themeColor="text1"/>
          <w:kern w:val="0"/>
          <w:sz w:val="24"/>
          <w:szCs w:val="24"/>
          <w14:textFill>
            <w14:solidFill>
              <w14:schemeClr w14:val="tx1"/>
            </w14:solidFill>
          </w14:textFill>
        </w:rPr>
        <w:t>.2</w:t>
      </w:r>
      <w:r>
        <w:rPr>
          <w:rFonts w:ascii="Times New Roman" w:hAnsi="Times New Roman"/>
          <w:b/>
          <w:color w:val="000000" w:themeColor="text1"/>
          <w:kern w:val="0"/>
          <w:sz w:val="24"/>
          <w:szCs w:val="24"/>
          <w14:textFill>
            <w14:solidFill>
              <w14:schemeClr w14:val="tx1"/>
            </w14:solidFill>
          </w14:textFill>
        </w:rPr>
        <w:t>-1</w:t>
      </w:r>
      <w:r>
        <w:rPr>
          <w:rFonts w:hint="eastAsia" w:ascii="Times New Roman" w:hAnsi="Times New Roman"/>
          <w:b/>
          <w:color w:val="000000" w:themeColor="text1"/>
          <w:kern w:val="0"/>
          <w:sz w:val="24"/>
          <w:szCs w:val="24"/>
          <w14:textFill>
            <w14:solidFill>
              <w14:schemeClr w14:val="tx1"/>
            </w14:solidFill>
          </w14:textFill>
        </w:rPr>
        <w:t>本项目</w:t>
      </w:r>
      <w:r>
        <w:rPr>
          <w:rFonts w:ascii="Times New Roman" w:hAnsi="Times New Roman"/>
          <w:b/>
          <w:color w:val="000000" w:themeColor="text1"/>
          <w:kern w:val="0"/>
          <w:sz w:val="24"/>
          <w:szCs w:val="24"/>
          <w14:textFill>
            <w14:solidFill>
              <w14:schemeClr w14:val="tx1"/>
            </w14:solidFill>
          </w14:textFill>
        </w:rPr>
        <w:t>生产工艺流程及产</w:t>
      </w:r>
      <w:r>
        <w:rPr>
          <w:rFonts w:hint="eastAsia" w:ascii="Times New Roman" w:hAnsi="Times New Roman"/>
          <w:b/>
          <w:color w:val="000000" w:themeColor="text1"/>
          <w:kern w:val="0"/>
          <w:sz w:val="24"/>
          <w:szCs w:val="24"/>
          <w14:textFill>
            <w14:solidFill>
              <w14:schemeClr w14:val="tx1"/>
            </w14:solidFill>
          </w14:textFill>
        </w:rPr>
        <w:t>排</w:t>
      </w:r>
      <w:r>
        <w:rPr>
          <w:rFonts w:ascii="Times New Roman" w:hAnsi="Times New Roman"/>
          <w:b/>
          <w:color w:val="000000" w:themeColor="text1"/>
          <w:kern w:val="0"/>
          <w:sz w:val="24"/>
          <w:szCs w:val="24"/>
          <w14:textFill>
            <w14:solidFill>
              <w14:schemeClr w14:val="tx1"/>
            </w14:solidFill>
          </w14:textFill>
        </w:rPr>
        <w:t>污节点图</w:t>
      </w:r>
    </w:p>
    <w:p>
      <w:pPr>
        <w:spacing w:line="520" w:lineRule="exact"/>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黑体"/>
          <w:b/>
          <w:color w:val="000000" w:themeColor="text1"/>
          <w:sz w:val="28"/>
          <w:szCs w:val="28"/>
          <w:lang w:val="en-US" w:eastAsia="zh-CN"/>
          <w14:textFill>
            <w14:solidFill>
              <w14:schemeClr w14:val="tx1"/>
            </w14:solidFill>
          </w14:textFill>
        </w:rPr>
        <w:t>4</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2</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3</w:t>
      </w:r>
      <w:r>
        <w:rPr>
          <w:rFonts w:hint="eastAsia" w:ascii="黑体" w:hAnsi="黑体" w:eastAsia="黑体"/>
          <w:b/>
          <w:color w:val="000000" w:themeColor="text1"/>
          <w:sz w:val="28"/>
          <w:szCs w:val="28"/>
          <w14:textFill>
            <w14:solidFill>
              <w14:schemeClr w14:val="tx1"/>
            </w14:solidFill>
          </w14:textFill>
        </w:rPr>
        <w:t>产排污情况分析</w:t>
      </w:r>
    </w:p>
    <w:p>
      <w:pPr>
        <w:autoSpaceDE w:val="0"/>
        <w:autoSpaceDN w:val="0"/>
        <w:adjustRightInd w:val="0"/>
        <w:spacing w:line="520" w:lineRule="exact"/>
        <w:ind w:firstLine="480" w:firstLineChars="200"/>
        <w:jc w:val="left"/>
        <w:rPr>
          <w:rFonts w:ascii="Times New Roman" w:hAnsi="宋体"/>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项目运营</w:t>
      </w:r>
      <w:r>
        <w:rPr>
          <w:rFonts w:ascii="Times New Roman" w:hAnsi="宋体"/>
          <w:color w:val="000000" w:themeColor="text1"/>
          <w:sz w:val="24"/>
          <w:szCs w:val="24"/>
          <w14:textFill>
            <w14:solidFill>
              <w14:schemeClr w14:val="tx1"/>
            </w14:solidFill>
          </w14:textFill>
        </w:rPr>
        <w:t>期</w:t>
      </w:r>
      <w:r>
        <w:rPr>
          <w:rFonts w:hint="eastAsia" w:ascii="Times New Roman" w:hAnsi="宋体"/>
          <w:color w:val="000000" w:themeColor="text1"/>
          <w:sz w:val="24"/>
          <w:szCs w:val="24"/>
          <w14:textFill>
            <w14:solidFill>
              <w14:schemeClr w14:val="tx1"/>
            </w14:solidFill>
          </w14:textFill>
        </w:rPr>
        <w:t>产排污情况分析</w:t>
      </w:r>
      <w:r>
        <w:rPr>
          <w:rFonts w:ascii="Times New Roman" w:hAnsi="宋体"/>
          <w:color w:val="000000" w:themeColor="text1"/>
          <w:sz w:val="24"/>
          <w:szCs w:val="24"/>
          <w14:textFill>
            <w14:solidFill>
              <w14:schemeClr w14:val="tx1"/>
            </w14:solidFill>
          </w14:textFill>
        </w:rPr>
        <w:t>见</w:t>
      </w:r>
      <w:r>
        <w:rPr>
          <w:rFonts w:ascii="Times New Roman" w:hAnsi="Times New Roman"/>
          <w:color w:val="000000" w:themeColor="text1"/>
          <w:sz w:val="24"/>
          <w:szCs w:val="24"/>
          <w14:textFill>
            <w14:solidFill>
              <w14:schemeClr w14:val="tx1"/>
            </w14:solidFill>
          </w14:textFill>
        </w:rPr>
        <w:t>表</w:t>
      </w:r>
      <w:r>
        <w:rPr>
          <w:rFonts w:hint="eastAsia" w:ascii="Times New Roman" w:hAnsi="Times New Roman"/>
          <w:color w:val="000000" w:themeColor="text1"/>
          <w:sz w:val="24"/>
          <w:szCs w:val="24"/>
          <w:lang w:val="en-US" w:eastAsia="zh-CN"/>
          <w14:textFill>
            <w14:solidFill>
              <w14:schemeClr w14:val="tx1"/>
            </w14:solidFill>
          </w14:textFill>
        </w:rPr>
        <w:t>4</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中</w:t>
      </w:r>
      <w:r>
        <w:rPr>
          <w:rFonts w:hint="eastAsia" w:ascii="Times New Roman" w:hAnsi="Times New Roman"/>
          <w:color w:val="000000" w:themeColor="text1"/>
          <w:sz w:val="24"/>
          <w:szCs w:val="24"/>
          <w14:textFill>
            <w14:solidFill>
              <w14:schemeClr w14:val="tx1"/>
            </w14:solidFill>
          </w14:textFill>
        </w:rPr>
        <w:t>。</w:t>
      </w:r>
    </w:p>
    <w:p>
      <w:pPr>
        <w:pStyle w:val="186"/>
        <w:spacing w:line="520" w:lineRule="exact"/>
        <w:ind w:firstLine="0" w:firstLineChars="0"/>
        <w:jc w:val="center"/>
        <w:rPr>
          <w:rFonts w:ascii="Times New Roman"/>
          <w:b/>
          <w:color w:val="000000" w:themeColor="text1"/>
          <w14:textFill>
            <w14:solidFill>
              <w14:schemeClr w14:val="tx1"/>
            </w14:solidFill>
          </w14:textFill>
        </w:rPr>
      </w:pPr>
      <w:r>
        <w:rPr>
          <w:rFonts w:asci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4</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2</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 xml:space="preserve">1 </w:t>
      </w:r>
      <w:r>
        <w:rPr>
          <w:rFonts w:hint="eastAsia" w:ascii="Times New Roman"/>
          <w:b/>
          <w:color w:val="000000" w:themeColor="text1"/>
          <w14:textFill>
            <w14:solidFill>
              <w14:schemeClr w14:val="tx1"/>
            </w14:solidFill>
          </w14:textFill>
        </w:rPr>
        <w:t>本项目产排污分析情况</w:t>
      </w:r>
      <w:r>
        <w:rPr>
          <w:rFonts w:ascii="Times New Roman"/>
          <w:b/>
          <w:color w:val="000000" w:themeColor="text1"/>
          <w14:textFill>
            <w14:solidFill>
              <w14:schemeClr w14:val="tx1"/>
            </w14:solidFill>
          </w14:textFill>
        </w:rPr>
        <w:t>一览表</w:t>
      </w:r>
    </w:p>
    <w:tbl>
      <w:tblPr>
        <w:tblStyle w:val="87"/>
        <w:tblW w:w="9097" w:type="dxa"/>
        <w:tblInd w:w="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67"/>
        <w:gridCol w:w="684"/>
        <w:gridCol w:w="2435"/>
        <w:gridCol w:w="1417"/>
        <w:gridCol w:w="3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序号</w:t>
            </w:r>
          </w:p>
        </w:tc>
        <w:tc>
          <w:tcPr>
            <w:tcW w:w="68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项目</w:t>
            </w:r>
          </w:p>
        </w:tc>
        <w:tc>
          <w:tcPr>
            <w:tcW w:w="2435"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污染源</w:t>
            </w:r>
          </w:p>
        </w:tc>
        <w:tc>
          <w:tcPr>
            <w:tcW w:w="1417"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主要污染物</w:t>
            </w:r>
          </w:p>
        </w:tc>
        <w:tc>
          <w:tcPr>
            <w:tcW w:w="399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治理及排放方式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567" w:type="dxa"/>
            <w:vMerge w:val="restart"/>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1</w:t>
            </w:r>
          </w:p>
        </w:tc>
        <w:tc>
          <w:tcPr>
            <w:tcW w:w="684" w:type="dxa"/>
            <w:vMerge w:val="restart"/>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废气</w:t>
            </w:r>
          </w:p>
        </w:tc>
        <w:tc>
          <w:tcPr>
            <w:tcW w:w="2435" w:type="dxa"/>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溶盐、调浆投料粉尘</w:t>
            </w:r>
          </w:p>
        </w:tc>
        <w:tc>
          <w:tcPr>
            <w:tcW w:w="1417" w:type="dxa"/>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颗粒物</w:t>
            </w:r>
          </w:p>
        </w:tc>
        <w:tc>
          <w:tcPr>
            <w:tcW w:w="3994" w:type="dxa"/>
            <w:vAlign w:val="center"/>
          </w:tcPr>
          <w:p>
            <w:pPr>
              <w:pStyle w:val="174"/>
              <w:rPr>
                <w:rFonts w:ascii="Times New Roman" w:hAnsiTheme="minorEastAsia" w:eastAsiaTheme="minorEastAsia"/>
                <w:color w:val="000000" w:themeColor="text1"/>
                <w:sz w:val="21"/>
                <w:szCs w:val="21"/>
                <w14:textFill>
                  <w14:solidFill>
                    <w14:schemeClr w14:val="tx1"/>
                  </w14:solidFill>
                </w14:textFill>
              </w:rPr>
            </w:pPr>
            <w:r>
              <w:rPr>
                <w:rFonts w:hint="eastAsia" w:ascii="Times New Roman" w:hAnsiTheme="minorEastAsia" w:eastAsiaTheme="minorEastAsia"/>
                <w:color w:val="000000" w:themeColor="text1"/>
                <w:sz w:val="21"/>
                <w:szCs w:val="21"/>
                <w14:textFill>
                  <w14:solidFill>
                    <w14:schemeClr w14:val="tx1"/>
                  </w14:solidFill>
                </w14:textFill>
              </w:rPr>
              <w:t>经1套中性尾气吸收系统（2级水洗+1级碱洗）处理后经15m高排气筒DA002排放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2435"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废酸储槽挥发废气</w:t>
            </w:r>
          </w:p>
        </w:tc>
        <w:tc>
          <w:tcPr>
            <w:tcW w:w="1417"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HF、S</w:t>
            </w:r>
            <w:r>
              <w:rPr>
                <w:rFonts w:hint="eastAsia" w:ascii="Times New Roman" w:hAnsiTheme="minorEastAsia" w:eastAsiaTheme="minorEastAsia"/>
                <w:bCs/>
                <w:color w:val="000000" w:themeColor="text1"/>
                <w:szCs w:val="21"/>
                <w:vertAlign w:val="subscript"/>
                <w14:textFill>
                  <w14:solidFill>
                    <w14:schemeClr w14:val="tx1"/>
                  </w14:solidFill>
                </w14:textFill>
              </w:rPr>
              <w:t>i</w:t>
            </w:r>
            <w:r>
              <w:rPr>
                <w:rFonts w:hint="eastAsia" w:ascii="Times New Roman" w:hAnsiTheme="minorEastAsia" w:eastAsiaTheme="minorEastAsia"/>
                <w:bCs/>
                <w:color w:val="000000" w:themeColor="text1"/>
                <w:szCs w:val="21"/>
                <w14:textFill>
                  <w14:solidFill>
                    <w14:schemeClr w14:val="tx1"/>
                  </w14:solidFill>
                </w14:textFill>
              </w:rPr>
              <w:t>F</w:t>
            </w:r>
            <w:r>
              <w:rPr>
                <w:rFonts w:hint="eastAsia" w:ascii="Times New Roman" w:hAnsiTheme="minorEastAsia" w:eastAsiaTheme="minorEastAsia"/>
                <w:bCs/>
                <w:color w:val="000000" w:themeColor="text1"/>
                <w:szCs w:val="21"/>
                <w:vertAlign w:val="subscript"/>
                <w14:textFill>
                  <w14:solidFill>
                    <w14:schemeClr w14:val="tx1"/>
                  </w14:solidFill>
                </w14:textFill>
              </w:rPr>
              <w:t>4</w:t>
            </w:r>
          </w:p>
        </w:tc>
        <w:tc>
          <w:tcPr>
            <w:tcW w:w="3994" w:type="dxa"/>
            <w:vMerge w:val="restart"/>
            <w:vAlign w:val="center"/>
          </w:tcPr>
          <w:p>
            <w:pPr>
              <w:pStyle w:val="174"/>
              <w:rPr>
                <w:rFonts w:ascii="Times New Roman" w:hAnsiTheme="minorEastAsia" w:eastAsiaTheme="minorEastAsia"/>
                <w:color w:val="000000" w:themeColor="text1"/>
                <w:sz w:val="21"/>
                <w:szCs w:val="21"/>
                <w14:textFill>
                  <w14:solidFill>
                    <w14:schemeClr w14:val="tx1"/>
                  </w14:solidFill>
                </w14:textFill>
              </w:rPr>
            </w:pPr>
            <w:r>
              <w:rPr>
                <w:rFonts w:hint="eastAsia" w:ascii="Times New Roman" w:hAnsiTheme="minorEastAsia" w:eastAsiaTheme="minorEastAsia"/>
                <w:color w:val="000000" w:themeColor="text1"/>
                <w:sz w:val="21"/>
                <w:szCs w:val="21"/>
                <w14:textFill>
                  <w14:solidFill>
                    <w14:schemeClr w14:val="tx1"/>
                  </w14:solidFill>
                </w14:textFill>
              </w:rPr>
              <w:t>经1套酸性尾气吸收系统（2级水洗+1级碱洗）处理后经15m高排气筒DA001排放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2435"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溶硅槽废气</w:t>
            </w:r>
          </w:p>
        </w:tc>
        <w:tc>
          <w:tcPr>
            <w:tcW w:w="1417"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HF、S</w:t>
            </w:r>
            <w:r>
              <w:rPr>
                <w:rFonts w:hint="eastAsia" w:ascii="Times New Roman" w:hAnsiTheme="minorEastAsia" w:eastAsiaTheme="minorEastAsia"/>
                <w:bCs/>
                <w:color w:val="000000" w:themeColor="text1"/>
                <w:szCs w:val="21"/>
                <w:vertAlign w:val="subscript"/>
                <w14:textFill>
                  <w14:solidFill>
                    <w14:schemeClr w14:val="tx1"/>
                  </w14:solidFill>
                </w14:textFill>
              </w:rPr>
              <w:t>i</w:t>
            </w:r>
            <w:r>
              <w:rPr>
                <w:rFonts w:hint="eastAsia" w:ascii="Times New Roman" w:hAnsiTheme="minorEastAsia" w:eastAsiaTheme="minorEastAsia"/>
                <w:bCs/>
                <w:color w:val="000000" w:themeColor="text1"/>
                <w:szCs w:val="21"/>
                <w14:textFill>
                  <w14:solidFill>
                    <w14:schemeClr w14:val="tx1"/>
                  </w14:solidFill>
                </w14:textFill>
              </w:rPr>
              <w:t>F</w:t>
            </w:r>
            <w:r>
              <w:rPr>
                <w:rFonts w:hint="eastAsia" w:ascii="Times New Roman" w:hAnsiTheme="minorEastAsia" w:eastAsiaTheme="minorEastAsia"/>
                <w:bCs/>
                <w:color w:val="000000" w:themeColor="text1"/>
                <w:szCs w:val="21"/>
                <w:vertAlign w:val="subscript"/>
                <w14:textFill>
                  <w14:solidFill>
                    <w14:schemeClr w14:val="tx1"/>
                  </w14:solidFill>
                </w14:textFill>
              </w:rPr>
              <w:t>4</w:t>
            </w:r>
          </w:p>
        </w:tc>
        <w:tc>
          <w:tcPr>
            <w:tcW w:w="3994" w:type="dxa"/>
            <w:vMerge w:val="continue"/>
            <w:vAlign w:val="center"/>
          </w:tcPr>
          <w:p>
            <w:pPr>
              <w:adjustRightInd w:val="0"/>
              <w:snapToGrid w:val="0"/>
              <w:spacing w:line="300" w:lineRule="exact"/>
              <w:rPr>
                <w:rFonts w:ascii="Times New Roman" w:hAnsiTheme="minorEastAsia" w:eastAsiaTheme="minorEastAsia"/>
                <w:bCs/>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2435"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合成槽</w:t>
            </w:r>
          </w:p>
        </w:tc>
        <w:tc>
          <w:tcPr>
            <w:tcW w:w="1417" w:type="dxa"/>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HCl</w:t>
            </w:r>
          </w:p>
        </w:tc>
        <w:tc>
          <w:tcPr>
            <w:tcW w:w="3994" w:type="dxa"/>
            <w:vMerge w:val="continue"/>
            <w:vAlign w:val="center"/>
          </w:tcPr>
          <w:p>
            <w:pPr>
              <w:adjustRightInd w:val="0"/>
              <w:snapToGrid w:val="0"/>
              <w:spacing w:line="300" w:lineRule="exact"/>
              <w:rPr>
                <w:rFonts w:ascii="Times New Roman" w:hAnsiTheme="minorEastAsia" w:eastAsiaTheme="minorEastAsia"/>
                <w:bCs/>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2435"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烘干废气</w:t>
            </w:r>
          </w:p>
        </w:tc>
        <w:tc>
          <w:tcPr>
            <w:tcW w:w="1417" w:type="dxa"/>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颗粒物</w:t>
            </w:r>
          </w:p>
        </w:tc>
        <w:tc>
          <w:tcPr>
            <w:tcW w:w="3994" w:type="dxa"/>
            <w:vAlign w:val="center"/>
          </w:tcPr>
          <w:p>
            <w:pPr>
              <w:adjustRightInd w:val="0"/>
              <w:snapToGrid w:val="0"/>
              <w:spacing w:line="300" w:lineRule="exact"/>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经布袋除尘器处理后经15m高排气筒DA003排放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2</w:t>
            </w:r>
          </w:p>
        </w:tc>
        <w:tc>
          <w:tcPr>
            <w:tcW w:w="684" w:type="dxa"/>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heme="minorEastAsia" w:eastAsiaTheme="minorEastAsia"/>
                <w:bCs/>
                <w:color w:val="000000" w:themeColor="text1"/>
                <w:szCs w:val="21"/>
                <w14:textFill>
                  <w14:solidFill>
                    <w14:schemeClr w14:val="tx1"/>
                  </w14:solidFill>
                </w14:textFill>
              </w:rPr>
              <w:t>噪声</w:t>
            </w:r>
          </w:p>
        </w:tc>
        <w:tc>
          <w:tcPr>
            <w:tcW w:w="2435" w:type="dxa"/>
            <w:vAlign w:val="center"/>
          </w:tcPr>
          <w:p>
            <w:pPr>
              <w:adjustRightInd w:val="0"/>
              <w:snapToGrid w:val="0"/>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硅胶过滤机、离心机、包装机、板框压滤机等</w:t>
            </w:r>
          </w:p>
        </w:tc>
        <w:tc>
          <w:tcPr>
            <w:tcW w:w="1417"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ascii="Times New Roman" w:hAnsiTheme="minorEastAsia" w:eastAsiaTheme="minorEastAsia"/>
                <w:bCs/>
                <w:color w:val="000000" w:themeColor="text1"/>
                <w:szCs w:val="21"/>
                <w14:textFill>
                  <w14:solidFill>
                    <w14:schemeClr w14:val="tx1"/>
                  </w14:solidFill>
                </w14:textFill>
              </w:rPr>
              <w:t>噪声</w:t>
            </w:r>
          </w:p>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heme="minorEastAsia" w:eastAsiaTheme="minorEastAsia"/>
                <w:bCs/>
                <w:color w:val="000000" w:themeColor="text1"/>
                <w:szCs w:val="21"/>
                <w14:textFill>
                  <w14:solidFill>
                    <w14:schemeClr w14:val="tx1"/>
                  </w14:solidFill>
                </w14:textFill>
              </w:rPr>
              <w:t>dB</w:t>
            </w:r>
            <w:r>
              <w:rPr>
                <w:rFonts w:hint="eastAsia" w:ascii="Times New Roman" w:hAnsiTheme="minorEastAsia" w:eastAsiaTheme="minorEastAsia"/>
                <w:bCs/>
                <w:color w:val="000000" w:themeColor="text1"/>
                <w:szCs w:val="21"/>
                <w14:textFill>
                  <w14:solidFill>
                    <w14:schemeClr w14:val="tx1"/>
                  </w14:solidFill>
                </w14:textFill>
              </w:rPr>
              <w:t>（A）</w:t>
            </w:r>
          </w:p>
        </w:tc>
        <w:tc>
          <w:tcPr>
            <w:tcW w:w="3994" w:type="dxa"/>
            <w:vAlign w:val="center"/>
          </w:tcPr>
          <w:p>
            <w:pPr>
              <w:adjustRightInd w:val="0"/>
              <w:snapToGrid w:val="0"/>
              <w:spacing w:line="300" w:lineRule="exact"/>
              <w:rPr>
                <w:rFonts w:ascii="Times New Roman" w:hAnsi="Times New Roman" w:eastAsiaTheme="minorEastAsia"/>
                <w:bCs/>
                <w:color w:val="000000" w:themeColor="text1"/>
                <w:szCs w:val="21"/>
                <w14:textFill>
                  <w14:solidFill>
                    <w14:schemeClr w14:val="tx1"/>
                  </w14:solidFill>
                </w14:textFill>
              </w:rPr>
            </w:pPr>
            <w:r>
              <w:rPr>
                <w:rFonts w:ascii="Times New Roman" w:hAnsiTheme="minorEastAsia" w:eastAsiaTheme="minorEastAsia"/>
                <w:color w:val="000000" w:themeColor="text1"/>
                <w:szCs w:val="21"/>
                <w14:textFill>
                  <w14:solidFill>
                    <w14:schemeClr w14:val="tx1"/>
                  </w14:solidFill>
                </w14:textFill>
              </w:rPr>
              <w:t>选用低噪声设备；经厂房隔声、减震、消声处理</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heme="minorEastAsia" w:eastAsiaTheme="minorEastAsia"/>
                <w:color w:val="000000" w:themeColor="text1"/>
                <w:szCs w:val="21"/>
                <w14:textFill>
                  <w14:solidFill>
                    <w14:schemeClr w14:val="tx1"/>
                  </w14:solidFill>
                </w14:textFill>
              </w:rPr>
              <w:t>合理布置声源位置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restart"/>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3</w:t>
            </w:r>
          </w:p>
        </w:tc>
        <w:tc>
          <w:tcPr>
            <w:tcW w:w="684" w:type="dxa"/>
            <w:vMerge w:val="restart"/>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废水</w:t>
            </w:r>
          </w:p>
        </w:tc>
        <w:tc>
          <w:tcPr>
            <w:tcW w:w="2435" w:type="dxa"/>
            <w:vAlign w:val="center"/>
          </w:tcPr>
          <w:p>
            <w:pPr>
              <w:adjustRightInd w:val="0"/>
              <w:snapToGrid w:val="0"/>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尾气洗涤废液</w:t>
            </w:r>
          </w:p>
        </w:tc>
        <w:tc>
          <w:tcPr>
            <w:tcW w:w="1417"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bCs/>
                <w:color w:val="000000" w:themeColor="text1"/>
                <w:szCs w:val="21"/>
                <w14:textFill>
                  <w14:solidFill>
                    <w14:schemeClr w14:val="tx1"/>
                  </w14:solidFill>
                </w14:textFill>
              </w:rPr>
              <w:t>pH、氟化物、SS</w:t>
            </w:r>
          </w:p>
        </w:tc>
        <w:tc>
          <w:tcPr>
            <w:tcW w:w="3994"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泵送至中和槽回用于生产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p>
        </w:tc>
        <w:tc>
          <w:tcPr>
            <w:tcW w:w="2435" w:type="dxa"/>
            <w:vAlign w:val="center"/>
          </w:tcPr>
          <w:p>
            <w:pPr>
              <w:adjustRightInd w:val="0"/>
              <w:snapToGrid w:val="0"/>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 xml:space="preserve">      离心洗涤废水</w:t>
            </w:r>
          </w:p>
        </w:tc>
        <w:tc>
          <w:tcPr>
            <w:tcW w:w="1417" w:type="dxa"/>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pH、氟化物、SS、COD、NH</w:t>
            </w:r>
            <w:r>
              <w:rPr>
                <w:rFonts w:hint="eastAsia" w:ascii="Times New Roman" w:hAnsiTheme="minorEastAsia" w:eastAsiaTheme="minorEastAsia"/>
                <w:color w:val="000000" w:themeColor="text1"/>
                <w:szCs w:val="21"/>
                <w:vertAlign w:val="subscript"/>
                <w14:textFill>
                  <w14:solidFill>
                    <w14:schemeClr w14:val="tx1"/>
                  </w14:solidFill>
                </w14:textFill>
              </w:rPr>
              <w:t>3</w:t>
            </w:r>
            <w:r>
              <w:rPr>
                <w:rFonts w:hint="eastAsia" w:ascii="Times New Roman" w:hAnsiTheme="minorEastAsia" w:eastAsiaTheme="minorEastAsia"/>
                <w:color w:val="000000" w:themeColor="text1"/>
                <w:szCs w:val="21"/>
                <w14:textFill>
                  <w14:solidFill>
                    <w14:schemeClr w14:val="tx1"/>
                  </w14:solidFill>
                </w14:textFill>
              </w:rPr>
              <w:t>-N</w:t>
            </w:r>
          </w:p>
        </w:tc>
        <w:tc>
          <w:tcPr>
            <w:tcW w:w="3994"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经母液槽最终进入中和槽回用于生产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p>
        </w:tc>
        <w:tc>
          <w:tcPr>
            <w:tcW w:w="2435" w:type="dxa"/>
            <w:vAlign w:val="center"/>
          </w:tcPr>
          <w:p>
            <w:pPr>
              <w:adjustRightInd w:val="0"/>
              <w:snapToGrid w:val="0"/>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污蒸汽冷凝液</w:t>
            </w:r>
          </w:p>
        </w:tc>
        <w:tc>
          <w:tcPr>
            <w:tcW w:w="1417"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SS</w:t>
            </w:r>
          </w:p>
        </w:tc>
        <w:tc>
          <w:tcPr>
            <w:tcW w:w="3994"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部分回用于溶盐、离心洗涤、循环水补水，剩余部分作为清净下水排入厂区雨水管网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p>
        </w:tc>
        <w:tc>
          <w:tcPr>
            <w:tcW w:w="2435" w:type="dxa"/>
            <w:vAlign w:val="center"/>
          </w:tcPr>
          <w:p>
            <w:pPr>
              <w:adjustRightInd w:val="0"/>
              <w:snapToGrid w:val="0"/>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蒸汽冷凝液</w:t>
            </w:r>
          </w:p>
        </w:tc>
        <w:tc>
          <w:tcPr>
            <w:tcW w:w="1417"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SS</w:t>
            </w:r>
          </w:p>
        </w:tc>
        <w:tc>
          <w:tcPr>
            <w:tcW w:w="3994"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部分回用于厂区绿化，剩余部分作为清净下水排入厂区雨水管网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heme="minorEastAsia" w:eastAsiaTheme="minorEastAsia"/>
                <w:bCs/>
                <w:color w:val="000000" w:themeColor="text1"/>
                <w:szCs w:val="21"/>
                <w14:textFill>
                  <w14:solidFill>
                    <w14:schemeClr w14:val="tx1"/>
                  </w14:solidFill>
                </w14:textFill>
              </w:rPr>
            </w:pPr>
          </w:p>
        </w:tc>
        <w:tc>
          <w:tcPr>
            <w:tcW w:w="2435" w:type="dxa"/>
            <w:vAlign w:val="center"/>
          </w:tcPr>
          <w:p>
            <w:pPr>
              <w:adjustRightInd w:val="0"/>
              <w:snapToGrid w:val="0"/>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循环冷却废水</w:t>
            </w:r>
          </w:p>
        </w:tc>
        <w:tc>
          <w:tcPr>
            <w:tcW w:w="1417"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SS</w:t>
            </w:r>
          </w:p>
        </w:tc>
        <w:tc>
          <w:tcPr>
            <w:tcW w:w="3994" w:type="dxa"/>
            <w:vAlign w:val="center"/>
          </w:tcPr>
          <w:p>
            <w:pPr>
              <w:adjustRightInd w:val="0"/>
              <w:snapToGrid w:val="0"/>
              <w:spacing w:line="300" w:lineRule="exact"/>
              <w:jc w:val="center"/>
              <w:rPr>
                <w:rFonts w:ascii="Times New Roman" w:hAnsiTheme="minorEastAsia"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作为清净下水排入厂区雨水管网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restart"/>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4</w:t>
            </w:r>
          </w:p>
        </w:tc>
        <w:tc>
          <w:tcPr>
            <w:tcW w:w="684" w:type="dxa"/>
            <w:vMerge w:val="restart"/>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r>
              <w:rPr>
                <w:rFonts w:ascii="Times New Roman" w:hAnsiTheme="minorEastAsia" w:eastAsiaTheme="minorEastAsia"/>
                <w:bCs/>
                <w:color w:val="000000" w:themeColor="text1"/>
                <w:szCs w:val="21"/>
                <w14:textFill>
                  <w14:solidFill>
                    <w14:schemeClr w14:val="tx1"/>
                  </w14:solidFill>
                </w14:textFill>
              </w:rPr>
              <w:t>固废</w:t>
            </w:r>
          </w:p>
        </w:tc>
        <w:tc>
          <w:tcPr>
            <w:tcW w:w="2435"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布袋除尘器除尘灰</w:t>
            </w:r>
          </w:p>
        </w:tc>
        <w:tc>
          <w:tcPr>
            <w:tcW w:w="1417"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一般工业固体废物</w:t>
            </w:r>
          </w:p>
        </w:tc>
        <w:tc>
          <w:tcPr>
            <w:tcW w:w="399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作为产品外售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0" w:hRule="atLeast"/>
        </w:trPr>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2435"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板框压滤机废渣</w:t>
            </w:r>
          </w:p>
        </w:tc>
        <w:tc>
          <w:tcPr>
            <w:tcW w:w="1417"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一般工业固体废物</w:t>
            </w:r>
          </w:p>
        </w:tc>
        <w:tc>
          <w:tcPr>
            <w:tcW w:w="3994" w:type="dxa"/>
            <w:vAlign w:val="center"/>
          </w:tcPr>
          <w:p>
            <w:pPr>
              <w:adjustRightInd w:val="0"/>
              <w:snapToGrid w:val="0"/>
              <w:spacing w:line="300" w:lineRule="exact"/>
              <w:jc w:val="center"/>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heme="minorEastAsia" w:eastAsiaTheme="minorEastAsia"/>
                <w:color w:val="000000" w:themeColor="text1"/>
                <w:szCs w:val="21"/>
                <w14:textFill>
                  <w14:solidFill>
                    <w14:schemeClr w14:val="tx1"/>
                  </w14:solidFill>
                </w14:textFill>
              </w:rPr>
              <w:t>外售</w:t>
            </w:r>
            <w:r>
              <w:rPr>
                <w:rFonts w:hint="eastAsia" w:ascii="Times New Roman" w:hAnsiTheme="minorEastAsia" w:eastAsiaTheme="minorEastAsia"/>
                <w:color w:val="000000" w:themeColor="text1"/>
                <w:szCs w:val="21"/>
                <w:lang w:eastAsia="zh-CN"/>
                <w14:textFill>
                  <w14:solidFill>
                    <w14:schemeClr w14:val="tx1"/>
                  </w14:solidFill>
                </w14:textFill>
              </w:rPr>
              <w:t>砖厂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2435"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废包装材料</w:t>
            </w:r>
          </w:p>
        </w:tc>
        <w:tc>
          <w:tcPr>
            <w:tcW w:w="1417"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一般工业固体废物</w:t>
            </w:r>
          </w:p>
        </w:tc>
        <w:tc>
          <w:tcPr>
            <w:tcW w:w="399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物资回收部门回收处理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67"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684" w:type="dxa"/>
            <w:vMerge w:val="continue"/>
            <w:vAlign w:val="center"/>
          </w:tcPr>
          <w:p>
            <w:pPr>
              <w:adjustRightInd w:val="0"/>
              <w:snapToGrid w:val="0"/>
              <w:spacing w:line="300" w:lineRule="exact"/>
              <w:jc w:val="center"/>
              <w:rPr>
                <w:rFonts w:ascii="Times New Roman" w:hAnsi="Times New Roman" w:eastAsiaTheme="minorEastAsia"/>
                <w:bCs/>
                <w:color w:val="000000" w:themeColor="text1"/>
                <w:szCs w:val="21"/>
                <w14:textFill>
                  <w14:solidFill>
                    <w14:schemeClr w14:val="tx1"/>
                  </w14:solidFill>
                </w14:textFill>
              </w:rPr>
            </w:pPr>
          </w:p>
        </w:tc>
        <w:tc>
          <w:tcPr>
            <w:tcW w:w="2435"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废机油</w:t>
            </w:r>
          </w:p>
        </w:tc>
        <w:tc>
          <w:tcPr>
            <w:tcW w:w="1417"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危险废物</w:t>
            </w:r>
          </w:p>
        </w:tc>
        <w:tc>
          <w:tcPr>
            <w:tcW w:w="3994" w:type="dxa"/>
            <w:vAlign w:val="center"/>
          </w:tcPr>
          <w:p>
            <w:pPr>
              <w:adjustRightInd w:val="0"/>
              <w:snapToGrid w:val="0"/>
              <w:spacing w:line="300" w:lineRule="exact"/>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集中收集暂存于危废暂存间，定期交由有资质单位清运处置</w:t>
            </w:r>
          </w:p>
        </w:tc>
      </w:tr>
    </w:tbl>
    <w:p>
      <w:pPr>
        <w:spacing w:line="520" w:lineRule="exact"/>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黑体"/>
          <w:b/>
          <w:color w:val="000000" w:themeColor="text1"/>
          <w:sz w:val="28"/>
          <w:szCs w:val="28"/>
          <w:lang w:val="en-US" w:eastAsia="zh-CN"/>
          <w14:textFill>
            <w14:solidFill>
              <w14:schemeClr w14:val="tx1"/>
            </w14:solidFill>
          </w14:textFill>
        </w:rPr>
        <w:t>4</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2</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4</w:t>
      </w:r>
      <w:r>
        <w:rPr>
          <w:rFonts w:hint="eastAsia" w:ascii="黑体" w:hAnsi="黑体" w:eastAsia="黑体"/>
          <w:b/>
          <w:color w:val="000000" w:themeColor="text1"/>
          <w:sz w:val="28"/>
          <w:szCs w:val="28"/>
          <w14:textFill>
            <w14:solidFill>
              <w14:schemeClr w14:val="tx1"/>
            </w14:solidFill>
          </w14:textFill>
        </w:rPr>
        <w:t>平衡分析</w:t>
      </w:r>
    </w:p>
    <w:p>
      <w:pPr>
        <w:spacing w:line="520" w:lineRule="exact"/>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黑体"/>
          <w:b/>
          <w:color w:val="000000" w:themeColor="text1"/>
          <w:sz w:val="24"/>
          <w:szCs w:val="24"/>
          <w:lang w:val="en-US" w:eastAsia="zh-CN"/>
          <w14:textFill>
            <w14:solidFill>
              <w14:schemeClr w14:val="tx1"/>
            </w14:solidFill>
          </w14:textFill>
        </w:rPr>
        <w:t>4</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4.1物料</w:t>
      </w:r>
      <w:r>
        <w:rPr>
          <w:rFonts w:hint="eastAsia" w:ascii="黑体" w:hAnsi="黑体" w:eastAsia="黑体"/>
          <w:b/>
          <w:color w:val="000000" w:themeColor="text1"/>
          <w:sz w:val="24"/>
          <w:szCs w:val="24"/>
          <w14:textFill>
            <w14:solidFill>
              <w14:schemeClr w14:val="tx1"/>
            </w14:solidFill>
          </w14:textFill>
        </w:rPr>
        <w:t>平衡分析</w:t>
      </w:r>
    </w:p>
    <w:p>
      <w:pPr>
        <w:pStyle w:val="152"/>
        <w:spacing w:after="0" w:line="520" w:lineRule="exact"/>
        <w:ind w:firstLine="480" w:firstLineChars="200"/>
        <w:rPr>
          <w:rFonts w:ascii="Times New Roman"/>
          <w:bCs/>
          <w:color w:val="000000" w:themeColor="text1"/>
          <w14:textFill>
            <w14:solidFill>
              <w14:schemeClr w14:val="tx1"/>
            </w14:solidFill>
          </w14:textFill>
        </w:rPr>
      </w:pPr>
      <w:r>
        <w:rPr>
          <w:rFonts w:ascii="Times New Roman"/>
          <w:bCs/>
          <w:color w:val="000000" w:themeColor="text1"/>
          <w14:textFill>
            <w14:solidFill>
              <w14:schemeClr w14:val="tx1"/>
            </w14:solidFill>
          </w14:textFill>
        </w:rPr>
        <w:t>本</w:t>
      </w:r>
      <w:r>
        <w:rPr>
          <w:rFonts w:hint="eastAsia" w:ascii="Times New Roman"/>
          <w:bCs/>
          <w:color w:val="000000" w:themeColor="text1"/>
          <w14:textFill>
            <w14:solidFill>
              <w14:schemeClr w14:val="tx1"/>
            </w14:solidFill>
          </w14:textFill>
        </w:rPr>
        <w:t>项目全厂</w:t>
      </w:r>
      <w:r>
        <w:rPr>
          <w:rFonts w:ascii="Times New Roman"/>
          <w:bCs/>
          <w:color w:val="000000" w:themeColor="text1"/>
          <w14:textFill>
            <w14:solidFill>
              <w14:schemeClr w14:val="tx1"/>
            </w14:solidFill>
          </w14:textFill>
        </w:rPr>
        <w:t>物料平衡见下表：</w:t>
      </w:r>
    </w:p>
    <w:p>
      <w:pPr>
        <w:pStyle w:val="186"/>
        <w:spacing w:line="520" w:lineRule="exact"/>
        <w:ind w:firstLine="0" w:firstLineChars="0"/>
        <w:jc w:val="center"/>
        <w:rPr>
          <w:rFonts w:ascii="Times New Roman"/>
          <w:b/>
          <w:color w:val="000000" w:themeColor="text1"/>
          <w14:textFill>
            <w14:solidFill>
              <w14:schemeClr w14:val="tx1"/>
            </w14:solidFill>
          </w14:textFill>
        </w:rPr>
      </w:pPr>
      <w:r>
        <w:rPr>
          <w:rFonts w:asci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4</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2</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 xml:space="preserve">2 </w:t>
      </w:r>
      <w:r>
        <w:rPr>
          <w:rFonts w:hint="eastAsia" w:ascii="Times New Roman"/>
          <w:b/>
          <w:color w:val="000000" w:themeColor="text1"/>
          <w14:textFill>
            <w14:solidFill>
              <w14:schemeClr w14:val="tx1"/>
            </w14:solidFill>
          </w14:textFill>
        </w:rPr>
        <w:t>项目物料平衡表</w:t>
      </w:r>
    </w:p>
    <w:tbl>
      <w:tblPr>
        <w:tblStyle w:val="87"/>
        <w:tblW w:w="85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2052"/>
        <w:gridCol w:w="2141"/>
        <w:gridCol w:w="2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105" w:type="dxa"/>
            <w:gridSpan w:val="2"/>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投入</w:t>
            </w:r>
          </w:p>
        </w:tc>
        <w:tc>
          <w:tcPr>
            <w:tcW w:w="4454" w:type="dxa"/>
            <w:gridSpan w:val="2"/>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原料名称</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耗量（t/a）</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产物名称</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20%氟硅酸溶液</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39850</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氟硅酸钠</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14987.9016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废酸（15%氟硅酸+2%氢氟酸）</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20000</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30%氯化钙水溶液</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35586.92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新鲜水（全年两次开车使用）</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9.324</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压滤废渣</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9613.648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氯化钠</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10650</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酸性废气</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熟石灰</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12300</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污蒸汽冷凝液</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58665.6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硅胶</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750</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产品干燥脱出水分</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499.656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聚丙烯酰胺</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30</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粉尘</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除氟药剂</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46.5</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溶盐用水</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29583</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调浆用水</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6147</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05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合计</w:t>
            </w:r>
          </w:p>
        </w:tc>
        <w:tc>
          <w:tcPr>
            <w:tcW w:w="205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119365.824</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合计</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119365.824</w:t>
            </w:r>
          </w:p>
        </w:tc>
      </w:tr>
    </w:tbl>
    <w:p>
      <w:pPr>
        <w:spacing w:line="520" w:lineRule="exact"/>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黑体"/>
          <w:b/>
          <w:color w:val="000000" w:themeColor="text1"/>
          <w:sz w:val="24"/>
          <w:szCs w:val="24"/>
          <w:lang w:val="en-US" w:eastAsia="zh-CN"/>
          <w14:textFill>
            <w14:solidFill>
              <w14:schemeClr w14:val="tx1"/>
            </w14:solidFill>
          </w14:textFill>
        </w:rPr>
        <w:t>4</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4.2氟平衡</w:t>
      </w:r>
      <w:r>
        <w:rPr>
          <w:rFonts w:hint="eastAsia" w:ascii="黑体" w:hAnsi="黑体" w:eastAsia="黑体"/>
          <w:b/>
          <w:color w:val="000000" w:themeColor="text1"/>
          <w:sz w:val="24"/>
          <w:szCs w:val="24"/>
          <w14:textFill>
            <w14:solidFill>
              <w14:schemeClr w14:val="tx1"/>
            </w14:solidFill>
          </w14:textFill>
        </w:rPr>
        <w:t>分析</w:t>
      </w:r>
    </w:p>
    <w:p>
      <w:pPr>
        <w:pStyle w:val="186"/>
        <w:spacing w:line="520" w:lineRule="exact"/>
        <w:ind w:firstLine="0" w:firstLineChars="0"/>
        <w:jc w:val="center"/>
        <w:rPr>
          <w:rFonts w:ascii="Times New Roman"/>
          <w:b/>
          <w:color w:val="000000" w:themeColor="text1"/>
          <w14:textFill>
            <w14:solidFill>
              <w14:schemeClr w14:val="tx1"/>
            </w14:solidFill>
          </w14:textFill>
        </w:rPr>
      </w:pPr>
      <w:r>
        <w:rPr>
          <w:rFonts w:asci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4</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2</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14:textFill>
            <w14:solidFill>
              <w14:schemeClr w14:val="tx1"/>
            </w14:solidFill>
          </w14:textFill>
        </w:rPr>
        <w:t xml:space="preserve">3 </w:t>
      </w:r>
      <w:r>
        <w:rPr>
          <w:rFonts w:hint="eastAsia" w:ascii="Times New Roman"/>
          <w:b/>
          <w:color w:val="000000" w:themeColor="text1"/>
          <w14:textFill>
            <w14:solidFill>
              <w14:schemeClr w14:val="tx1"/>
            </w14:solidFill>
          </w14:textFill>
        </w:rPr>
        <w:t>项目氟平衡表</w:t>
      </w:r>
    </w:p>
    <w:tbl>
      <w:tblPr>
        <w:tblStyle w:val="87"/>
        <w:tblW w:w="85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2282"/>
        <w:gridCol w:w="2141"/>
        <w:gridCol w:w="2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105" w:type="dxa"/>
            <w:gridSpan w:val="2"/>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投入</w:t>
            </w:r>
          </w:p>
        </w:tc>
        <w:tc>
          <w:tcPr>
            <w:tcW w:w="4454" w:type="dxa"/>
            <w:gridSpan w:val="2"/>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2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原料名称</w:t>
            </w:r>
          </w:p>
        </w:tc>
        <w:tc>
          <w:tcPr>
            <w:tcW w:w="228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含氟量</w:t>
            </w:r>
            <w:r>
              <w:rPr>
                <w:rFonts w:ascii="Times New Roman" w:hAnsi="Times New Roman"/>
                <w:color w:val="000000" w:themeColor="text1"/>
                <w:szCs w:val="21"/>
                <w14:textFill>
                  <w14:solidFill>
                    <w14:schemeClr w14:val="tx1"/>
                  </w14:solidFill>
                </w14:textFill>
              </w:rPr>
              <w:t>（t/a）</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产物名称</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含氟量</w:t>
            </w:r>
            <w:r>
              <w:rPr>
                <w:rFonts w:ascii="Times New Roman" w:hAnsi="Times New Roman"/>
                <w:color w:val="000000" w:themeColor="text1"/>
                <w:szCs w:val="2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2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20%氟硅酸溶液</w:t>
            </w:r>
          </w:p>
        </w:tc>
        <w:tc>
          <w:tcPr>
            <w:tcW w:w="228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6309.58</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氟硅酸钠产品</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9004.79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82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废酸（15%氟硅酸+2%氢氟酸）</w:t>
            </w:r>
          </w:p>
        </w:tc>
        <w:tc>
          <w:tcPr>
            <w:tcW w:w="228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2755</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压滤废渣</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59.578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82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c>
          <w:tcPr>
            <w:tcW w:w="228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含氟废气</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2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c>
          <w:tcPr>
            <w:tcW w:w="228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钙液产品</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82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合计</w:t>
            </w:r>
          </w:p>
        </w:tc>
        <w:tc>
          <w:tcPr>
            <w:tcW w:w="2282"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9064.58</w:t>
            </w:r>
          </w:p>
        </w:tc>
        <w:tc>
          <w:tcPr>
            <w:tcW w:w="2141"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合计</w:t>
            </w:r>
          </w:p>
        </w:tc>
        <w:tc>
          <w:tcPr>
            <w:tcW w:w="2313" w:type="dxa"/>
            <w:tcBorders>
              <w:tl2br w:val="nil"/>
              <w:tr2bl w:val="nil"/>
            </w:tcBorders>
            <w:vAlign w:val="center"/>
          </w:tcPr>
          <w:p>
            <w:pPr>
              <w:snapToGrid w:val="0"/>
              <w:spacing w:line="3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9064.58</w:t>
            </w:r>
          </w:p>
        </w:tc>
      </w:tr>
    </w:tbl>
    <w:p>
      <w:pPr>
        <w:spacing w:line="520" w:lineRule="exact"/>
        <w:rPr>
          <w:rFonts w:ascii="Times New Roman"/>
          <w:color w:val="000000" w:themeColor="text1"/>
          <w:szCs w:val="24"/>
          <w14:textFill>
            <w14:solidFill>
              <w14:schemeClr w14:val="tx1"/>
            </w14:solidFill>
          </w14:textFill>
        </w:rPr>
      </w:pPr>
      <w:r>
        <w:rPr>
          <w:rFonts w:hint="eastAsia" w:ascii="Times New Roman" w:hAnsi="Times New Roman" w:eastAsia="黑体"/>
          <w:b/>
          <w:color w:val="000000" w:themeColor="text1"/>
          <w:sz w:val="24"/>
          <w:szCs w:val="24"/>
          <w:lang w:val="en-US" w:eastAsia="zh-CN"/>
          <w14:textFill>
            <w14:solidFill>
              <w14:schemeClr w14:val="tx1"/>
            </w14:solidFill>
          </w14:textFill>
        </w:rPr>
        <w:t>4</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4.3水</w:t>
      </w:r>
      <w:r>
        <w:rPr>
          <w:rFonts w:hint="eastAsia" w:ascii="黑体" w:hAnsi="黑体" w:eastAsia="黑体"/>
          <w:b/>
          <w:color w:val="000000" w:themeColor="text1"/>
          <w:sz w:val="24"/>
          <w:szCs w:val="24"/>
          <w14:textFill>
            <w14:solidFill>
              <w14:schemeClr w14:val="tx1"/>
            </w14:solidFill>
          </w14:textFill>
        </w:rPr>
        <w:t>平衡分析</w:t>
      </w:r>
    </w:p>
    <w:p>
      <w:pPr>
        <w:pStyle w:val="152"/>
        <w:spacing w:line="520" w:lineRule="exact"/>
        <w:ind w:firstLine="480" w:firstLineChars="200"/>
        <w:rPr>
          <w:rFonts w:ascii="Times New Roman" w:cs="Times New Roman"/>
          <w:color w:val="000000" w:themeColor="text1"/>
          <w:szCs w:val="24"/>
          <w14:textFill>
            <w14:solidFill>
              <w14:schemeClr w14:val="tx1"/>
            </w14:solidFill>
          </w14:textFill>
        </w:rPr>
      </w:pPr>
      <w:r>
        <w:rPr>
          <w:rFonts w:hint="eastAsia" w:ascii="Times New Roman" w:cs="Times New Roman"/>
          <w:color w:val="000000" w:themeColor="text1"/>
          <w:szCs w:val="24"/>
          <w14:textFill>
            <w14:solidFill>
              <w14:schemeClr w14:val="tx1"/>
            </w14:solidFill>
          </w14:textFill>
        </w:rPr>
        <w:t>本项目用水主要包括生产用水及生活用水。</w:t>
      </w:r>
    </w:p>
    <w:p>
      <w:pPr>
        <w:pStyle w:val="152"/>
        <w:spacing w:line="520" w:lineRule="exact"/>
        <w:ind w:firstLine="480" w:firstLineChars="200"/>
        <w:rPr>
          <w:rFonts w:ascii="Times New Roman" w:cs="Times New Roman"/>
          <w:b w:val="0"/>
          <w:bCs w:val="0"/>
          <w:color w:val="000000" w:themeColor="text1"/>
          <w:szCs w:val="24"/>
          <w14:textFill>
            <w14:solidFill>
              <w14:schemeClr w14:val="tx1"/>
            </w14:solidFill>
          </w14:textFill>
        </w:rPr>
      </w:pPr>
      <w:r>
        <w:rPr>
          <w:rFonts w:hint="eastAsia" w:ascii="Times New Roman" w:cs="Times New Roman"/>
          <w:b w:val="0"/>
          <w:bCs w:val="0"/>
          <w:color w:val="000000" w:themeColor="text1"/>
          <w:szCs w:val="24"/>
          <w14:textFill>
            <w14:solidFill>
              <w14:schemeClr w14:val="tx1"/>
            </w14:solidFill>
          </w14:textFill>
        </w:rPr>
        <w:t>1、生活用水</w:t>
      </w:r>
    </w:p>
    <w:p>
      <w:pPr>
        <w:pStyle w:val="152"/>
        <w:spacing w:line="520" w:lineRule="exact"/>
        <w:ind w:firstLine="480" w:firstLineChars="20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本项目劳动定员48人，根据《建筑给水排水设计标准》（GB50015-2019），非住宿员工生活用水定额为30-50L/人·d，本次评价按50L/人·d计，则员工办公生活用水量为2.4m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/d、720m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/a。生活污水产生量按用水量的80%计，则本项目员工生活污水产生量为1.92m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/d、576m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w:t>
      </w:r>
    </w:p>
    <w:p>
      <w:pPr>
        <w:pStyle w:val="152"/>
        <w:numPr>
          <w:ilvl w:val="0"/>
          <w:numId w:val="30"/>
        </w:numPr>
        <w:spacing w:line="520" w:lineRule="exact"/>
        <w:ind w:firstLine="480" w:firstLineChars="20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生产用水及排水</w:t>
      </w:r>
    </w:p>
    <w:p>
      <w:pPr>
        <w:pStyle w:val="152"/>
        <w:spacing w:line="520" w:lineRule="exact"/>
        <w:ind w:firstLine="48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本项目生产用水包含溶盐用水、熟石灰调浆用水、尾气吸收系统用水、系统开车补水、离心洗涤用水、绿化用水、循环水系统补水。生产排水主要包括污蒸汽冷凝液排水、蒸汽冷凝液排水、离心洗涤排水、循环冷却水排水。</w:t>
      </w:r>
    </w:p>
    <w:p>
      <w:pPr>
        <w:pStyle w:val="152"/>
        <w:numPr>
          <w:ilvl w:val="0"/>
          <w:numId w:val="31"/>
        </w:numPr>
        <w:spacing w:line="520" w:lineRule="exact"/>
        <w:ind w:firstLine="48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溶盐用水</w:t>
      </w:r>
    </w:p>
    <w:p>
      <w:pPr>
        <w:pStyle w:val="152"/>
        <w:spacing w:line="520" w:lineRule="exact"/>
        <w:ind w:firstLine="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 xml:space="preserve">    根据本项目可行性研究报告，配制氯化钠溶液总用水量为29583m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/a，其中新鲜水用量为50m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/a，污蒸汽冷凝液用量为29533m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/a，该部分用水全部进入系统生产，无废水外排。</w:t>
      </w:r>
    </w:p>
    <w:p>
      <w:pPr>
        <w:pStyle w:val="152"/>
        <w:numPr>
          <w:ilvl w:val="0"/>
          <w:numId w:val="31"/>
        </w:numPr>
        <w:spacing w:line="520" w:lineRule="exact"/>
        <w:ind w:firstLine="48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熟石灰调浆用水</w:t>
      </w:r>
    </w:p>
    <w:p>
      <w:pPr>
        <w:pStyle w:val="152"/>
        <w:spacing w:line="520" w:lineRule="exact"/>
        <w:ind w:firstLine="480" w:firstLineChars="20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根据本项目可行性研究报告，熟石灰调浆总用水量为50m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/a，均为新鲜水，该部分用水全部进入系统生产，无废水外排。</w:t>
      </w:r>
    </w:p>
    <w:p>
      <w:pPr>
        <w:pStyle w:val="152"/>
        <w:numPr>
          <w:ilvl w:val="0"/>
          <w:numId w:val="31"/>
        </w:numPr>
        <w:spacing w:line="520" w:lineRule="exact"/>
        <w:ind w:firstLine="48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尾气吸收系统用水及排水</w:t>
      </w:r>
    </w:p>
    <w:p>
      <w:pPr>
        <w:pStyle w:val="152"/>
        <w:spacing w:line="520" w:lineRule="exact"/>
        <w:ind w:firstLine="480" w:firstLineChars="200"/>
        <w:rPr>
          <w:rFonts w:ascii="Times New Roman" w:cs="Times New Roman" w:eastAsiaTheme="minorEastAsia"/>
          <w:color w:val="000000" w:themeColor="text1"/>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本项目共设置2套尾气吸收系统（二级水洗+碱洗），合计循环用水量为24m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/h，尾气吸收系统补充水量为4.368m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/d（1310.4</w:t>
      </w:r>
      <w:r>
        <w:rPr>
          <w:rFonts w:ascii="Times New Roman" w:cs="Times New Roman" w:eastAsiaTheme="minorEastAsia"/>
          <w:color w:val="000000" w:themeColor="text1"/>
          <w14:textFill>
            <w14:solidFill>
              <w14:schemeClr w14:val="tx1"/>
            </w14:solidFill>
          </w14:textFill>
        </w:rPr>
        <w:t>m</w:t>
      </w:r>
      <w:r>
        <w:rPr>
          <w:rFonts w:ascii="Times New Roman" w:cs="Times New Roman" w:eastAsiaTheme="minorEastAsia"/>
          <w:color w:val="000000" w:themeColor="text1"/>
          <w:vertAlign w:val="superscript"/>
          <w14:textFill>
            <w14:solidFill>
              <w14:schemeClr w14:val="tx1"/>
            </w14:solidFill>
          </w14:textFill>
        </w:rPr>
        <w:t>3</w:t>
      </w:r>
      <w:r>
        <w:rPr>
          <w:rFonts w:ascii="Times New Roman" w:cs="Times New Roman" w:eastAsiaTheme="minorEastAsia"/>
          <w:color w:val="000000" w:themeColor="text1"/>
          <w14:textFill>
            <w14:solidFill>
              <w14:schemeClr w14:val="tx1"/>
            </w14:solidFill>
          </w14:textFill>
        </w:rPr>
        <w:t>/a</w:t>
      </w:r>
      <w:r>
        <w:rPr>
          <w:rFonts w:hint="eastAsia" w:ascii="Times New Roman" w:cs="Times New Roman" w:eastAsiaTheme="minorEastAsia"/>
          <w:color w:val="000000" w:themeColor="text1"/>
          <w14:textFill>
            <w14:solidFill>
              <w14:schemeClr w14:val="tx1"/>
            </w14:solidFill>
          </w14:textFill>
        </w:rPr>
        <w:t>），尾气洗涤废液产生量为3.888m</w:t>
      </w:r>
      <w:r>
        <w:rPr>
          <w:rFonts w:hint="eastAsia" w:ascii="Times New Roman" w:cs="Times New Roman" w:eastAsiaTheme="minorEastAsia"/>
          <w:color w:val="000000" w:themeColor="text1"/>
          <w:vertAlign w:val="superscript"/>
          <w14:textFill>
            <w14:solidFill>
              <w14:schemeClr w14:val="tx1"/>
            </w14:solidFill>
          </w14:textFill>
        </w:rPr>
        <w:t>3</w:t>
      </w:r>
      <w:r>
        <w:rPr>
          <w:rFonts w:hint="eastAsia" w:ascii="Times New Roman" w:cs="Times New Roman" w:eastAsiaTheme="minorEastAsia"/>
          <w:color w:val="000000" w:themeColor="text1"/>
          <w14:textFill>
            <w14:solidFill>
              <w14:schemeClr w14:val="tx1"/>
            </w14:solidFill>
          </w14:textFill>
        </w:rPr>
        <w:t>/d（1166.4m</w:t>
      </w:r>
      <w:r>
        <w:rPr>
          <w:rFonts w:hint="eastAsia" w:ascii="Times New Roman" w:cs="Times New Roman" w:eastAsiaTheme="minorEastAsia"/>
          <w:color w:val="000000" w:themeColor="text1"/>
          <w:vertAlign w:val="superscript"/>
          <w14:textFill>
            <w14:solidFill>
              <w14:schemeClr w14:val="tx1"/>
            </w14:solidFill>
          </w14:textFill>
        </w:rPr>
        <w:t>3</w:t>
      </w:r>
      <w:r>
        <w:rPr>
          <w:rFonts w:hint="eastAsia" w:ascii="Times New Roman" w:cs="Times New Roman" w:eastAsiaTheme="minorEastAsia"/>
          <w:color w:val="000000" w:themeColor="text1"/>
          <w14:textFill>
            <w14:solidFill>
              <w14:schemeClr w14:val="tx1"/>
            </w14:solidFill>
          </w14:textFill>
        </w:rPr>
        <w:t>/a），该部分尾气洗涤废液泵送至中和槽回用于生产，不外排。</w:t>
      </w:r>
    </w:p>
    <w:p>
      <w:pPr>
        <w:pStyle w:val="152"/>
        <w:numPr>
          <w:ilvl w:val="0"/>
          <w:numId w:val="31"/>
        </w:numPr>
        <w:spacing w:line="520" w:lineRule="exact"/>
        <w:ind w:firstLine="480"/>
        <w:rPr>
          <w:rFonts w:ascii="Times New Roman" w:cs="Times New Roman" w:eastAsiaTheme="minorEastAsia"/>
          <w:color w:val="000000" w:themeColor="text1"/>
          <w14:textFill>
            <w14:solidFill>
              <w14:schemeClr w14:val="tx1"/>
            </w14:solidFill>
          </w14:textFill>
        </w:rPr>
      </w:pPr>
      <w:r>
        <w:rPr>
          <w:rFonts w:hint="eastAsia" w:ascii="Times New Roman" w:cs="Times New Roman" w:eastAsiaTheme="minorEastAsia"/>
          <w:color w:val="000000" w:themeColor="text1"/>
          <w14:textFill>
            <w14:solidFill>
              <w14:schemeClr w14:val="tx1"/>
            </w14:solidFill>
          </w14:textFill>
        </w:rPr>
        <w:t>系统开车补水</w:t>
      </w:r>
    </w:p>
    <w:p>
      <w:pPr>
        <w:pStyle w:val="152"/>
        <w:spacing w:line="520" w:lineRule="exact"/>
        <w:ind w:firstLine="480" w:firstLineChars="20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本项目全年按开两次开车计算，单次开车需补充水量为4.662m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，则全年系统开车补充水量为9.324m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w:t>
      </w:r>
    </w:p>
    <w:p>
      <w:pPr>
        <w:pStyle w:val="152"/>
        <w:numPr>
          <w:ilvl w:val="0"/>
          <w:numId w:val="31"/>
        </w:numPr>
        <w:spacing w:line="520" w:lineRule="exact"/>
        <w:ind w:firstLine="480"/>
        <w:rPr>
          <w:rFonts w:ascii="Times New Roman" w:cs="Times New Roman" w:eastAsiaTheme="minorEastAsia"/>
          <w:color w:val="000000" w:themeColor="text1"/>
          <w14:textFill>
            <w14:solidFill>
              <w14:schemeClr w14:val="tx1"/>
            </w14:solidFill>
          </w14:textFill>
        </w:rPr>
      </w:pPr>
      <w:r>
        <w:rPr>
          <w:rFonts w:hint="eastAsia" w:ascii="Times New Roman" w:cs="Times New Roman" w:eastAsiaTheme="minorEastAsia"/>
          <w:color w:val="000000" w:themeColor="text1"/>
          <w14:textFill>
            <w14:solidFill>
              <w14:schemeClr w14:val="tx1"/>
            </w14:solidFill>
          </w14:textFill>
        </w:rPr>
        <w:t>离心洗涤用水及排水</w:t>
      </w:r>
    </w:p>
    <w:p>
      <w:pPr>
        <w:pStyle w:val="152"/>
        <w:spacing w:line="520" w:lineRule="exact"/>
        <w:ind w:firstLine="480" w:firstLineChars="200"/>
        <w:rPr>
          <w:rFonts w:ascii="Times New Roman" w:cs="Times New Roman"/>
          <w:color w:val="000000" w:themeColor="text1"/>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根据本项目可行性研究报告，离心洗涤用水量为9.637m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/d（2891m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/a），洗涤废水产生量按用水量的90%计，则离心洗涤废水产生量为7.806m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/d（2602m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/a），类比同行业（云天化国际化工股份有限公司富瑞分公司3.5万t/a氟硅酸钠装置）相关资料，离心洗涤废水主要污染物产生浓度分别为pH0.4-1.59，氟化物4000-5000mg/L、SS3000-4000mg/L、COD20-80mg/L、NH</w:t>
      </w:r>
      <w:r>
        <w:rPr>
          <w:rFonts w:hint="eastAsia" w:ascii="Times New Roman" w:cs="Times New Roman" w:hAnsiTheme="minorEastAsia" w:eastAsiaTheme="minorEastAsia"/>
          <w:color w:val="000000" w:themeColor="text1"/>
          <w:kern w:val="2"/>
          <w:szCs w:val="24"/>
          <w:vertAlign w:val="sub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-N6.05-10.53mg/L，该部分废水全部经母液槽最终进入中和槽回用于生产，不外排。</w:t>
      </w:r>
    </w:p>
    <w:p>
      <w:pPr>
        <w:pStyle w:val="152"/>
        <w:numPr>
          <w:ilvl w:val="0"/>
          <w:numId w:val="31"/>
        </w:numPr>
        <w:spacing w:line="520" w:lineRule="exact"/>
        <w:ind w:firstLine="480"/>
        <w:rPr>
          <w:rFonts w:ascii="Times New Roman" w:cs="Times New Roman" w:eastAsiaTheme="minorEastAsia"/>
          <w:color w:val="000000" w:themeColor="text1"/>
          <w14:textFill>
            <w14:solidFill>
              <w14:schemeClr w14:val="tx1"/>
            </w14:solidFill>
          </w14:textFill>
        </w:rPr>
      </w:pPr>
      <w:r>
        <w:rPr>
          <w:rFonts w:hint="eastAsia" w:ascii="Times New Roman" w:cs="Times New Roman" w:eastAsiaTheme="minorEastAsia"/>
          <w:color w:val="000000" w:themeColor="text1"/>
          <w14:textFill>
            <w14:solidFill>
              <w14:schemeClr w14:val="tx1"/>
            </w14:solidFill>
          </w14:textFill>
        </w:rPr>
        <w:t>绿化用水</w:t>
      </w:r>
    </w:p>
    <w:p>
      <w:pPr>
        <w:pStyle w:val="152"/>
        <w:spacing w:line="520" w:lineRule="exact"/>
        <w:ind w:firstLine="480" w:firstLineChars="200"/>
        <w:rPr>
          <w:rFonts w:ascii="Times New Roman" w:cs="Times New Roman" w:hAnsiTheme="minorEastAsia" w:eastAsiaTheme="minorEastAsia"/>
          <w:color w:val="000000" w:themeColor="text1"/>
          <w:kern w:val="2"/>
          <w:szCs w:val="24"/>
          <w14:textFill>
            <w14:solidFill>
              <w14:schemeClr w14:val="tx1"/>
            </w14:solidFill>
          </w14:textFill>
        </w:rPr>
      </w:pPr>
      <w:r>
        <w:rPr>
          <w:rFonts w:hint="eastAsia" w:ascii="Times New Roman" w:cs="Times New Roman" w:hAnsiTheme="minorEastAsia" w:eastAsiaTheme="minorEastAsia"/>
          <w:color w:val="000000" w:themeColor="text1"/>
          <w:kern w:val="2"/>
          <w:szCs w:val="24"/>
          <w14:textFill>
            <w14:solidFill>
              <w14:schemeClr w14:val="tx1"/>
            </w14:solidFill>
          </w14:textFill>
        </w:rPr>
        <w:t>本项目厂区绿化面积为1836.31m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2</w:t>
      </w:r>
      <w:r>
        <w:rPr>
          <w:rFonts w:hint="eastAsia" w:ascii="Times New Roman" w:cs="Times New Roman" w:hAnsiTheme="minorEastAsia" w:eastAsiaTheme="minorEastAsia"/>
          <w:color w:val="000000" w:themeColor="text1"/>
          <w:kern w:val="2"/>
          <w:szCs w:val="24"/>
          <w14:textFill>
            <w14:solidFill>
              <w14:schemeClr w14:val="tx1"/>
            </w14:solidFill>
          </w14:textFill>
        </w:rPr>
        <w:t>，根据《建筑给水排水设计标准》（GB50015-2019），绿化用水按1.0~3.0L/（m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2</w:t>
      </w:r>
      <w:r>
        <w:rPr>
          <w:rFonts w:hint="eastAsia" w:ascii="Times New Roman" w:cs="Times New Roman" w:hAnsiTheme="minorEastAsia" w:eastAsiaTheme="minorEastAsia"/>
          <w:color w:val="000000" w:themeColor="text1"/>
          <w:kern w:val="2"/>
          <w:szCs w:val="24"/>
          <w14:textFill>
            <w14:solidFill>
              <w14:schemeClr w14:val="tx1"/>
            </w14:solidFill>
          </w14:textFill>
        </w:rPr>
        <w:t>·d），本项目取2.0L/（m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2</w:t>
      </w:r>
      <w:r>
        <w:rPr>
          <w:rFonts w:hint="eastAsia" w:ascii="Times New Roman" w:cs="Times New Roman" w:hAnsiTheme="minorEastAsia" w:eastAsiaTheme="minorEastAsia"/>
          <w:color w:val="000000" w:themeColor="text1"/>
          <w:kern w:val="2"/>
          <w:szCs w:val="24"/>
          <w14:textFill>
            <w14:solidFill>
              <w14:schemeClr w14:val="tx1"/>
            </w14:solidFill>
          </w14:textFill>
        </w:rPr>
        <w:t>·d）则绿化用水量为3.673m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/d、1101.8m</w:t>
      </w:r>
      <w:r>
        <w:rPr>
          <w:rFonts w:hint="eastAsia" w:ascii="Times New Roman" w:cs="Times New Roman" w:hAnsiTheme="minorEastAsia" w:eastAsiaTheme="minorEastAsia"/>
          <w:color w:val="000000" w:themeColor="text1"/>
          <w:kern w:val="2"/>
          <w:szCs w:val="24"/>
          <w:vertAlign w:val="superscript"/>
          <w14:textFill>
            <w14:solidFill>
              <w14:schemeClr w14:val="tx1"/>
            </w14:solidFill>
          </w14:textFill>
        </w:rPr>
        <w:t>3</w:t>
      </w:r>
      <w:r>
        <w:rPr>
          <w:rFonts w:hint="eastAsia" w:ascii="Times New Roman" w:cs="Times New Roman" w:hAnsiTheme="minorEastAsia" w:eastAsiaTheme="minorEastAsia"/>
          <w:color w:val="000000" w:themeColor="text1"/>
          <w:kern w:val="2"/>
          <w:szCs w:val="24"/>
          <w14:textFill>
            <w14:solidFill>
              <w14:schemeClr w14:val="tx1"/>
            </w14:solidFill>
          </w14:textFill>
        </w:rPr>
        <w:t>/a，该部分用水全部蒸发，无废水产生。</w:t>
      </w:r>
    </w:p>
    <w:p>
      <w:pPr>
        <w:pStyle w:val="152"/>
        <w:numPr>
          <w:ilvl w:val="0"/>
          <w:numId w:val="31"/>
        </w:numPr>
        <w:spacing w:line="520" w:lineRule="exact"/>
        <w:ind w:firstLine="480"/>
        <w:rPr>
          <w:rFonts w:ascii="Times New Roman" w:cs="Times New Roman" w:eastAsiaTheme="minorEastAsia"/>
          <w:color w:val="000000" w:themeColor="text1"/>
          <w14:textFill>
            <w14:solidFill>
              <w14:schemeClr w14:val="tx1"/>
            </w14:solidFill>
          </w14:textFill>
        </w:rPr>
      </w:pPr>
      <w:r>
        <w:rPr>
          <w:rFonts w:hint="eastAsia" w:ascii="Times New Roman" w:cs="Times New Roman" w:eastAsiaTheme="minorEastAsia"/>
          <w:color w:val="000000" w:themeColor="text1"/>
          <w14:textFill>
            <w14:solidFill>
              <w14:schemeClr w14:val="tx1"/>
            </w14:solidFill>
          </w14:textFill>
        </w:rPr>
        <w:t>循环水系统补水及排水</w:t>
      </w:r>
    </w:p>
    <w:p>
      <w:pPr>
        <w:pStyle w:val="152"/>
        <w:spacing w:after="0" w:line="520" w:lineRule="exact"/>
        <w:ind w:firstLine="480" w:firstLineChars="200"/>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szCs w:val="24"/>
          <w14:textFill>
            <w14:solidFill>
              <w14:schemeClr w14:val="tx1"/>
            </w14:solidFill>
          </w14:textFill>
        </w:rPr>
        <w:t>根据本项目可行性研究报告，</w:t>
      </w:r>
      <w:r>
        <w:rPr>
          <w:rFonts w:ascii="Times New Roman" w:cs="Times New Roman"/>
          <w:color w:val="000000" w:themeColor="text1"/>
          <w14:textFill>
            <w14:solidFill>
              <w14:schemeClr w14:val="tx1"/>
            </w14:solidFill>
          </w14:textFill>
        </w:rPr>
        <w:t>项目循环冷却水用量为</w:t>
      </w:r>
      <w:r>
        <w:rPr>
          <w:rFonts w:hint="eastAsia" w:ascii="Times New Roman" w:cs="Times New Roman"/>
          <w:color w:val="000000" w:themeColor="text1"/>
          <w14:textFill>
            <w14:solidFill>
              <w14:schemeClr w14:val="tx1"/>
            </w14:solidFill>
          </w14:textFill>
        </w:rPr>
        <w:t>508.63</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/h，补充水量为</w:t>
      </w:r>
      <w:r>
        <w:rPr>
          <w:rFonts w:hint="eastAsia" w:ascii="Times New Roman" w:cs="Times New Roman"/>
          <w:color w:val="000000" w:themeColor="text1"/>
          <w14:textFill>
            <w14:solidFill>
              <w14:schemeClr w14:val="tx1"/>
            </w14:solidFill>
          </w14:textFill>
        </w:rPr>
        <w:t>10.</w:t>
      </w:r>
      <w:r>
        <w:rPr>
          <w:rFonts w:ascii="Times New Roman" w:cs="Times New Roman"/>
          <w:color w:val="000000" w:themeColor="text1"/>
          <w14:textFill>
            <w14:solidFill>
              <w14:schemeClr w14:val="tx1"/>
            </w14:solidFill>
          </w14:textFill>
        </w:rPr>
        <w:t>9</w:t>
      </w:r>
      <w:r>
        <w:rPr>
          <w:rFonts w:hint="eastAsia" w:ascii="Times New Roman" w:cs="Times New Roman"/>
          <w:color w:val="000000" w:themeColor="text1"/>
          <w14:textFill>
            <w14:solidFill>
              <w14:schemeClr w14:val="tx1"/>
            </w14:solidFill>
          </w14:textFill>
        </w:rPr>
        <w:t>7</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/d（3291 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/a）。项目循环冷却废水产生量为</w:t>
      </w:r>
      <w:r>
        <w:rPr>
          <w:rFonts w:hint="eastAsia" w:ascii="Times New Roman" w:cs="Times New Roman"/>
          <w:color w:val="000000" w:themeColor="text1"/>
          <w14:textFill>
            <w14:solidFill>
              <w14:schemeClr w14:val="tx1"/>
            </w14:solidFill>
          </w14:textFill>
        </w:rPr>
        <w:t>0.8</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/d（</w:t>
      </w:r>
      <w:r>
        <w:rPr>
          <w:rFonts w:hint="eastAsia" w:ascii="Times New Roman" w:cs="Times New Roman"/>
          <w:color w:val="000000" w:themeColor="text1"/>
          <w14:textFill>
            <w14:solidFill>
              <w14:schemeClr w14:val="tx1"/>
            </w14:solidFill>
          </w14:textFill>
        </w:rPr>
        <w:t>240</w:t>
      </w:r>
      <w:r>
        <w:rPr>
          <w:rFonts w:ascii="Times New Roman" w:cs="Times New Roman"/>
          <w:color w:val="000000" w:themeColor="text1"/>
          <w14:textFill>
            <w14:solidFill>
              <w14:schemeClr w14:val="tx1"/>
            </w14:solidFill>
          </w14:textFill>
        </w:rPr>
        <w:t xml:space="preserve"> 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14:textFill>
            <w14:solidFill>
              <w14:schemeClr w14:val="tx1"/>
            </w14:solidFill>
          </w14:textFill>
        </w:rPr>
        <w:t>作为清净下水排入厂区雨水管网</w:t>
      </w:r>
      <w:r>
        <w:rPr>
          <w:rFonts w:ascii="Times New Roman" w:cs="Times New Roman"/>
          <w:color w:val="000000" w:themeColor="text1"/>
          <w14:textFill>
            <w14:solidFill>
              <w14:schemeClr w14:val="tx1"/>
            </w14:solidFill>
          </w14:textFill>
        </w:rPr>
        <w:t>。</w:t>
      </w:r>
    </w:p>
    <w:p>
      <w:pPr>
        <w:pStyle w:val="152"/>
        <w:numPr>
          <w:ilvl w:val="0"/>
          <w:numId w:val="31"/>
        </w:numPr>
        <w:spacing w:line="520" w:lineRule="exact"/>
        <w:ind w:firstLine="480"/>
        <w:rPr>
          <w:rFonts w:ascii="Times New Roman" w:cs="Times New Roman" w:eastAsiaTheme="minorEastAsia"/>
          <w:color w:val="000000" w:themeColor="text1"/>
          <w14:textFill>
            <w14:solidFill>
              <w14:schemeClr w14:val="tx1"/>
            </w14:solidFill>
          </w14:textFill>
        </w:rPr>
      </w:pPr>
      <w:r>
        <w:rPr>
          <w:rFonts w:hint="eastAsia" w:ascii="Times New Roman" w:cs="Times New Roman" w:eastAsiaTheme="minorEastAsia"/>
          <w:color w:val="000000" w:themeColor="text1"/>
          <w14:textFill>
            <w14:solidFill>
              <w14:schemeClr w14:val="tx1"/>
            </w14:solidFill>
          </w14:textFill>
        </w:rPr>
        <w:t>污蒸汽冷凝液排水</w:t>
      </w:r>
    </w:p>
    <w:p>
      <w:pPr>
        <w:pStyle w:val="152"/>
        <w:spacing w:line="520" w:lineRule="exact"/>
        <w:ind w:firstLine="480" w:firstLineChars="200"/>
        <w:rPr>
          <w:rFonts w:ascii="Times New Roman" w:cs="Times New Roman"/>
          <w:color w:val="000000" w:themeColor="text1"/>
          <w:szCs w:val="24"/>
          <w14:textFill>
            <w14:solidFill>
              <w14:schemeClr w14:val="tx1"/>
            </w14:solidFill>
          </w14:textFill>
        </w:rPr>
      </w:pPr>
      <w:r>
        <w:rPr>
          <w:rFonts w:hint="eastAsia" w:ascii="Times New Roman" w:cs="Times New Roman"/>
          <w:color w:val="000000" w:themeColor="text1"/>
          <w:szCs w:val="24"/>
          <w14:textFill>
            <w14:solidFill>
              <w14:schemeClr w14:val="tx1"/>
            </w14:solidFill>
          </w14:textFill>
        </w:rPr>
        <w:t>根据本项目可行性研究报告，氟硅酸钠装置蒸发器内氯化钙溶液蒸发浓缩过程中产生的污蒸汽冷凝液产生量为8.148m</w:t>
      </w:r>
      <w:r>
        <w:rPr>
          <w:rFonts w:hint="eastAsia" w:ascii="Times New Roman" w:cs="Times New Roman"/>
          <w:color w:val="000000" w:themeColor="text1"/>
          <w:szCs w:val="24"/>
          <w:vertAlign w:val="superscript"/>
          <w14:textFill>
            <w14:solidFill>
              <w14:schemeClr w14:val="tx1"/>
            </w14:solidFill>
          </w14:textFill>
        </w:rPr>
        <w:t>3</w:t>
      </w:r>
      <w:r>
        <w:rPr>
          <w:rFonts w:hint="eastAsia" w:ascii="Times New Roman" w:cs="Times New Roman"/>
          <w:color w:val="000000" w:themeColor="text1"/>
          <w:szCs w:val="24"/>
          <w14:textFill>
            <w14:solidFill>
              <w14:schemeClr w14:val="tx1"/>
            </w14:solidFill>
          </w14:textFill>
        </w:rPr>
        <w:t>/h（58665.6</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szCs w:val="24"/>
          <w14:textFill>
            <w14:solidFill>
              <w14:schemeClr w14:val="tx1"/>
            </w14:solidFill>
          </w14:textFill>
        </w:rPr>
        <w:t>），回用于溶盐、离心洗涤、尾气洗涤水量共计5.142m</w:t>
      </w:r>
      <w:r>
        <w:rPr>
          <w:rFonts w:hint="eastAsia" w:ascii="Times New Roman" w:cs="Times New Roman"/>
          <w:color w:val="000000" w:themeColor="text1"/>
          <w:szCs w:val="24"/>
          <w:vertAlign w:val="superscript"/>
          <w14:textFill>
            <w14:solidFill>
              <w14:schemeClr w14:val="tx1"/>
            </w14:solidFill>
          </w14:textFill>
        </w:rPr>
        <w:t>3</w:t>
      </w:r>
      <w:r>
        <w:rPr>
          <w:rFonts w:hint="eastAsia" w:ascii="Times New Roman" w:cs="Times New Roman"/>
          <w:color w:val="000000" w:themeColor="text1"/>
          <w:szCs w:val="24"/>
          <w14:textFill>
            <w14:solidFill>
              <w14:schemeClr w14:val="tx1"/>
            </w14:solidFill>
          </w14:textFill>
        </w:rPr>
        <w:t>/h（37025.4</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szCs w:val="24"/>
          <w14:textFill>
            <w14:solidFill>
              <w14:schemeClr w14:val="tx1"/>
            </w14:solidFill>
          </w14:textFill>
        </w:rPr>
        <w:t>），剩余3.006m</w:t>
      </w:r>
      <w:r>
        <w:rPr>
          <w:rFonts w:hint="eastAsia" w:ascii="Times New Roman" w:cs="Times New Roman"/>
          <w:color w:val="000000" w:themeColor="text1"/>
          <w:szCs w:val="24"/>
          <w:vertAlign w:val="superscript"/>
          <w14:textFill>
            <w14:solidFill>
              <w14:schemeClr w14:val="tx1"/>
            </w14:solidFill>
          </w14:textFill>
        </w:rPr>
        <w:t>3</w:t>
      </w:r>
      <w:r>
        <w:rPr>
          <w:rFonts w:hint="eastAsia" w:ascii="Times New Roman" w:cs="Times New Roman"/>
          <w:color w:val="000000" w:themeColor="text1"/>
          <w:szCs w:val="24"/>
          <w14:textFill>
            <w14:solidFill>
              <w14:schemeClr w14:val="tx1"/>
            </w14:solidFill>
          </w14:textFill>
        </w:rPr>
        <w:t>/h（21640.2</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szCs w:val="24"/>
          <w14:textFill>
            <w14:solidFill>
              <w14:schemeClr w14:val="tx1"/>
            </w14:solidFill>
          </w14:textFill>
        </w:rPr>
        <w:t>）污蒸汽冷凝液作为清净下水排入厂区雨水管网。</w:t>
      </w:r>
    </w:p>
    <w:p>
      <w:pPr>
        <w:pStyle w:val="152"/>
        <w:numPr>
          <w:ilvl w:val="0"/>
          <w:numId w:val="31"/>
        </w:numPr>
        <w:spacing w:line="520" w:lineRule="exact"/>
        <w:ind w:firstLine="480"/>
        <w:rPr>
          <w:rFonts w:ascii="Times New Roman" w:cs="Times New Roman" w:eastAsiaTheme="minorEastAsia"/>
          <w:color w:val="000000" w:themeColor="text1"/>
          <w14:textFill>
            <w14:solidFill>
              <w14:schemeClr w14:val="tx1"/>
            </w14:solidFill>
          </w14:textFill>
        </w:rPr>
      </w:pPr>
      <w:r>
        <w:rPr>
          <w:rFonts w:hint="eastAsia" w:ascii="Times New Roman" w:cs="Times New Roman" w:eastAsiaTheme="minorEastAsia"/>
          <w:color w:val="000000" w:themeColor="text1"/>
          <w14:textFill>
            <w14:solidFill>
              <w14:schemeClr w14:val="tx1"/>
            </w14:solidFill>
          </w14:textFill>
        </w:rPr>
        <w:t>蒸汽冷凝液排水</w:t>
      </w:r>
    </w:p>
    <w:p>
      <w:pPr>
        <w:pStyle w:val="152"/>
        <w:spacing w:line="520" w:lineRule="exact"/>
        <w:ind w:firstLine="480" w:firstLineChars="200"/>
        <w:rPr>
          <w:rFonts w:ascii="Times New Roman" w:cs="Times New Roman"/>
          <w:color w:val="000000" w:themeColor="text1"/>
          <w:szCs w:val="24"/>
          <w14:textFill>
            <w14:solidFill>
              <w14:schemeClr w14:val="tx1"/>
            </w14:solidFill>
          </w14:textFill>
        </w:rPr>
      </w:pPr>
      <w:r>
        <w:rPr>
          <w:rFonts w:hint="eastAsia" w:ascii="Times New Roman" w:cs="Times New Roman"/>
          <w:color w:val="000000" w:themeColor="text1"/>
          <w:szCs w:val="24"/>
          <w14:textFill>
            <w14:solidFill>
              <w14:schemeClr w14:val="tx1"/>
            </w14:solidFill>
          </w14:textFill>
        </w:rPr>
        <w:t>根据本项目可行性研究报告，氟硅酸钠装置蒸发器热源来自于园区蒸汽管网，蒸汽与物料进行间接热交换后经换热器冷却会产生蒸汽冷凝液，蒸汽冷凝液产生量为2.88m</w:t>
      </w:r>
      <w:r>
        <w:rPr>
          <w:rFonts w:hint="eastAsia" w:ascii="Times New Roman" w:cs="Times New Roman"/>
          <w:color w:val="000000" w:themeColor="text1"/>
          <w:szCs w:val="24"/>
          <w:vertAlign w:val="superscript"/>
          <w14:textFill>
            <w14:solidFill>
              <w14:schemeClr w14:val="tx1"/>
            </w14:solidFill>
          </w14:textFill>
        </w:rPr>
        <w:t>3</w:t>
      </w:r>
      <w:r>
        <w:rPr>
          <w:rFonts w:hint="eastAsia" w:ascii="Times New Roman" w:cs="Times New Roman"/>
          <w:color w:val="000000" w:themeColor="text1"/>
          <w:szCs w:val="24"/>
          <w14:textFill>
            <w14:solidFill>
              <w14:schemeClr w14:val="tx1"/>
            </w14:solidFill>
          </w14:textFill>
        </w:rPr>
        <w:t>/h（20736</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szCs w:val="24"/>
          <w14:textFill>
            <w14:solidFill>
              <w14:schemeClr w14:val="tx1"/>
            </w14:solidFill>
          </w14:textFill>
        </w:rPr>
        <w:t>），其中0.153m</w:t>
      </w:r>
      <w:r>
        <w:rPr>
          <w:rFonts w:hint="eastAsia" w:ascii="Times New Roman" w:cs="Times New Roman"/>
          <w:color w:val="000000" w:themeColor="text1"/>
          <w:szCs w:val="24"/>
          <w:vertAlign w:val="superscript"/>
          <w14:textFill>
            <w14:solidFill>
              <w14:schemeClr w14:val="tx1"/>
            </w14:solidFill>
          </w14:textFill>
        </w:rPr>
        <w:t>3</w:t>
      </w:r>
      <w:r>
        <w:rPr>
          <w:rFonts w:hint="eastAsia" w:ascii="Times New Roman" w:cs="Times New Roman"/>
          <w:color w:val="000000" w:themeColor="text1"/>
          <w:szCs w:val="24"/>
          <w14:textFill>
            <w14:solidFill>
              <w14:schemeClr w14:val="tx1"/>
            </w14:solidFill>
          </w14:textFill>
        </w:rPr>
        <w:t>/h（1101.8</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szCs w:val="24"/>
          <w14:textFill>
            <w14:solidFill>
              <w14:schemeClr w14:val="tx1"/>
            </w14:solidFill>
          </w14:textFill>
        </w:rPr>
        <w:t>）蒸汽冷凝液回用于厂区绿化用水，剩余2.727m</w:t>
      </w:r>
      <w:r>
        <w:rPr>
          <w:rFonts w:hint="eastAsia" w:ascii="Times New Roman" w:cs="Times New Roman"/>
          <w:color w:val="000000" w:themeColor="text1"/>
          <w:szCs w:val="24"/>
          <w:vertAlign w:val="superscript"/>
          <w14:textFill>
            <w14:solidFill>
              <w14:schemeClr w14:val="tx1"/>
            </w14:solidFill>
          </w14:textFill>
        </w:rPr>
        <w:t>3</w:t>
      </w:r>
      <w:r>
        <w:rPr>
          <w:rFonts w:hint="eastAsia" w:ascii="Times New Roman" w:cs="Times New Roman"/>
          <w:color w:val="000000" w:themeColor="text1"/>
          <w:szCs w:val="24"/>
          <w14:textFill>
            <w14:solidFill>
              <w14:schemeClr w14:val="tx1"/>
            </w14:solidFill>
          </w14:textFill>
        </w:rPr>
        <w:t>/h（19634.2</w:t>
      </w:r>
      <w:r>
        <w:rPr>
          <w:rFonts w:ascii="Times New Roman" w:cs="Times New Roman"/>
          <w:color w:val="000000" w:themeColor="text1"/>
          <w14:textFill>
            <w14:solidFill>
              <w14:schemeClr w14:val="tx1"/>
            </w14:solidFill>
          </w14:textFill>
        </w:rPr>
        <w:t>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szCs w:val="24"/>
          <w14:textFill>
            <w14:solidFill>
              <w14:schemeClr w14:val="tx1"/>
            </w14:solidFill>
          </w14:textFill>
        </w:rPr>
        <w:t>）蒸汽冷凝液作为清净下水排入厂区雨水管网。</w:t>
      </w:r>
    </w:p>
    <w:p>
      <w:pPr>
        <w:pStyle w:val="152"/>
        <w:spacing w:line="520" w:lineRule="exact"/>
        <w:ind w:firstLine="480" w:firstLineChars="200"/>
        <w:rPr>
          <w:rFonts w:ascii="Times New Roman" w:cs="Times New Roman"/>
          <w:color w:val="000000" w:themeColor="text1"/>
          <w:szCs w:val="24"/>
          <w14:textFill>
            <w14:solidFill>
              <w14:schemeClr w14:val="tx1"/>
            </w14:solidFill>
          </w14:textFill>
        </w:rPr>
      </w:pPr>
      <w:r>
        <w:rPr>
          <w:rFonts w:hint="eastAsia" w:ascii="Times New Roman" w:cs="Times New Roman"/>
          <w:color w:val="000000" w:themeColor="text1"/>
          <w:szCs w:val="24"/>
          <w14:textFill>
            <w14:solidFill>
              <w14:schemeClr w14:val="tx1"/>
            </w14:solidFill>
          </w14:textFill>
        </w:rPr>
        <w:t>项目水平衡分析见表3.2-4、图3.2-2。</w:t>
      </w:r>
    </w:p>
    <w:p>
      <w:pPr>
        <w:pStyle w:val="152"/>
        <w:spacing w:line="520" w:lineRule="exact"/>
        <w:ind w:firstLine="0"/>
        <w:jc w:val="center"/>
        <w:rPr>
          <w:rFonts w:ascii="Times New Roman"/>
          <w:b/>
          <w:color w:val="000000" w:themeColor="text1"/>
          <w14:textFill>
            <w14:solidFill>
              <w14:schemeClr w14:val="tx1"/>
            </w14:solidFill>
          </w14:textFill>
        </w:rPr>
      </w:pPr>
      <w:r>
        <w:rPr>
          <w:rFonts w:ascii="Times New Roman"/>
          <w:b/>
          <w:color w:val="000000" w:themeColor="text1"/>
          <w14:textFill>
            <w14:solidFill>
              <w14:schemeClr w14:val="tx1"/>
            </w14:solidFill>
          </w14:textFill>
        </w:rPr>
        <w:t>表</w:t>
      </w:r>
      <w:r>
        <w:rPr>
          <w:rFonts w:hint="eastAsia" w:ascii="Times New Roman"/>
          <w:b/>
          <w:color w:val="000000" w:themeColor="text1"/>
          <w14:textFill>
            <w14:solidFill>
              <w14:schemeClr w14:val="tx1"/>
            </w14:solidFill>
          </w14:textFill>
        </w:rPr>
        <w:t>3.2</w:t>
      </w:r>
      <w:r>
        <w:rPr>
          <w:rFonts w:ascii="Times New Roman"/>
          <w:b/>
          <w:color w:val="000000" w:themeColor="text1"/>
          <w14:textFill>
            <w14:solidFill>
              <w14:schemeClr w14:val="tx1"/>
            </w14:solidFill>
          </w14:textFill>
        </w:rPr>
        <w:t>-</w:t>
      </w:r>
      <w:r>
        <w:rPr>
          <w:rFonts w:hint="eastAsia" w:ascii="Times New Roman"/>
          <w:b/>
          <w:color w:val="000000" w:themeColor="text1"/>
          <w14:textFill>
            <w14:solidFill>
              <w14:schemeClr w14:val="tx1"/>
            </w14:solidFill>
          </w14:textFill>
        </w:rPr>
        <w:t>4  项目给排水</w:t>
      </w:r>
      <w:r>
        <w:rPr>
          <w:rFonts w:ascii="Times New Roman"/>
          <w:b/>
          <w:color w:val="000000" w:themeColor="text1"/>
          <w14:textFill>
            <w14:solidFill>
              <w14:schemeClr w14:val="tx1"/>
            </w14:solidFill>
          </w14:textFill>
        </w:rPr>
        <w:t>平衡表（单位：</w:t>
      </w:r>
      <w:r>
        <w:rPr>
          <w:rFonts w:hint="eastAsia" w:ascii="Times New Roman"/>
          <w:b/>
          <w:color w:val="000000" w:themeColor="text1"/>
          <w14:textFill>
            <w14:solidFill>
              <w14:schemeClr w14:val="tx1"/>
            </w14:solidFill>
          </w14:textFill>
        </w:rPr>
        <w:t>m</w:t>
      </w:r>
      <w:r>
        <w:rPr>
          <w:rFonts w:hint="eastAsia" w:ascii="Times New Roman"/>
          <w:b/>
          <w:color w:val="000000" w:themeColor="text1"/>
          <w:vertAlign w:val="superscript"/>
          <w14:textFill>
            <w14:solidFill>
              <w14:schemeClr w14:val="tx1"/>
            </w14:solidFill>
          </w14:textFill>
        </w:rPr>
        <w:t>3</w:t>
      </w:r>
      <w:r>
        <w:rPr>
          <w:rFonts w:ascii="Times New Roman"/>
          <w:b/>
          <w:color w:val="000000" w:themeColor="text1"/>
          <w14:textFill>
            <w14:solidFill>
              <w14:schemeClr w14:val="tx1"/>
            </w14:solidFill>
          </w14:textFill>
        </w:rPr>
        <w:t>/</w:t>
      </w:r>
      <w:r>
        <w:rPr>
          <w:rFonts w:hint="eastAsia" w:ascii="Times New Roman"/>
          <w:b/>
          <w:color w:val="000000" w:themeColor="text1"/>
          <w14:textFill>
            <w14:solidFill>
              <w14:schemeClr w14:val="tx1"/>
            </w14:solidFill>
          </w14:textFill>
        </w:rPr>
        <w:t>a</w:t>
      </w:r>
      <w:r>
        <w:rPr>
          <w:rFonts w:ascii="Times New Roman"/>
          <w:b/>
          <w:color w:val="000000" w:themeColor="text1"/>
          <w14:textFill>
            <w14:solidFill>
              <w14:schemeClr w14:val="tx1"/>
            </w14:solidFill>
          </w14:textFill>
        </w:rPr>
        <w:t>）</w:t>
      </w:r>
    </w:p>
    <w:tbl>
      <w:tblPr>
        <w:tblStyle w:val="87"/>
        <w:tblW w:w="88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36"/>
        <w:gridCol w:w="1065"/>
        <w:gridCol w:w="904"/>
        <w:gridCol w:w="897"/>
        <w:gridCol w:w="775"/>
        <w:gridCol w:w="1065"/>
        <w:gridCol w:w="1096"/>
        <w:gridCol w:w="1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8" w:type="dxa"/>
            <w:tcBorders>
              <w:left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项目</w:t>
            </w:r>
          </w:p>
        </w:tc>
        <w:tc>
          <w:tcPr>
            <w:tcW w:w="836" w:type="dxa"/>
            <w:vAlign w:val="center"/>
          </w:tcPr>
          <w:p>
            <w:pPr>
              <w:jc w:val="center"/>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新鲜水</w:t>
            </w:r>
          </w:p>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用量</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污蒸汽冷凝液用量</w:t>
            </w:r>
          </w:p>
        </w:tc>
        <w:tc>
          <w:tcPr>
            <w:tcW w:w="904" w:type="dxa"/>
            <w:vAlign w:val="center"/>
          </w:tcPr>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蒸汽</w:t>
            </w:r>
          </w:p>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冷凝液用量</w:t>
            </w:r>
          </w:p>
        </w:tc>
        <w:tc>
          <w:tcPr>
            <w:tcW w:w="897" w:type="dxa"/>
            <w:vAlign w:val="center"/>
          </w:tcPr>
          <w:p>
            <w:pPr>
              <w:jc w:val="center"/>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总用</w:t>
            </w:r>
          </w:p>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水量</w:t>
            </w:r>
          </w:p>
        </w:tc>
        <w:tc>
          <w:tcPr>
            <w:tcW w:w="775" w:type="dxa"/>
            <w:vAlign w:val="center"/>
          </w:tcPr>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蒸发</w:t>
            </w:r>
          </w:p>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损耗量</w:t>
            </w:r>
          </w:p>
        </w:tc>
        <w:tc>
          <w:tcPr>
            <w:tcW w:w="1065" w:type="dxa"/>
            <w:vAlign w:val="center"/>
          </w:tcPr>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进入系统回用量</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排水量</w:t>
            </w:r>
          </w:p>
        </w:tc>
        <w:tc>
          <w:tcPr>
            <w:tcW w:w="1529" w:type="dxa"/>
            <w:tcBorders>
              <w:right w:val="single" w:color="auto" w:sz="12" w:space="0"/>
            </w:tcBorders>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溶盐</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用水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29533</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29583</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29583</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全部进入系统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熟石灰调浆用水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全部进入系统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尾气吸收系统用水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1310.4</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1310.4</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144</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1166.4</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尾气洗涤废液泵送至中和槽通过系统回用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系统开车补水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9.324</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9.324</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9.324</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全部进入系统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离心洗涤用水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2891</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2891</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289</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2602</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全部进入系统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绿化用水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1101.8</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1101.8</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1101.8</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全部自然</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蒸发损耗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循环水系统用水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3291</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3291</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3051</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240</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作为清净</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污蒸汽冷凝液</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37025.4</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21640.2</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作为清净</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蒸汽冷凝液</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1101.8</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19634.2</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作为清净</w:t>
            </w:r>
          </w:p>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8" w:type="dxa"/>
            <w:tcBorders>
              <w:lef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生活用水</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720</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144</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576</w:t>
            </w:r>
          </w:p>
        </w:tc>
        <w:tc>
          <w:tcPr>
            <w:tcW w:w="1529" w:type="dxa"/>
            <w:tcBorders>
              <w:right w:val="single" w:color="auto" w:sz="12" w:space="0"/>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经化粪池处理后排入园区污水管网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28" w:type="dxa"/>
            <w:tcBorders>
              <w:left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合计</w:t>
            </w:r>
          </w:p>
        </w:tc>
        <w:tc>
          <w:tcPr>
            <w:tcW w:w="83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829.324</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37025.4</w:t>
            </w:r>
          </w:p>
        </w:tc>
        <w:tc>
          <w:tcPr>
            <w:tcW w:w="904"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1101.8</w:t>
            </w:r>
          </w:p>
        </w:tc>
        <w:tc>
          <w:tcPr>
            <w:tcW w:w="897"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38236.524</w:t>
            </w:r>
          </w:p>
        </w:tc>
        <w:tc>
          <w:tcPr>
            <w:tcW w:w="77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4729.8</w:t>
            </w:r>
          </w:p>
        </w:tc>
        <w:tc>
          <w:tcPr>
            <w:tcW w:w="1065"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71487.924</w:t>
            </w:r>
          </w:p>
        </w:tc>
        <w:tc>
          <w:tcPr>
            <w:tcW w:w="1096"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42090.4</w:t>
            </w:r>
          </w:p>
        </w:tc>
        <w:tc>
          <w:tcPr>
            <w:tcW w:w="1529" w:type="dxa"/>
            <w:tcBorders>
              <w:right w:val="single" w:color="auto" w:sz="12" w:space="0"/>
            </w:tcBorders>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bl>
    <w:p>
      <w:pPr>
        <w:spacing w:line="520" w:lineRule="exact"/>
        <w:rPr>
          <w:rFonts w:ascii="Times New Roman" w:hAnsi="Times New Roman" w:eastAsia="黑体"/>
          <w:b/>
          <w:color w:val="000000" w:themeColor="text1"/>
          <w:sz w:val="28"/>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95104" behindDoc="0" locked="0" layoutInCell="1" allowOverlap="1">
            <wp:simplePos x="0" y="0"/>
            <wp:positionH relativeFrom="column">
              <wp:posOffset>457200</wp:posOffset>
            </wp:positionH>
            <wp:positionV relativeFrom="paragraph">
              <wp:posOffset>96520</wp:posOffset>
            </wp:positionV>
            <wp:extent cx="4352925" cy="3874770"/>
            <wp:effectExtent l="0" t="0" r="9525" b="11430"/>
            <wp:wrapNone/>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5"/>
                    <a:stretch>
                      <a:fillRect/>
                    </a:stretch>
                  </pic:blipFill>
                  <pic:spPr>
                    <a:xfrm>
                      <a:off x="0" y="0"/>
                      <a:ext cx="4352925" cy="3874770"/>
                    </a:xfrm>
                    <a:prstGeom prst="rect">
                      <a:avLst/>
                    </a:prstGeom>
                    <a:noFill/>
                    <a:ln>
                      <a:noFill/>
                    </a:ln>
                  </pic:spPr>
                </pic:pic>
              </a:graphicData>
            </a:graphic>
          </wp:anchor>
        </w:drawing>
      </w: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rPr>
          <w:rFonts w:ascii="Times New Roman" w:hAnsi="Times New Roman" w:eastAsia="黑体"/>
          <w:b/>
          <w:color w:val="000000" w:themeColor="text1"/>
          <w:sz w:val="28"/>
          <w:szCs w:val="28"/>
          <w14:textFill>
            <w14:solidFill>
              <w14:schemeClr w14:val="tx1"/>
            </w14:solidFill>
          </w14:textFill>
        </w:rPr>
      </w:pPr>
    </w:p>
    <w:p>
      <w:pPr>
        <w:spacing w:line="520" w:lineRule="exact"/>
        <w:ind w:firstLine="2650" w:firstLineChars="1100"/>
        <w:rPr>
          <w:rFonts w:ascii="Times New Roman" w:hAnsi="Times New Roman"/>
          <w:b/>
          <w:color w:val="000000" w:themeColor="text1"/>
          <w:sz w:val="24"/>
          <w:szCs w:val="24"/>
          <w14:textFill>
            <w14:solidFill>
              <w14:schemeClr w14:val="tx1"/>
            </w14:solidFill>
          </w14:textFill>
        </w:rPr>
      </w:pPr>
    </w:p>
    <w:p>
      <w:pPr>
        <w:spacing w:line="520" w:lineRule="exact"/>
        <w:ind w:firstLine="2650" w:firstLineChars="1100"/>
        <w:rPr>
          <w:rFonts w:ascii="Times New Roman" w:hAnsi="Times New Roman"/>
          <w:b/>
          <w:color w:val="000000" w:themeColor="text1"/>
          <w:sz w:val="24"/>
          <w:szCs w:val="24"/>
          <w14:textFill>
            <w14:solidFill>
              <w14:schemeClr w14:val="tx1"/>
            </w14:solidFill>
          </w14:textFill>
        </w:rPr>
      </w:pPr>
    </w:p>
    <w:p>
      <w:pPr>
        <w:spacing w:line="520" w:lineRule="exact"/>
        <w:ind w:firstLine="2650" w:firstLineChars="1100"/>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图3.2-2 项目水平衡</w:t>
      </w:r>
      <w:r>
        <w:rPr>
          <w:rFonts w:hint="eastAsia" w:ascii="Times New Roman" w:hAnsi="Times New Roman"/>
          <w:b/>
          <w:color w:val="000000" w:themeColor="text1"/>
          <w:sz w:val="24"/>
          <w:szCs w:val="24"/>
          <w14:textFill>
            <w14:solidFill>
              <w14:schemeClr w14:val="tx1"/>
            </w14:solidFill>
          </w14:textFill>
        </w:rPr>
        <w:t xml:space="preserve">图  </w:t>
      </w:r>
      <w:r>
        <w:rPr>
          <w:rFonts w:ascii="Times New Roman"/>
          <w:b/>
          <w:color w:val="000000" w:themeColor="text1"/>
          <w:sz w:val="24"/>
          <w:szCs w:val="24"/>
          <w14:textFill>
            <w14:solidFill>
              <w14:schemeClr w14:val="tx1"/>
            </w14:solidFill>
          </w14:textFill>
        </w:rPr>
        <w:t>单位：</w:t>
      </w:r>
      <w:r>
        <w:rPr>
          <w:rFonts w:hint="eastAsia" w:ascii="Times New Roman"/>
          <w:b/>
          <w:color w:val="000000" w:themeColor="text1"/>
          <w:sz w:val="24"/>
          <w:szCs w:val="24"/>
          <w14:textFill>
            <w14:solidFill>
              <w14:schemeClr w14:val="tx1"/>
            </w14:solidFill>
          </w14:textFill>
        </w:rPr>
        <w:t>m</w:t>
      </w:r>
      <w:r>
        <w:rPr>
          <w:rFonts w:hint="eastAsia" w:ascii="Times New Roman"/>
          <w:b/>
          <w:color w:val="000000" w:themeColor="text1"/>
          <w:sz w:val="24"/>
          <w:szCs w:val="24"/>
          <w:vertAlign w:val="superscript"/>
          <w14:textFill>
            <w14:solidFill>
              <w14:schemeClr w14:val="tx1"/>
            </w14:solidFill>
          </w14:textFill>
        </w:rPr>
        <w:t>3</w:t>
      </w:r>
      <w:r>
        <w:rPr>
          <w:rFonts w:ascii="Times New Roman"/>
          <w:b/>
          <w:color w:val="000000" w:themeColor="text1"/>
          <w:sz w:val="24"/>
          <w:szCs w:val="24"/>
          <w14:textFill>
            <w14:solidFill>
              <w14:schemeClr w14:val="tx1"/>
            </w14:solidFill>
          </w14:textFill>
        </w:rPr>
        <w:t>/</w:t>
      </w:r>
      <w:r>
        <w:rPr>
          <w:rFonts w:hint="eastAsia" w:ascii="Times New Roman"/>
          <w:b/>
          <w:color w:val="000000" w:themeColor="text1"/>
          <w:sz w:val="24"/>
          <w:szCs w:val="24"/>
          <w14:textFill>
            <w14:solidFill>
              <w14:schemeClr w14:val="tx1"/>
            </w14:solidFill>
          </w14:textFill>
        </w:rPr>
        <w:t>a</w:t>
      </w:r>
    </w:p>
    <w:p>
      <w:pPr>
        <w:spacing w:line="520" w:lineRule="exact"/>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黑体"/>
          <w:b/>
          <w:color w:val="000000" w:themeColor="text1"/>
          <w:sz w:val="28"/>
          <w:szCs w:val="28"/>
          <w:lang w:val="en-US" w:eastAsia="zh-CN"/>
          <w14:textFill>
            <w14:solidFill>
              <w14:schemeClr w14:val="tx1"/>
            </w14:solidFill>
          </w14:textFill>
        </w:rPr>
        <w:t>4</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2</w:t>
      </w:r>
      <w:r>
        <w:rPr>
          <w:rFonts w:ascii="Times New Roman" w:hAnsi="Times New Roman" w:eastAsia="黑体"/>
          <w:b/>
          <w:color w:val="000000" w:themeColor="text1"/>
          <w:sz w:val="28"/>
          <w:szCs w:val="28"/>
          <w14:textFill>
            <w14:solidFill>
              <w14:schemeClr w14:val="tx1"/>
            </w14:solidFill>
          </w14:textFill>
        </w:rPr>
        <w:t>.5</w:t>
      </w:r>
      <w:r>
        <w:rPr>
          <w:rFonts w:hint="eastAsia" w:ascii="Times New Roman" w:hAnsi="Times New Roman" w:eastAsia="黑体"/>
          <w:b/>
          <w:color w:val="000000" w:themeColor="text1"/>
          <w:sz w:val="28"/>
          <w:szCs w:val="28"/>
          <w14:textFill>
            <w14:solidFill>
              <w14:schemeClr w14:val="tx1"/>
            </w14:solidFill>
          </w14:textFill>
        </w:rPr>
        <w:t>运营期污染源源强</w:t>
      </w:r>
      <w:r>
        <w:rPr>
          <w:rFonts w:hint="eastAsia" w:ascii="黑体" w:hAnsi="黑体" w:eastAsia="黑体"/>
          <w:b/>
          <w:color w:val="000000" w:themeColor="text1"/>
          <w:sz w:val="28"/>
          <w:szCs w:val="28"/>
          <w14:textFill>
            <w14:solidFill>
              <w14:schemeClr w14:val="tx1"/>
            </w14:solidFill>
          </w14:textFill>
        </w:rPr>
        <w:t>分析</w:t>
      </w:r>
    </w:p>
    <w:p>
      <w:pPr>
        <w:pStyle w:val="152"/>
        <w:spacing w:line="520" w:lineRule="exact"/>
        <w:ind w:firstLine="0"/>
        <w:jc w:val="left"/>
        <w:rPr>
          <w:rFonts w:ascii="Times New Roman"/>
          <w:bCs/>
          <w:color w:val="000000" w:themeColor="text1"/>
          <w14:textFill>
            <w14:solidFill>
              <w14:schemeClr w14:val="tx1"/>
            </w14:solidFill>
          </w14:textFill>
        </w:rPr>
      </w:pPr>
      <w:r>
        <w:rPr>
          <w:rFonts w:hint="eastAsia" w:ascii="Times New Roman" w:eastAsia="黑体" w:cs="Times New Roman"/>
          <w:b/>
          <w:color w:val="000000" w:themeColor="text1"/>
          <w:szCs w:val="24"/>
          <w:lang w:val="en-US" w:eastAsia="zh-CN"/>
          <w14:textFill>
            <w14:solidFill>
              <w14:schemeClr w14:val="tx1"/>
            </w14:solidFill>
          </w14:textFill>
        </w:rPr>
        <w:t>4</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2</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5.1废水</w:t>
      </w:r>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47" w:name="_Toc28952"/>
      <w:bookmarkStart w:id="248" w:name="_Toc23495"/>
      <w:bookmarkStart w:id="249" w:name="_Toc29745"/>
      <w:r>
        <w:rPr>
          <w:rFonts w:hint="eastAsia" w:ascii="Times New Roman" w:hAnsiTheme="minorEastAsia" w:eastAsiaTheme="minorEastAsia"/>
          <w:color w:val="000000" w:themeColor="text1"/>
          <w:sz w:val="24"/>
          <w:szCs w:val="24"/>
          <w14:textFill>
            <w14:solidFill>
              <w14:schemeClr w14:val="tx1"/>
            </w14:solidFill>
          </w14:textFill>
        </w:rPr>
        <w:t>本项目运营期产生的废水主要包括定期更换的尾气洗涤废液，离心洗涤废水及员工生活污水。</w:t>
      </w:r>
      <w:bookmarkEnd w:id="247"/>
      <w:bookmarkEnd w:id="248"/>
      <w:bookmarkEnd w:id="249"/>
    </w:p>
    <w:p>
      <w:pPr>
        <w:pStyle w:val="380"/>
        <w:numPr>
          <w:ilvl w:val="0"/>
          <w:numId w:val="32"/>
        </w:numPr>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50" w:name="_Toc14566"/>
      <w:bookmarkStart w:id="251" w:name="_Toc18110"/>
      <w:bookmarkStart w:id="252" w:name="_Toc23699"/>
      <w:r>
        <w:rPr>
          <w:rFonts w:hint="eastAsia" w:ascii="Times New Roman" w:hAnsiTheme="minorEastAsia" w:eastAsiaTheme="minorEastAsia"/>
          <w:color w:val="000000" w:themeColor="text1"/>
          <w:sz w:val="24"/>
          <w:szCs w:val="24"/>
          <w14:textFill>
            <w14:solidFill>
              <w14:schemeClr w14:val="tx1"/>
            </w14:solidFill>
          </w14:textFill>
        </w:rPr>
        <w:t>尾气洗涤废液</w:t>
      </w:r>
      <w:bookmarkEnd w:id="250"/>
      <w:bookmarkEnd w:id="251"/>
      <w:bookmarkEnd w:id="252"/>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53" w:name="_Toc27832"/>
      <w:bookmarkStart w:id="254" w:name="_Toc9904"/>
      <w:bookmarkStart w:id="255" w:name="_Toc20072"/>
      <w:r>
        <w:rPr>
          <w:rFonts w:hint="eastAsia" w:ascii="Times New Roman" w:hAnsiTheme="minorEastAsia" w:eastAsiaTheme="minorEastAsia"/>
          <w:color w:val="000000" w:themeColor="text1"/>
          <w:sz w:val="24"/>
          <w:szCs w:val="24"/>
          <w14:textFill>
            <w14:solidFill>
              <w14:schemeClr w14:val="tx1"/>
            </w14:solidFill>
          </w14:textFill>
        </w:rPr>
        <w:t>本项目共设置2套尾气吸收系统，尾气吸收产生的洗涤液需要定期更换（约每周更换一次），根据水平衡分析可知，洗涤废液产生量为1166.4m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/a，根据项目初步设计方案可知，该部分洗涤废液主要污染物为pH、氟化物、SS，产生浓度分别为pH6-7、氟化物800-900mg/L、SS 2500-3000mg/L。该部分洗涤废液全部通过泵送至中和槽回用于生产，不外排。</w:t>
      </w:r>
      <w:bookmarkEnd w:id="253"/>
      <w:bookmarkEnd w:id="254"/>
      <w:bookmarkEnd w:id="255"/>
    </w:p>
    <w:p>
      <w:pPr>
        <w:pStyle w:val="380"/>
        <w:numPr>
          <w:ilvl w:val="0"/>
          <w:numId w:val="32"/>
        </w:numPr>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56" w:name="_Toc7270"/>
      <w:bookmarkStart w:id="257" w:name="_Toc24558"/>
      <w:bookmarkStart w:id="258" w:name="_Toc28638"/>
      <w:r>
        <w:rPr>
          <w:rFonts w:hint="eastAsia" w:ascii="Times New Roman" w:hAnsiTheme="minorEastAsia" w:eastAsiaTheme="minorEastAsia"/>
          <w:color w:val="000000" w:themeColor="text1"/>
          <w:sz w:val="24"/>
          <w:szCs w:val="24"/>
          <w14:textFill>
            <w14:solidFill>
              <w14:schemeClr w14:val="tx1"/>
            </w14:solidFill>
          </w14:textFill>
        </w:rPr>
        <w:t>离心洗涤废水</w:t>
      </w:r>
      <w:bookmarkEnd w:id="256"/>
      <w:bookmarkEnd w:id="257"/>
      <w:bookmarkEnd w:id="258"/>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59" w:name="_Toc4598"/>
      <w:bookmarkStart w:id="260" w:name="_Toc18975"/>
      <w:bookmarkStart w:id="261" w:name="_Toc32381"/>
      <w:r>
        <w:rPr>
          <w:rFonts w:hint="eastAsia" w:ascii="Times New Roman" w:hAnsiTheme="minorEastAsia" w:eastAsiaTheme="minorEastAsia"/>
          <w:color w:val="000000" w:themeColor="text1"/>
          <w:sz w:val="24"/>
          <w:szCs w:val="24"/>
          <w14:textFill>
            <w14:solidFill>
              <w14:schemeClr w14:val="tx1"/>
            </w14:solidFill>
          </w14:textFill>
        </w:rPr>
        <w:t>根据水平衡分析可知，本项目离心洗涤废水产生量为2602m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/a，根据项目初步设计方案可知，离心洗涤废水主要污染物为pH、氟化物、SS、COD、NH</w:t>
      </w:r>
      <w:r>
        <w:rPr>
          <w:rFonts w:hint="eastAsia" w:ascii="Times New Roman" w:hAnsiTheme="minorEastAsia" w:eastAsiaTheme="minorEastAsia"/>
          <w:color w:val="000000" w:themeColor="text1"/>
          <w:sz w:val="24"/>
          <w:szCs w:val="24"/>
          <w:vertAlign w:val="sub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-N，产生浓度分别为pH 0.4-1.59、氟化物4000-5000mg/L、SS 3000-4000mg/L、COD 20-80mg/L、NH</w:t>
      </w:r>
      <w:r>
        <w:rPr>
          <w:rFonts w:hint="eastAsia" w:ascii="Times New Roman" w:hAnsiTheme="minorEastAsia" w:eastAsiaTheme="minorEastAsia"/>
          <w:color w:val="000000" w:themeColor="text1"/>
          <w:sz w:val="24"/>
          <w:szCs w:val="24"/>
          <w:vertAlign w:val="sub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-N 6.05-10.53mg/L，该部分废水全部经母液槽最终进入中和槽回用于生产，不外排。</w:t>
      </w:r>
      <w:bookmarkEnd w:id="259"/>
      <w:bookmarkEnd w:id="260"/>
      <w:bookmarkEnd w:id="261"/>
    </w:p>
    <w:p>
      <w:pPr>
        <w:pStyle w:val="380"/>
        <w:numPr>
          <w:ilvl w:val="0"/>
          <w:numId w:val="32"/>
        </w:numPr>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62" w:name="_Toc12637"/>
      <w:bookmarkStart w:id="263" w:name="_Toc1904"/>
      <w:bookmarkStart w:id="264" w:name="_Toc20696"/>
      <w:r>
        <w:rPr>
          <w:rFonts w:hint="eastAsia" w:ascii="Times New Roman" w:hAnsiTheme="minorEastAsia" w:eastAsiaTheme="minorEastAsia"/>
          <w:color w:val="000000" w:themeColor="text1"/>
          <w:sz w:val="24"/>
          <w:szCs w:val="24"/>
          <w14:textFill>
            <w14:solidFill>
              <w14:schemeClr w14:val="tx1"/>
            </w14:solidFill>
          </w14:textFill>
        </w:rPr>
        <w:t>生活污水</w:t>
      </w:r>
      <w:bookmarkEnd w:id="262"/>
      <w:bookmarkEnd w:id="263"/>
      <w:bookmarkEnd w:id="264"/>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65" w:name="_Toc1620"/>
      <w:bookmarkStart w:id="266" w:name="_Toc17841"/>
      <w:bookmarkStart w:id="267" w:name="_Toc6499"/>
      <w:r>
        <w:rPr>
          <w:rFonts w:hint="eastAsia" w:ascii="Times New Roman" w:hAnsiTheme="minorEastAsia" w:eastAsiaTheme="minorEastAsia"/>
          <w:color w:val="000000" w:themeColor="text1"/>
          <w:sz w:val="24"/>
          <w:szCs w:val="24"/>
          <w14:textFill>
            <w14:solidFill>
              <w14:schemeClr w14:val="tx1"/>
            </w14:solidFill>
          </w14:textFill>
        </w:rPr>
        <w:t>本项目员工生活污水产生量为1.92m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/d、576m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/a。生活污水经厂区化粪池（处理能力5m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/d）处理后排入园区污水管网最终进入三板湖污水处理厂深度处理。本项目生活污水产生及排放情况见下表。</w:t>
      </w:r>
      <w:bookmarkEnd w:id="265"/>
      <w:bookmarkEnd w:id="266"/>
      <w:bookmarkEnd w:id="267"/>
    </w:p>
    <w:p>
      <w:pPr>
        <w:pStyle w:val="152"/>
        <w:spacing w:line="520" w:lineRule="exact"/>
        <w:ind w:firstLine="0"/>
        <w:jc w:val="center"/>
        <w:rPr>
          <w:rFonts w:ascii="Times New Roman"/>
          <w:b/>
          <w:color w:val="000000" w:themeColor="text1"/>
          <w14:textFill>
            <w14:solidFill>
              <w14:schemeClr w14:val="tx1"/>
            </w14:solidFill>
          </w14:textFill>
        </w:rPr>
      </w:pPr>
      <w:r>
        <w:rPr>
          <w:rFonts w:hint="eastAsia" w:ascii="Times New Roman"/>
          <w:b/>
          <w:color w:val="000000" w:themeColor="text1"/>
          <w14:textFill>
            <w14:solidFill>
              <w14:schemeClr w14:val="tx1"/>
            </w14:solidFill>
          </w14:textFill>
        </w:rPr>
        <w:t>表</w:t>
      </w:r>
      <w:r>
        <w:rPr>
          <w:rFonts w:hint="eastAsia" w:ascii="Times New Roman"/>
          <w:b/>
          <w:color w:val="000000" w:themeColor="text1"/>
          <w:lang w:val="en-US" w:eastAsia="zh-CN"/>
          <w14:textFill>
            <w14:solidFill>
              <w14:schemeClr w14:val="tx1"/>
            </w14:solidFill>
          </w14:textFill>
        </w:rPr>
        <w:t>4</w:t>
      </w:r>
      <w:r>
        <w:rPr>
          <w:rFonts w:hint="eastAsia" w:ascii="Times New Roman"/>
          <w:b/>
          <w:color w:val="000000" w:themeColor="text1"/>
          <w14:textFill>
            <w14:solidFill>
              <w14:schemeClr w14:val="tx1"/>
            </w14:solidFill>
          </w14:textFill>
        </w:rPr>
        <w:t>.2-5 项目生活污水污染物产排情况一览表</w:t>
      </w:r>
    </w:p>
    <w:tbl>
      <w:tblPr>
        <w:tblStyle w:val="87"/>
        <w:tblW w:w="8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150"/>
        <w:gridCol w:w="1009"/>
        <w:gridCol w:w="1009"/>
        <w:gridCol w:w="1009"/>
        <w:gridCol w:w="1009"/>
        <w:gridCol w:w="1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0" w:type="dxa"/>
            <w:gridSpan w:val="2"/>
            <w:tcBorders>
              <w:tl2br w:val="nil"/>
              <w:tr2bl w:val="nil"/>
            </w:tcBorders>
            <w:vAlign w:val="center"/>
          </w:tcPr>
          <w:p>
            <w:pPr>
              <w:adjustRightInd w:val="0"/>
              <w:snapToGrid w:val="0"/>
              <w:ind w:firstLine="197" w:firstLineChars="94"/>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COD</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BOD</w:t>
            </w:r>
            <w:r>
              <w:rPr>
                <w:rFonts w:ascii="Times New Roman" w:hAnsi="Times New Roman"/>
                <w:color w:val="000000" w:themeColor="text1"/>
                <w:szCs w:val="21"/>
                <w:vertAlign w:val="subscript"/>
                <w14:textFill>
                  <w14:solidFill>
                    <w14:schemeClr w14:val="tx1"/>
                  </w14:solidFill>
                </w14:textFill>
              </w:rPr>
              <w:t>5</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SS</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氨氮</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restart"/>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生活污水</w:t>
            </w:r>
            <w:r>
              <w:rPr>
                <w:rFonts w:hint="eastAsia" w:ascii="Times New Roman" w:hAnsi="Times New Roman"/>
                <w:color w:val="000000" w:themeColor="text1"/>
                <w:szCs w:val="21"/>
                <w14:textFill>
                  <w14:solidFill>
                    <w14:schemeClr w14:val="tx1"/>
                  </w14:solidFill>
                </w14:textFill>
              </w:rPr>
              <w:t>576</w:t>
            </w:r>
            <w:r>
              <w:rPr>
                <w:rFonts w:ascii="Times New Roman" w:hAnsi="Times New Roman"/>
                <w:color w:val="000000" w:themeColor="text1"/>
                <w:szCs w:val="21"/>
                <w14:textFill>
                  <w14:solidFill>
                    <w14:schemeClr w14:val="tx1"/>
                  </w14:solidFill>
                </w14:textFill>
              </w:rPr>
              <w:t>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/a</w:t>
            </w:r>
          </w:p>
        </w:tc>
        <w:tc>
          <w:tcPr>
            <w:tcW w:w="2150"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产生浓度（mg/L）</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350</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continue"/>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p>
        </w:tc>
        <w:tc>
          <w:tcPr>
            <w:tcW w:w="2150"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产生量（t/a）</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0.202</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0.115</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0.115</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0.017</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0" w:type="dxa"/>
            <w:gridSpan w:val="2"/>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化粪池（去除率）</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50%</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restart"/>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生活污水</w:t>
            </w:r>
            <w:r>
              <w:rPr>
                <w:rFonts w:hint="eastAsia" w:ascii="Times New Roman" w:hAnsi="Times New Roman"/>
                <w:color w:val="000000" w:themeColor="text1"/>
                <w:szCs w:val="21"/>
                <w14:textFill>
                  <w14:solidFill>
                    <w14:schemeClr w14:val="tx1"/>
                  </w14:solidFill>
                </w14:textFill>
              </w:rPr>
              <w:t>576</w:t>
            </w:r>
            <w:r>
              <w:rPr>
                <w:rFonts w:ascii="Times New Roman" w:hAnsi="Times New Roman"/>
                <w:color w:val="000000" w:themeColor="text1"/>
                <w:szCs w:val="21"/>
                <w14:textFill>
                  <w14:solidFill>
                    <w14:schemeClr w14:val="tx1"/>
                  </w14:solidFill>
                </w14:textFill>
              </w:rPr>
              <w:t>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/a</w:t>
            </w:r>
          </w:p>
        </w:tc>
        <w:tc>
          <w:tcPr>
            <w:tcW w:w="2150"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排放浓度（mg/L）</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297</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182</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continue"/>
            <w:tcBorders>
              <w:tl2br w:val="nil"/>
              <w:tr2bl w:val="nil"/>
            </w:tcBorders>
            <w:vAlign w:val="center"/>
          </w:tcPr>
          <w:p>
            <w:pPr>
              <w:widowControl/>
              <w:jc w:val="center"/>
              <w:rPr>
                <w:rFonts w:ascii="Times New Roman" w:hAnsi="Times New Roman"/>
                <w:color w:val="000000" w:themeColor="text1"/>
                <w:szCs w:val="21"/>
                <w14:textFill>
                  <w14:solidFill>
                    <w14:schemeClr w14:val="tx1"/>
                  </w14:solidFill>
                </w14:textFill>
              </w:rPr>
            </w:pPr>
          </w:p>
        </w:tc>
        <w:tc>
          <w:tcPr>
            <w:tcW w:w="2150"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排放量(t/a)</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0.171</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0.105</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0.058</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0.017</w:t>
            </w:r>
          </w:p>
        </w:tc>
        <w:tc>
          <w:tcPr>
            <w:tcW w:w="1009"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0.0017</w:t>
            </w:r>
          </w:p>
        </w:tc>
      </w:tr>
    </w:tbl>
    <w:p>
      <w:pPr>
        <w:pStyle w:val="152"/>
        <w:spacing w:line="520" w:lineRule="exact"/>
        <w:ind w:firstLine="0"/>
        <w:jc w:val="left"/>
        <w:rPr>
          <w:rFonts w:ascii="Times New Roman"/>
          <w:bCs/>
          <w:color w:val="000000" w:themeColor="text1"/>
          <w14:textFill>
            <w14:solidFill>
              <w14:schemeClr w14:val="tx1"/>
            </w14:solidFill>
          </w14:textFill>
        </w:rPr>
      </w:pPr>
      <w:r>
        <w:rPr>
          <w:rFonts w:hint="eastAsia" w:ascii="Times New Roman" w:eastAsia="黑体" w:cs="Times New Roman"/>
          <w:b/>
          <w:color w:val="000000" w:themeColor="text1"/>
          <w:szCs w:val="24"/>
          <w:lang w:val="en-US" w:eastAsia="zh-CN"/>
          <w14:textFill>
            <w14:solidFill>
              <w14:schemeClr w14:val="tx1"/>
            </w14:solidFill>
          </w14:textFill>
        </w:rPr>
        <w:t>4</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2</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5.2废气</w:t>
      </w:r>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68" w:name="_Toc22786"/>
      <w:bookmarkStart w:id="269" w:name="_Toc5015"/>
      <w:bookmarkStart w:id="270" w:name="_Toc25565"/>
      <w:r>
        <w:rPr>
          <w:rFonts w:hint="eastAsia" w:ascii="Times New Roman" w:hAnsiTheme="minorEastAsia" w:eastAsiaTheme="minorEastAsia"/>
          <w:color w:val="000000" w:themeColor="text1"/>
          <w:sz w:val="24"/>
          <w:szCs w:val="24"/>
          <w14:textFill>
            <w14:solidFill>
              <w14:schemeClr w14:val="tx1"/>
            </w14:solidFill>
          </w14:textFill>
        </w:rPr>
        <w:t>本项目运营期废气主要包括溶盐、调浆过程中产生的投料粉尘，氟硅酸储罐、含氟废酸储槽、溶硅槽、氟硅酸合成槽进出料产生的呼吸废气，氟硅酸钠产品烘干废气。</w:t>
      </w:r>
      <w:bookmarkEnd w:id="268"/>
      <w:bookmarkEnd w:id="269"/>
      <w:bookmarkEnd w:id="270"/>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71" w:name="_Toc25286"/>
      <w:bookmarkStart w:id="272" w:name="_Toc5704"/>
      <w:bookmarkStart w:id="273" w:name="_Toc12107"/>
      <w:r>
        <w:rPr>
          <w:rFonts w:hint="eastAsia" w:ascii="Times New Roman" w:hAnsiTheme="minorEastAsia" w:eastAsiaTheme="minorEastAsia"/>
          <w:color w:val="000000" w:themeColor="text1"/>
          <w:sz w:val="24"/>
          <w:szCs w:val="24"/>
          <w14:textFill>
            <w14:solidFill>
              <w14:schemeClr w14:val="tx1"/>
            </w14:solidFill>
          </w14:textFill>
        </w:rPr>
        <w:t>（1）投料粉尘</w:t>
      </w:r>
      <w:bookmarkEnd w:id="271"/>
      <w:bookmarkEnd w:id="272"/>
      <w:bookmarkEnd w:id="273"/>
    </w:p>
    <w:p>
      <w:pPr>
        <w:pStyle w:val="380"/>
        <w:adjustRightInd w:val="0"/>
        <w:snapToGrid w:val="0"/>
        <w:spacing w:before="48" w:beforeLines="20" w:after="48" w:afterLines="20" w:line="520" w:lineRule="exact"/>
        <w:ind w:firstLine="480"/>
        <w:jc w:val="left"/>
        <w:outlineLvl w:val="2"/>
        <w:rPr>
          <w:rFonts w:ascii="Times New Roman" w:hAnsi="Times New Roman"/>
          <w:color w:val="000000" w:themeColor="text1"/>
          <w:sz w:val="24"/>
          <w:szCs w:val="24"/>
          <w14:textFill>
            <w14:solidFill>
              <w14:schemeClr w14:val="tx1"/>
            </w14:solidFill>
          </w14:textFill>
        </w:rPr>
      </w:pPr>
      <w:bookmarkStart w:id="274" w:name="_Toc12417"/>
      <w:bookmarkStart w:id="275" w:name="_Toc25077"/>
      <w:bookmarkStart w:id="276" w:name="_Toc18141"/>
      <w:r>
        <w:rPr>
          <w:rFonts w:ascii="Times New Roman" w:hAnsi="Times New Roman" w:eastAsiaTheme="minorEastAsia"/>
          <w:color w:val="000000" w:themeColor="text1"/>
          <w:sz w:val="24"/>
          <w:szCs w:val="24"/>
          <w14:textFill>
            <w14:solidFill>
              <w14:schemeClr w14:val="tx1"/>
            </w14:solidFill>
          </w14:textFill>
        </w:rPr>
        <w:t>本项目溶盐、调浆（氯化钠、熟石灰）投料过程中会有少量的粉尘产生，本项目氯化钠、熟石灰使用量总计为22950t/a，</w:t>
      </w:r>
      <w:r>
        <w:rPr>
          <w:rFonts w:ascii="Times New Roman" w:hAnsi="Times New Roman"/>
          <w:color w:val="000000" w:themeColor="text1"/>
          <w:sz w:val="24"/>
          <w14:textFill>
            <w14:solidFill>
              <w14:schemeClr w14:val="tx1"/>
            </w14:solidFill>
          </w14:textFill>
        </w:rPr>
        <w:t>参照《逸散性工业粉尘控制技术》中</w:t>
      </w:r>
      <w:r>
        <w:rPr>
          <w:rFonts w:hint="eastAsia" w:ascii="Times New Roman" w:hAnsi="Times New Roman"/>
          <w:color w:val="000000" w:themeColor="text1"/>
          <w:sz w:val="24"/>
          <w:lang w:eastAsia="zh-CN"/>
          <w14:textFill>
            <w14:solidFill>
              <w14:schemeClr w14:val="tx1"/>
            </w14:solidFill>
          </w14:textFill>
        </w:rPr>
        <w:t>砖厂</w:t>
      </w:r>
      <w:r>
        <w:rPr>
          <w:rFonts w:ascii="Times New Roman" w:hAnsi="Times New Roman"/>
          <w:color w:val="000000" w:themeColor="text1"/>
          <w:sz w:val="24"/>
          <w14:textFill>
            <w14:solidFill>
              <w14:schemeClr w14:val="tx1"/>
            </w14:solidFill>
          </w14:textFill>
        </w:rPr>
        <w:t>-石膏、铁矿石、粘土、石灰石、砂、煤等原料的卸料，投料粉尘产尘系数取0.2kg/t，则</w:t>
      </w:r>
      <w:r>
        <w:rPr>
          <w:rFonts w:hint="eastAsia" w:ascii="Times New Roman" w:hAnsi="Times New Roman"/>
          <w:color w:val="000000" w:themeColor="text1"/>
          <w:sz w:val="24"/>
          <w14:textFill>
            <w14:solidFill>
              <w14:schemeClr w14:val="tx1"/>
            </w14:solidFill>
          </w14:textFill>
        </w:rPr>
        <w:t>溶盐、调浆过程中</w:t>
      </w:r>
      <w:r>
        <w:rPr>
          <w:rFonts w:ascii="Times New Roman" w:hAnsi="Times New Roman"/>
          <w:color w:val="000000" w:themeColor="text1"/>
          <w:sz w:val="24"/>
          <w14:textFill>
            <w14:solidFill>
              <w14:schemeClr w14:val="tx1"/>
            </w14:solidFill>
          </w14:textFill>
        </w:rPr>
        <w:t>投料粉尘产生量为</w:t>
      </w:r>
      <w:r>
        <w:rPr>
          <w:rFonts w:hint="eastAsia" w:ascii="Times New Roman" w:hAnsi="Times New Roman"/>
          <w:color w:val="000000" w:themeColor="text1"/>
          <w:sz w:val="24"/>
          <w14:textFill>
            <w14:solidFill>
              <w14:schemeClr w14:val="tx1"/>
            </w14:solidFill>
          </w14:textFill>
        </w:rPr>
        <w:t>4.59</w:t>
      </w:r>
      <w:r>
        <w:rPr>
          <w:rFonts w:ascii="Times New Roman" w:hAnsi="Times New Roman"/>
          <w:color w:val="000000" w:themeColor="text1"/>
          <w:sz w:val="24"/>
          <w14:textFill>
            <w14:solidFill>
              <w14:schemeClr w14:val="tx1"/>
            </w14:solidFill>
          </w14:textFill>
        </w:rPr>
        <w:t>t/a，</w:t>
      </w:r>
      <w:r>
        <w:rPr>
          <w:rFonts w:hint="eastAsia" w:ascii="Times New Roman" w:hAnsi="Times New Roman"/>
          <w:color w:val="000000" w:themeColor="text1"/>
          <w:sz w:val="24"/>
          <w14:textFill>
            <w14:solidFill>
              <w14:schemeClr w14:val="tx1"/>
            </w14:solidFill>
          </w14:textFill>
        </w:rPr>
        <w:t>根据项目可行性研究报告，建设单位拟采用负压集气管道对溶盐槽、调浆槽内投料粉尘进行集中收集后接入1套中性尾气吸收系统（2级水洗+1级碱洗）处理后经15m高排气筒DA002排放。粉尘收集效率按90%计，除尘效率按95%计算，设计风量4000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/h，则投料粉尘有组织产生量为4.131t/a，产生速率0.574kg/h，产生浓度143.5mg/m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，有组织排放量为0.207t/a，排放速率0.029kg/h，排放浓度7.17mg/m</w:t>
      </w:r>
      <w:r>
        <w:rPr>
          <w:rFonts w:hint="eastAsia" w:ascii="Times New Roman" w:hAnsi="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。剩余未收集部分粉尘全部以无组织形式排放，则投料粉尘无组织产生量及排放量为0.459t/a。</w:t>
      </w:r>
      <w:bookmarkEnd w:id="274"/>
      <w:bookmarkEnd w:id="275"/>
      <w:bookmarkEnd w:id="276"/>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277" w:name="_Toc18979"/>
      <w:bookmarkStart w:id="278" w:name="_Toc9127"/>
      <w:bookmarkStart w:id="279" w:name="_Toc25410"/>
      <w:r>
        <w:rPr>
          <w:rFonts w:hint="eastAsia" w:ascii="Times New Roman" w:hAnsiTheme="minorEastAsia" w:eastAsiaTheme="minorEastAsia"/>
          <w:color w:val="000000" w:themeColor="text1"/>
          <w:sz w:val="24"/>
          <w:szCs w:val="24"/>
          <w14:textFill>
            <w14:solidFill>
              <w14:schemeClr w14:val="tx1"/>
            </w14:solidFill>
          </w14:textFill>
        </w:rPr>
        <w:t>（2）呼吸废气</w:t>
      </w:r>
      <w:bookmarkEnd w:id="277"/>
      <w:bookmarkEnd w:id="278"/>
      <w:bookmarkEnd w:id="279"/>
    </w:p>
    <w:p>
      <w:pPr>
        <w:pStyle w:val="380"/>
        <w:adjustRightInd w:val="0"/>
        <w:snapToGrid w:val="0"/>
        <w:spacing w:before="48" w:beforeLines="20" w:after="48" w:afterLines="20" w:line="520" w:lineRule="exact"/>
        <w:ind w:firstLine="480"/>
        <w:jc w:val="left"/>
        <w:outlineLvl w:val="2"/>
        <w:rPr>
          <w:rFonts w:ascii="Times New Roman" w:hAnsi="Times New Roman" w:eastAsiaTheme="minorEastAsia"/>
          <w:color w:val="000000" w:themeColor="text1"/>
          <w:sz w:val="24"/>
          <w:szCs w:val="24"/>
          <w14:textFill>
            <w14:solidFill>
              <w14:schemeClr w14:val="tx1"/>
            </w14:solidFill>
          </w14:textFill>
        </w:rPr>
      </w:pPr>
      <w:bookmarkStart w:id="280" w:name="_Toc7396"/>
      <w:bookmarkStart w:id="281" w:name="_Toc7342"/>
      <w:bookmarkStart w:id="282" w:name="_Toc12981"/>
      <w:r>
        <w:rPr>
          <w:rFonts w:hint="eastAsia" w:ascii="Times New Roman" w:hAnsi="Times New Roman" w:eastAsiaTheme="minorEastAsia"/>
          <w:color w:val="000000" w:themeColor="text1"/>
          <w:sz w:val="24"/>
          <w:szCs w:val="24"/>
          <w14:textFill>
            <w14:solidFill>
              <w14:schemeClr w14:val="tx1"/>
            </w14:solidFill>
          </w14:textFill>
        </w:rPr>
        <w:t>储罐贮运过程主要排放是呼吸损失（小呼吸）和工作损失（大呼吸）。呼吸口排放废气有两种情况，一是进出料时储罐呼吸作用引起的（大呼吸），二是外界环境温度变化引起的储罐呼吸作用（小呼吸）。“大呼吸”过程无组织排放指液体在容器与容器之间的转移（装卸过程）而发生的吸入或放出气体的现象，排出气体未相对饱和蒸汽。“小呼吸”损耗是由于温度和大气压力的变化引起罐内蒸气的膨胀和收缩而产生的蒸气排出（静置过程），它出现在罐内液面无任何变化的情况，是非人为干扰的自然排放方式。</w:t>
      </w:r>
      <w:bookmarkEnd w:id="280"/>
      <w:bookmarkEnd w:id="281"/>
      <w:bookmarkEnd w:id="282"/>
    </w:p>
    <w:p>
      <w:pPr>
        <w:pStyle w:val="431"/>
        <w:spacing w:line="50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fldChar w:fldCharType="begin"/>
      </w:r>
      <w:r>
        <w:rPr>
          <w:rFonts w:ascii="Times New Roman" w:hAnsi="Times New Roman" w:eastAsia="宋体"/>
          <w:color w:val="000000" w:themeColor="text1"/>
          <w14:textFill>
            <w14:solidFill>
              <w14:schemeClr w14:val="tx1"/>
            </w14:solidFill>
          </w14:textFill>
        </w:rPr>
        <w:instrText xml:space="preserve"> </w:instrText>
      </w:r>
      <w:r>
        <w:rPr>
          <w:rFonts w:hint="eastAsia" w:ascii="Times New Roman" w:hAnsi="Times New Roman" w:eastAsia="宋体"/>
          <w:color w:val="000000" w:themeColor="text1"/>
          <w14:textFill>
            <w14:solidFill>
              <w14:schemeClr w14:val="tx1"/>
            </w14:solidFill>
          </w14:textFill>
        </w:rPr>
        <w:instrText xml:space="preserve">= 1 \* GB3</w:instrText>
      </w:r>
      <w:r>
        <w:rPr>
          <w:rFonts w:ascii="Times New Roman" w:hAnsi="Times New Roman" w:eastAsia="宋体"/>
          <w:color w:val="000000" w:themeColor="text1"/>
          <w14:textFill>
            <w14:solidFill>
              <w14:schemeClr w14:val="tx1"/>
            </w14:solidFill>
          </w14:textFill>
        </w:rPr>
        <w:instrText xml:space="preserve"> </w:instrText>
      </w:r>
      <w:r>
        <w:rPr>
          <w:rFonts w:ascii="Times New Roman" w:hAnsi="Times New Roman" w:eastAsia="宋体"/>
          <w:color w:val="000000" w:themeColor="text1"/>
          <w14:textFill>
            <w14:solidFill>
              <w14:schemeClr w14:val="tx1"/>
            </w14:solidFill>
          </w14:textFill>
        </w:rPr>
        <w:fldChar w:fldCharType="separate"/>
      </w:r>
      <w:r>
        <w:rPr>
          <w:rFonts w:hint="eastAsia" w:ascii="Times New Roman" w:hAnsi="Times New Roman" w:eastAsia="宋体"/>
          <w:color w:val="000000" w:themeColor="text1"/>
          <w14:textFill>
            <w14:solidFill>
              <w14:schemeClr w14:val="tx1"/>
            </w14:solidFill>
          </w14:textFill>
        </w:rPr>
        <w:t>①</w:t>
      </w:r>
      <w:r>
        <w:rPr>
          <w:rFonts w:ascii="Times New Roman" w:hAnsi="Times New Roman" w:eastAsia="宋体"/>
          <w:color w:val="000000" w:themeColor="text1"/>
          <w14:textFill>
            <w14:solidFill>
              <w14:schemeClr w14:val="tx1"/>
            </w14:solidFill>
          </w14:textFill>
        </w:rPr>
        <w:fldChar w:fldCharType="end"/>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大呼吸</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损耗</w:t>
      </w:r>
    </w:p>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大呼吸</w:t>
      </w:r>
      <w:r>
        <w:rPr>
          <w:rFonts w:hint="eastAsia" w:ascii="Times New Roman" w:hAnsi="Times New Roman" w:eastAsia="宋体"/>
          <w:color w:val="000000" w:themeColor="text1"/>
          <w14:textFill>
            <w14:solidFill>
              <w14:schemeClr w14:val="tx1"/>
            </w14:solidFill>
          </w14:textFill>
        </w:rPr>
        <w:t>”过程无组织排放指液体在容器与容器之间的转移而发生的吸入或放出气体的现象，排出气体未相对饱和蒸汽。</w:t>
      </w:r>
    </w:p>
    <w:p>
      <w:pPr>
        <w:pStyle w:val="433"/>
        <w:spacing w:before="48"/>
        <w:ind w:firstLine="3120" w:firstLineChars="1300"/>
        <w:rPr>
          <w:rFonts w:ascii="Times New Roman" w:hAnsi="Times New Roman"/>
          <w:i/>
          <w:color w:val="000000" w:themeColor="text1"/>
          <w:vertAlign w:val="subscript"/>
          <w14:textFill>
            <w14:solidFill>
              <w14:schemeClr w14:val="tx1"/>
            </w14:solidFill>
          </w14:textFill>
        </w:rPr>
      </w:pPr>
      <w:r>
        <w:rPr>
          <w:rFonts w:ascii="Times New Roman" w:hAnsi="Times New Roman"/>
          <w:i/>
          <w:color w:val="000000" w:themeColor="text1"/>
          <w14:textFill>
            <w14:solidFill>
              <w14:schemeClr w14:val="tx1"/>
            </w14:solidFill>
          </w14:textFill>
        </w:rPr>
        <w:t>L</w:t>
      </w:r>
      <w:r>
        <w:rPr>
          <w:rFonts w:ascii="Times New Roman" w:hAnsi="Times New Roman"/>
          <w:i/>
          <w:color w:val="000000" w:themeColor="text1"/>
          <w:vertAlign w:val="subscript"/>
          <w14:textFill>
            <w14:solidFill>
              <w14:schemeClr w14:val="tx1"/>
            </w14:solidFill>
          </w14:textFill>
        </w:rPr>
        <w:t>W</w:t>
      </w:r>
      <w:r>
        <w:rPr>
          <w:rFonts w:ascii="Times New Roman" w:hAnsi="Times New Roman"/>
          <w:color w:val="000000" w:themeColor="text1"/>
          <w14:textFill>
            <w14:solidFill>
              <w14:schemeClr w14:val="tx1"/>
            </w14:solidFill>
          </w14:textFill>
        </w:rPr>
        <w:t>=4.188×10</w:t>
      </w:r>
      <w:r>
        <w:rPr>
          <w:rFonts w:ascii="Times New Roman" w:hAnsi="Times New Roman"/>
          <w:color w:val="000000" w:themeColor="text1"/>
          <w:vertAlign w:val="superscript"/>
          <w14:textFill>
            <w14:solidFill>
              <w14:schemeClr w14:val="tx1"/>
            </w14:solidFill>
          </w14:textFill>
        </w:rPr>
        <w:t>-7</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M</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P</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K</w:t>
      </w:r>
      <w:r>
        <w:rPr>
          <w:rFonts w:ascii="Times New Roman" w:hAnsi="Times New Roman"/>
          <w:i/>
          <w:color w:val="000000" w:themeColor="text1"/>
          <w:vertAlign w:val="subscript"/>
          <w14:textFill>
            <w14:solidFill>
              <w14:schemeClr w14:val="tx1"/>
            </w14:solidFill>
          </w14:textFill>
        </w:rPr>
        <w:t>N</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K</w:t>
      </w:r>
      <w:r>
        <w:rPr>
          <w:rFonts w:ascii="Times New Roman" w:hAnsi="Times New Roman"/>
          <w:i/>
          <w:color w:val="000000" w:themeColor="text1"/>
          <w:vertAlign w:val="subscript"/>
          <w14:textFill>
            <w14:solidFill>
              <w14:schemeClr w14:val="tx1"/>
            </w14:solidFill>
          </w14:textFill>
        </w:rPr>
        <w:t>C</w:t>
      </w:r>
    </w:p>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式中：L</w:t>
      </w:r>
      <w:r>
        <w:rPr>
          <w:rFonts w:hint="eastAsia" w:ascii="Times New Roman" w:hAnsi="Times New Roman" w:eastAsia="宋体"/>
          <w:color w:val="000000" w:themeColor="text1"/>
          <w:vertAlign w:val="subscript"/>
          <w14:textFill>
            <w14:solidFill>
              <w14:schemeClr w14:val="tx1"/>
            </w14:solidFill>
          </w14:textFill>
        </w:rPr>
        <w:t>W</w:t>
      </w:r>
      <w:r>
        <w:rPr>
          <w:rFonts w:hint="eastAsia" w:ascii="Times New Roman" w:hAnsi="Times New Roman" w:eastAsia="宋体"/>
          <w:color w:val="000000" w:themeColor="text1"/>
          <w14:textFill>
            <w14:solidFill>
              <w14:schemeClr w14:val="tx1"/>
            </w14:solidFill>
          </w14:textFill>
        </w:rPr>
        <w:t>-固定顶罐的工作损失（kg/m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投入量）；</w:t>
      </w:r>
    </w:p>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 xml:space="preserve">      K</w:t>
      </w:r>
      <w:r>
        <w:rPr>
          <w:rFonts w:hint="eastAsia" w:ascii="Times New Roman" w:hAnsi="Times New Roman" w:eastAsia="宋体"/>
          <w:color w:val="000000" w:themeColor="text1"/>
          <w:vertAlign w:val="subscript"/>
          <w14:textFill>
            <w14:solidFill>
              <w14:schemeClr w14:val="tx1"/>
            </w14:solidFill>
          </w14:textFill>
        </w:rPr>
        <w:t>N</w:t>
      </w:r>
      <w:r>
        <w:rPr>
          <w:rFonts w:hint="eastAsia" w:ascii="Times New Roman" w:hAnsi="Times New Roman" w:eastAsia="宋体"/>
          <w:color w:val="000000" w:themeColor="text1"/>
          <w14:textFill>
            <w14:solidFill>
              <w14:schemeClr w14:val="tx1"/>
            </w14:solidFill>
          </w14:textFill>
        </w:rPr>
        <w:t>-周转因子（无量纲），取值按年周转次数（K）确定，K&lt;=36，K</w:t>
      </w:r>
      <w:r>
        <w:rPr>
          <w:rFonts w:hint="eastAsia" w:ascii="Times New Roman" w:hAnsi="Times New Roman" w:eastAsia="宋体"/>
          <w:color w:val="000000" w:themeColor="text1"/>
          <w:vertAlign w:val="subscript"/>
          <w14:textFill>
            <w14:solidFill>
              <w14:schemeClr w14:val="tx1"/>
            </w14:solidFill>
          </w14:textFill>
        </w:rPr>
        <w:t>N</w:t>
      </w:r>
      <w:r>
        <w:rPr>
          <w:rFonts w:hint="eastAsia" w:ascii="Times New Roman" w:hAnsi="Times New Roman" w:eastAsia="宋体"/>
          <w:color w:val="000000" w:themeColor="text1"/>
          <w14:textFill>
            <w14:solidFill>
              <w14:schemeClr w14:val="tx1"/>
            </w14:solidFill>
          </w14:textFill>
        </w:rPr>
        <w:t>=1； 36&lt;K&lt;=220，K</w:t>
      </w:r>
      <w:r>
        <w:rPr>
          <w:rFonts w:hint="eastAsia" w:ascii="Times New Roman" w:hAnsi="Times New Roman" w:eastAsia="宋体"/>
          <w:color w:val="000000" w:themeColor="text1"/>
          <w:vertAlign w:val="subscript"/>
          <w14:textFill>
            <w14:solidFill>
              <w14:schemeClr w14:val="tx1"/>
            </w14:solidFill>
          </w14:textFill>
        </w:rPr>
        <w:t>N</w:t>
      </w:r>
      <w:r>
        <w:rPr>
          <w:rFonts w:hint="eastAsia" w:ascii="Times New Roman" w:hAnsi="Times New Roman" w:eastAsia="宋体"/>
          <w:color w:val="000000" w:themeColor="text1"/>
          <w14:textFill>
            <w14:solidFill>
              <w14:schemeClr w14:val="tx1"/>
            </w14:solidFill>
          </w14:textFill>
        </w:rPr>
        <w:t>=11.467×K-0.7026； K&gt;220，K</w:t>
      </w:r>
      <w:r>
        <w:rPr>
          <w:rFonts w:hint="eastAsia" w:ascii="Times New Roman" w:hAnsi="Times New Roman" w:eastAsia="宋体"/>
          <w:color w:val="000000" w:themeColor="text1"/>
          <w:vertAlign w:val="subscript"/>
          <w14:textFill>
            <w14:solidFill>
              <w14:schemeClr w14:val="tx1"/>
            </w14:solidFill>
          </w14:textFill>
        </w:rPr>
        <w:t>N</w:t>
      </w:r>
      <w:r>
        <w:rPr>
          <w:rFonts w:hint="eastAsia" w:ascii="Times New Roman" w:hAnsi="Times New Roman" w:eastAsia="宋体"/>
          <w:color w:val="000000" w:themeColor="text1"/>
          <w14:textFill>
            <w14:solidFill>
              <w14:schemeClr w14:val="tx1"/>
            </w14:solidFill>
          </w14:textFill>
        </w:rPr>
        <w:t>=0.26。</w:t>
      </w:r>
    </w:p>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Kc：产品因子（本项目取1.0）；</w:t>
      </w:r>
    </w:p>
    <w:p>
      <w:pPr>
        <w:pStyle w:val="431"/>
        <w:spacing w:line="54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本项目储罐大呼吸排放计算公式参数详见表</w:t>
      </w:r>
      <w:r>
        <w:rPr>
          <w:rFonts w:hint="eastAsia" w:ascii="Times New Roman" w:hAnsi="Times New Roman" w:eastAsia="宋体"/>
          <w:color w:val="000000" w:themeColor="text1"/>
          <w:lang w:val="en-US" w:eastAsia="zh-CN"/>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.2-6。</w:t>
      </w:r>
    </w:p>
    <w:p>
      <w:pPr>
        <w:pStyle w:val="152"/>
        <w:spacing w:line="520" w:lineRule="exact"/>
        <w:ind w:firstLine="0"/>
        <w:jc w:val="center"/>
        <w:rPr>
          <w:rFonts w:ascii="Times New Roman"/>
          <w:b/>
          <w:color w:val="000000" w:themeColor="text1"/>
          <w14:textFill>
            <w14:solidFill>
              <w14:schemeClr w14:val="tx1"/>
            </w14:solidFill>
          </w14:textFill>
        </w:rPr>
      </w:pPr>
      <w:r>
        <w:rPr>
          <w:rFonts w:hint="eastAsia" w:ascii="Times New Roman"/>
          <w:b/>
          <w:color w:val="000000" w:themeColor="text1"/>
          <w14:textFill>
            <w14:solidFill>
              <w14:schemeClr w14:val="tx1"/>
            </w14:solidFill>
          </w14:textFill>
        </w:rPr>
        <w:t>表</w:t>
      </w:r>
      <w:r>
        <w:rPr>
          <w:rFonts w:hint="eastAsia" w:ascii="Times New Roman"/>
          <w:b/>
          <w:color w:val="000000" w:themeColor="text1"/>
          <w:lang w:val="en-US" w:eastAsia="zh-CN"/>
          <w14:textFill>
            <w14:solidFill>
              <w14:schemeClr w14:val="tx1"/>
            </w14:solidFill>
          </w14:textFill>
        </w:rPr>
        <w:t>4</w:t>
      </w:r>
      <w:r>
        <w:rPr>
          <w:rFonts w:hint="eastAsia" w:ascii="Times New Roman"/>
          <w:b/>
          <w:color w:val="000000" w:themeColor="text1"/>
          <w14:textFill>
            <w14:solidFill>
              <w14:schemeClr w14:val="tx1"/>
            </w14:solidFill>
          </w14:textFill>
        </w:rPr>
        <w:t>.2-6 储罐大呼吸（转移过程）计算参数及结果</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04"/>
        <w:gridCol w:w="1513"/>
        <w:gridCol w:w="903"/>
        <w:gridCol w:w="731"/>
        <w:gridCol w:w="883"/>
        <w:gridCol w:w="475"/>
        <w:gridCol w:w="381"/>
        <w:gridCol w:w="268"/>
        <w:gridCol w:w="972"/>
        <w:gridCol w:w="793"/>
        <w:gridCol w:w="9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04"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位置</w:t>
            </w:r>
          </w:p>
        </w:tc>
        <w:tc>
          <w:tcPr>
            <w:tcW w:w="1513"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储罐</w:t>
            </w:r>
          </w:p>
        </w:tc>
        <w:tc>
          <w:tcPr>
            <w:tcW w:w="3641" w:type="dxa"/>
            <w:gridSpan w:val="6"/>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计算参数</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计算</w:t>
            </w:r>
            <w:r>
              <w:rPr>
                <w:rFonts w:ascii="Times New Roman" w:hAnsi="Times New Roman"/>
                <w:color w:val="000000" w:themeColor="text1"/>
                <w:kern w:val="0"/>
                <w:sz w:val="18"/>
                <w:szCs w:val="18"/>
                <w14:textFill>
                  <w14:solidFill>
                    <w14:schemeClr w14:val="tx1"/>
                  </w14:solidFill>
                </w14:textFill>
              </w:rPr>
              <w:t>L</w:t>
            </w:r>
            <w:r>
              <w:rPr>
                <w:rFonts w:ascii="Times New Roman" w:hAnsi="Times New Roman"/>
                <w:color w:val="000000" w:themeColor="text1"/>
                <w:kern w:val="0"/>
                <w:sz w:val="12"/>
                <w:szCs w:val="12"/>
                <w14:textFill>
                  <w14:solidFill>
                    <w14:schemeClr w14:val="tx1"/>
                  </w14:solidFill>
                </w14:textFill>
              </w:rPr>
              <w:t>W</w:t>
            </w:r>
          </w:p>
        </w:tc>
        <w:tc>
          <w:tcPr>
            <w:tcW w:w="79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中转数量</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产生量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04"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513"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9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mol</w:t>
            </w:r>
            <w:r>
              <w:rPr>
                <w:rFonts w:hint="eastAsia" w:ascii="宋体" w:hAnsi="宋体"/>
                <w:color w:val="000000" w:themeColor="text1"/>
                <w:kern w:val="0"/>
                <w:sz w:val="18"/>
                <w:szCs w:val="18"/>
                <w14:textFill>
                  <w14:solidFill>
                    <w14:schemeClr w14:val="tx1"/>
                  </w14:solidFill>
                </w14:textFill>
              </w:rPr>
              <w:t>）</w:t>
            </w:r>
          </w:p>
        </w:tc>
        <w:tc>
          <w:tcPr>
            <w:tcW w:w="73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P</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Pa</w:t>
            </w:r>
            <w:r>
              <w:rPr>
                <w:rFonts w:hint="eastAsia" w:ascii="宋体" w:hAnsi="宋体"/>
                <w:color w:val="000000" w:themeColor="text1"/>
                <w:kern w:val="0"/>
                <w:sz w:val="18"/>
                <w:szCs w:val="18"/>
                <w14:textFill>
                  <w14:solidFill>
                    <w14:schemeClr w14:val="tx1"/>
                  </w14:solidFill>
                </w14:textFill>
              </w:rPr>
              <w:t>）</w:t>
            </w:r>
          </w:p>
        </w:tc>
        <w:tc>
          <w:tcPr>
            <w:tcW w:w="88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p>
        </w:tc>
        <w:tc>
          <w:tcPr>
            <w:tcW w:w="4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K</w:t>
            </w:r>
          </w:p>
        </w:tc>
        <w:tc>
          <w:tcPr>
            <w:tcW w:w="38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K</w:t>
            </w:r>
            <w:r>
              <w:rPr>
                <w:rFonts w:ascii="Times New Roman" w:hAnsi="Times New Roman"/>
                <w:color w:val="000000" w:themeColor="text1"/>
                <w:kern w:val="0"/>
                <w:sz w:val="18"/>
                <w:szCs w:val="18"/>
                <w:vertAlign w:val="subscript"/>
                <w14:textFill>
                  <w14:solidFill>
                    <w14:schemeClr w14:val="tx1"/>
                  </w14:solidFill>
                </w14:textFill>
              </w:rPr>
              <w:t>N</w:t>
            </w:r>
          </w:p>
        </w:tc>
        <w:tc>
          <w:tcPr>
            <w:tcW w:w="26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Kc</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kg/m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w:t>
            </w:r>
          </w:p>
        </w:tc>
        <w:tc>
          <w:tcPr>
            <w:tcW w:w="7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m</w:t>
            </w:r>
            <w:r>
              <w:rPr>
                <w:rFonts w:ascii="Times New Roman" w:hAnsi="Times New Roman"/>
                <w:color w:val="000000" w:themeColor="text1"/>
                <w:kern w:val="0"/>
                <w:sz w:val="18"/>
                <w:szCs w:val="18"/>
                <w:vertAlign w:val="superscript"/>
                <w14:textFill>
                  <w14:solidFill>
                    <w14:schemeClr w14:val="tx1"/>
                  </w14:solidFill>
                </w14:textFill>
              </w:rPr>
              <w:t>3</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kg/a</w:t>
            </w:r>
            <w:r>
              <w:rPr>
                <w:rFonts w:ascii="Times New Roman" w:hAnsi="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04"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罐区</w:t>
            </w:r>
          </w:p>
        </w:tc>
        <w:tc>
          <w:tcPr>
            <w:tcW w:w="151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15%氟硅酸</w:t>
            </w:r>
          </w:p>
        </w:tc>
        <w:tc>
          <w:tcPr>
            <w:tcW w:w="9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144</w:t>
            </w:r>
          </w:p>
        </w:tc>
        <w:tc>
          <w:tcPr>
            <w:tcW w:w="73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78</w:t>
            </w:r>
          </w:p>
        </w:tc>
        <w:tc>
          <w:tcPr>
            <w:tcW w:w="88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w:t>
            </w:r>
          </w:p>
        </w:tc>
        <w:tc>
          <w:tcPr>
            <w:tcW w:w="4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223</w:t>
            </w:r>
          </w:p>
        </w:tc>
        <w:tc>
          <w:tcPr>
            <w:tcW w:w="38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0.26</w:t>
            </w:r>
          </w:p>
        </w:tc>
        <w:tc>
          <w:tcPr>
            <w:tcW w:w="268" w:type="dxa"/>
            <w:shd w:val="clear" w:color="auto" w:fill="auto"/>
            <w:vAlign w:val="center"/>
          </w:tcPr>
          <w:p>
            <w:pPr>
              <w:widowControl/>
              <w:jc w:val="center"/>
              <w:rPr>
                <w:rFonts w:ascii="宋体" w:hAnsi="宋体" w:cs="宋体"/>
                <w:color w:val="000000" w:themeColor="text1"/>
                <w:kern w:val="0"/>
                <w:sz w:val="22"/>
                <w:szCs w:val="22"/>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0.0012</w:t>
            </w:r>
            <w:r>
              <w:rPr>
                <w:rFonts w:ascii="Times New Roman" w:hAnsi="Times New Roman"/>
                <w:color w:val="000000" w:themeColor="text1"/>
                <w:kern w:val="0"/>
                <w:sz w:val="18"/>
                <w:szCs w:val="18"/>
                <w14:textFill>
                  <w14:solidFill>
                    <w14:schemeClr w14:val="tx1"/>
                  </w14:solidFill>
                </w14:textFill>
              </w:rPr>
              <w:t xml:space="preserve"> </w:t>
            </w:r>
          </w:p>
        </w:tc>
        <w:tc>
          <w:tcPr>
            <w:tcW w:w="7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17647</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04" w:type="dxa"/>
            <w:vMerge w:val="continue"/>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p>
        </w:tc>
        <w:tc>
          <w:tcPr>
            <w:tcW w:w="151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2%氢氟酸</w:t>
            </w:r>
          </w:p>
        </w:tc>
        <w:tc>
          <w:tcPr>
            <w:tcW w:w="9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w:t>
            </w:r>
          </w:p>
        </w:tc>
        <w:tc>
          <w:tcPr>
            <w:tcW w:w="73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0.067</w:t>
            </w:r>
          </w:p>
        </w:tc>
        <w:tc>
          <w:tcPr>
            <w:tcW w:w="88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w:t>
            </w:r>
          </w:p>
        </w:tc>
        <w:tc>
          <w:tcPr>
            <w:tcW w:w="4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223</w:t>
            </w:r>
          </w:p>
        </w:tc>
        <w:tc>
          <w:tcPr>
            <w:tcW w:w="38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0.26</w:t>
            </w:r>
          </w:p>
        </w:tc>
        <w:tc>
          <w:tcPr>
            <w:tcW w:w="26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1.46×10</w:t>
            </w:r>
            <w:r>
              <w:rPr>
                <w:rFonts w:hint="eastAsia" w:ascii="Times New Roman" w:hAnsi="Times New Roman"/>
                <w:color w:val="000000" w:themeColor="text1"/>
                <w:kern w:val="0"/>
                <w:sz w:val="18"/>
                <w:szCs w:val="18"/>
                <w:vertAlign w:val="superscript"/>
                <w14:textFill>
                  <w14:solidFill>
                    <w14:schemeClr w14:val="tx1"/>
                  </w14:solidFill>
                </w14:textFill>
              </w:rPr>
              <w:t>-7</w:t>
            </w:r>
          </w:p>
        </w:tc>
        <w:tc>
          <w:tcPr>
            <w:tcW w:w="7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2353</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04"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罐区</w:t>
            </w:r>
          </w:p>
        </w:tc>
        <w:tc>
          <w:tcPr>
            <w:tcW w:w="151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20%氟硅酸</w:t>
            </w:r>
          </w:p>
        </w:tc>
        <w:tc>
          <w:tcPr>
            <w:tcW w:w="9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144</w:t>
            </w:r>
          </w:p>
        </w:tc>
        <w:tc>
          <w:tcPr>
            <w:tcW w:w="73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89</w:t>
            </w:r>
          </w:p>
        </w:tc>
        <w:tc>
          <w:tcPr>
            <w:tcW w:w="88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w:t>
            </w:r>
          </w:p>
        </w:tc>
        <w:tc>
          <w:tcPr>
            <w:tcW w:w="4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443</w:t>
            </w:r>
          </w:p>
        </w:tc>
        <w:tc>
          <w:tcPr>
            <w:tcW w:w="38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0.26</w:t>
            </w:r>
          </w:p>
        </w:tc>
        <w:tc>
          <w:tcPr>
            <w:tcW w:w="26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0.0014</w:t>
            </w:r>
          </w:p>
        </w:tc>
        <w:tc>
          <w:tcPr>
            <w:tcW w:w="7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39850</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55.79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204"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氟硅酸钠</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生产车间</w:t>
            </w:r>
          </w:p>
        </w:tc>
        <w:tc>
          <w:tcPr>
            <w:tcW w:w="151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8%盐酸</w:t>
            </w:r>
          </w:p>
        </w:tc>
        <w:tc>
          <w:tcPr>
            <w:tcW w:w="9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36.5</w:t>
            </w:r>
          </w:p>
        </w:tc>
        <w:tc>
          <w:tcPr>
            <w:tcW w:w="73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0.941</w:t>
            </w:r>
          </w:p>
        </w:tc>
        <w:tc>
          <w:tcPr>
            <w:tcW w:w="88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2.8</w:t>
            </w:r>
          </w:p>
        </w:tc>
        <w:tc>
          <w:tcPr>
            <w:tcW w:w="4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4153</w:t>
            </w:r>
          </w:p>
        </w:tc>
        <w:tc>
          <w:tcPr>
            <w:tcW w:w="38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0.26</w:t>
            </w:r>
          </w:p>
        </w:tc>
        <w:tc>
          <w:tcPr>
            <w:tcW w:w="26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3.74×10</w:t>
            </w:r>
            <w:r>
              <w:rPr>
                <w:rFonts w:hint="eastAsia" w:ascii="Times New Roman" w:hAnsi="Times New Roman"/>
                <w:color w:val="000000" w:themeColor="text1"/>
                <w:kern w:val="0"/>
                <w:sz w:val="18"/>
                <w:szCs w:val="18"/>
                <w:vertAlign w:val="superscript"/>
                <w14:textFill>
                  <w14:solidFill>
                    <w14:schemeClr w14:val="tx1"/>
                  </w14:solidFill>
                </w14:textFill>
              </w:rPr>
              <w:t>-6</w:t>
            </w:r>
          </w:p>
        </w:tc>
        <w:tc>
          <w:tcPr>
            <w:tcW w:w="7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83060</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0.31</w:t>
            </w:r>
            <w:r>
              <w:rPr>
                <w:rFonts w:ascii="Times New Roman" w:hAnsi="Times New Roman"/>
                <w:color w:val="000000" w:themeColor="text1"/>
                <w:kern w:val="0"/>
                <w:sz w:val="18"/>
                <w:szCs w:val="18"/>
                <w14:textFill>
                  <w14:solidFill>
                    <w14:schemeClr w14:val="tx1"/>
                  </w14:solidFill>
                </w14:textFill>
              </w:rPr>
              <w:t xml:space="preserve"> </w:t>
            </w:r>
          </w:p>
        </w:tc>
      </w:tr>
    </w:tbl>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w:t>
      </w:r>
      <w:r>
        <w:rPr>
          <w:rFonts w:ascii="Times New Roman" w:hAnsi="Times New Roman" w:eastAsia="宋体"/>
          <w:color w:val="000000" w:themeColor="text1"/>
          <w14:textFill>
            <w14:solidFill>
              <w14:schemeClr w14:val="tx1"/>
            </w14:solidFill>
          </w14:textFill>
        </w:rPr>
        <w:t>小呼吸</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损耗</w:t>
      </w:r>
    </w:p>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小呼吸</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损耗是由于温度和大气压力的变化引起罐内蒸气的膨胀和收缩而产生的蒸气排出，它出现在罐内液面无任何变化的情况，是非人为干扰的自然排放方式。</w:t>
      </w:r>
    </w:p>
    <w:p>
      <w:pPr>
        <w:pStyle w:val="431"/>
        <w:spacing w:line="500" w:lineRule="exact"/>
        <w:ind w:firstLine="960" w:firstLineChars="400"/>
        <w:rPr>
          <w:rFonts w:ascii="Times New Roman" w:hAnsi="Times New Roman"/>
          <w:i/>
          <w:color w:val="000000" w:themeColor="text1"/>
          <w:vertAlign w:val="subscript"/>
          <w14:textFill>
            <w14:solidFill>
              <w14:schemeClr w14:val="tx1"/>
            </w14:solidFill>
          </w14:textFill>
        </w:rPr>
      </w:pPr>
      <w:r>
        <w:rPr>
          <w:rFonts w:ascii="Times New Roman" w:hAnsi="Times New Roman"/>
          <w:i/>
          <w:color w:val="000000" w:themeColor="text1"/>
          <w14:textFill>
            <w14:solidFill>
              <w14:schemeClr w14:val="tx1"/>
            </w14:solidFill>
          </w14:textFill>
        </w:rPr>
        <w:t>L</w:t>
      </w:r>
      <w:r>
        <w:rPr>
          <w:rFonts w:ascii="Times New Roman" w:hAnsi="Times New Roman"/>
          <w:i/>
          <w:color w:val="000000" w:themeColor="text1"/>
          <w:vertAlign w:val="subscript"/>
          <w14:textFill>
            <w14:solidFill>
              <w14:schemeClr w14:val="tx1"/>
            </w14:solidFill>
          </w14:textFill>
        </w:rPr>
        <w:t>B</w:t>
      </w:r>
      <w:r>
        <w:rPr>
          <w:rFonts w:ascii="Times New Roman" w:hAnsi="Times New Roman"/>
          <w:color w:val="000000" w:themeColor="text1"/>
          <w14:textFill>
            <w14:solidFill>
              <w14:schemeClr w14:val="tx1"/>
            </w14:solidFill>
          </w14:textFill>
        </w:rPr>
        <w:t>=0.191×</w:t>
      </w:r>
      <w:r>
        <w:rPr>
          <w:rFonts w:ascii="Times New Roman" w:hAnsi="Times New Roman"/>
          <w:i/>
          <w:color w:val="000000" w:themeColor="text1"/>
          <w14:textFill>
            <w14:solidFill>
              <w14:schemeClr w14:val="tx1"/>
            </w14:solidFill>
          </w14:textFill>
        </w:rPr>
        <w:t>M</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P</w:t>
      </w:r>
      <w:r>
        <w:rPr>
          <w:rFonts w:ascii="Times New Roman" w:hAnsi="Times New Roman"/>
          <w:color w:val="000000" w:themeColor="text1"/>
          <w14:textFill>
            <w14:solidFill>
              <w14:schemeClr w14:val="tx1"/>
            </w14:solidFill>
          </w14:textFill>
        </w:rPr>
        <w:t>/（100910-</w:t>
      </w:r>
      <w:r>
        <w:rPr>
          <w:rFonts w:ascii="Times New Roman" w:hAnsi="Times New Roman"/>
          <w:i/>
          <w:color w:val="000000" w:themeColor="text1"/>
          <w14:textFill>
            <w14:solidFill>
              <w14:schemeClr w14:val="tx1"/>
            </w14:solidFill>
          </w14:textFill>
        </w:rPr>
        <w:t>P</w:t>
      </w:r>
      <w:r>
        <w:rPr>
          <w:rFonts w:ascii="Times New Roman" w:hAnsi="Times New Roman"/>
          <w:color w:val="000000" w:themeColor="text1"/>
          <w14:textFill>
            <w14:solidFill>
              <w14:schemeClr w14:val="tx1"/>
            </w14:solidFill>
          </w14:textFill>
        </w:rPr>
        <w:t>））</w:t>
      </w:r>
      <w:r>
        <w:rPr>
          <w:rFonts w:ascii="Times New Roman" w:hAnsi="Times New Roman"/>
          <w:color w:val="000000" w:themeColor="text1"/>
          <w:vertAlign w:val="superscript"/>
          <w14:textFill>
            <w14:solidFill>
              <w14:schemeClr w14:val="tx1"/>
            </w14:solidFill>
          </w14:textFill>
        </w:rPr>
        <w:t>0.68</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D</w:t>
      </w:r>
      <w:r>
        <w:rPr>
          <w:rFonts w:ascii="Times New Roman" w:hAnsi="Times New Roman"/>
          <w:color w:val="000000" w:themeColor="text1"/>
          <w:vertAlign w:val="superscript"/>
          <w14:textFill>
            <w14:solidFill>
              <w14:schemeClr w14:val="tx1"/>
            </w14:solidFill>
          </w14:textFill>
        </w:rPr>
        <w:t>1.73</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H</w:t>
      </w:r>
      <w:r>
        <w:rPr>
          <w:rFonts w:ascii="Times New Roman" w:hAnsi="Times New Roman"/>
          <w:color w:val="000000" w:themeColor="text1"/>
          <w:vertAlign w:val="superscript"/>
          <w14:textFill>
            <w14:solidFill>
              <w14:schemeClr w14:val="tx1"/>
            </w14:solidFill>
          </w14:textFill>
        </w:rPr>
        <w:t>0.51</w:t>
      </w:r>
      <w:r>
        <w:rPr>
          <w:rFonts w:ascii="Times New Roman" w:hAnsi="Times New Roman"/>
          <w:color w:val="000000" w:themeColor="text1"/>
          <w14:textFill>
            <w14:solidFill>
              <w14:schemeClr w14:val="tx1"/>
            </w14:solidFill>
          </w14:textFill>
        </w:rPr>
        <w:t>×ΔT</w:t>
      </w:r>
      <w:r>
        <w:rPr>
          <w:rFonts w:ascii="Times New Roman" w:hAnsi="Times New Roman"/>
          <w:color w:val="000000" w:themeColor="text1"/>
          <w:vertAlign w:val="superscript"/>
          <w14:textFill>
            <w14:solidFill>
              <w14:schemeClr w14:val="tx1"/>
            </w14:solidFill>
          </w14:textFill>
        </w:rPr>
        <w:t>0.45</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F</w:t>
      </w:r>
      <w:r>
        <w:rPr>
          <w:rFonts w:ascii="Times New Roman" w:hAnsi="Times New Roman"/>
          <w:i/>
          <w:color w:val="000000" w:themeColor="text1"/>
          <w:vertAlign w:val="subscript"/>
          <w14:textFill>
            <w14:solidFill>
              <w14:schemeClr w14:val="tx1"/>
            </w14:solidFill>
          </w14:textFill>
        </w:rPr>
        <w:t>P</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C</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K</w:t>
      </w:r>
      <w:r>
        <w:rPr>
          <w:rFonts w:ascii="Times New Roman" w:hAnsi="Times New Roman"/>
          <w:i/>
          <w:color w:val="000000" w:themeColor="text1"/>
          <w:vertAlign w:val="subscript"/>
          <w14:textFill>
            <w14:solidFill>
              <w14:schemeClr w14:val="tx1"/>
            </w14:solidFill>
          </w14:textFill>
        </w:rPr>
        <w:t>C</w:t>
      </w:r>
    </w:p>
    <w:p>
      <w:pPr>
        <w:pStyle w:val="431"/>
        <w:spacing w:line="50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式中：L</w:t>
      </w:r>
      <w:r>
        <w:rPr>
          <w:rFonts w:ascii="Times New Roman" w:hAnsi="Times New Roman" w:eastAsia="宋体"/>
          <w:color w:val="000000" w:themeColor="text1"/>
          <w:vertAlign w:val="subscript"/>
          <w14:textFill>
            <w14:solidFill>
              <w14:schemeClr w14:val="tx1"/>
            </w14:solidFill>
          </w14:textFill>
        </w:rPr>
        <w:t>B</w:t>
      </w:r>
      <w:r>
        <w:rPr>
          <w:rFonts w:ascii="Times New Roman" w:hAnsi="Times New Roman" w:eastAsia="宋体"/>
          <w:color w:val="000000" w:themeColor="text1"/>
          <w14:textFill>
            <w14:solidFill>
              <w14:schemeClr w14:val="tx1"/>
            </w14:solidFill>
          </w14:textFill>
        </w:rPr>
        <w:t>：固定顶罐的呼吸排放量（Kg/a）；</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M：储罐内蒸气的分子量</w:t>
      </w:r>
      <w:r>
        <w:rPr>
          <w:rFonts w:hint="eastAsia" w:ascii="Times New Roman" w:hAnsi="Times New Roman" w:eastAsia="宋体"/>
          <w:color w:val="000000" w:themeColor="text1"/>
          <w14:textFill>
            <w14:solidFill>
              <w14:schemeClr w14:val="tx1"/>
            </w14:solidFill>
          </w14:textFill>
        </w:rPr>
        <w:t>（g/mol）</w:t>
      </w:r>
      <w:r>
        <w:rPr>
          <w:rFonts w:ascii="Times New Roman" w:hAnsi="Times New Roman" w:eastAsia="宋体"/>
          <w:color w:val="000000" w:themeColor="text1"/>
          <w14:textFill>
            <w14:solidFill>
              <w14:schemeClr w14:val="tx1"/>
            </w14:solidFill>
          </w14:textFill>
        </w:rPr>
        <w:t>；</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P：在大量液体状态下，真实的蒸气压力（Pa）；</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D：罐的直径（m）；</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H一平均蒸气空间高度（m），取0.3；</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Cambria Math" w:hAnsi="Cambria Math" w:eastAsia="宋体" w:cs="Cambria Math"/>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T：一天之内的平均温度差（</w:t>
      </w:r>
      <w:r>
        <w:rPr>
          <w:rFonts w:hint="eastAsia" w:ascii="宋体" w:hAnsi="宋体" w:eastAsia="宋体" w:cs="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，取10℃</w:t>
      </w:r>
      <w:r>
        <w:rPr>
          <w:rFonts w:ascii="Times New Roman" w:hAnsi="Times New Roman" w:eastAsia="宋体"/>
          <w:color w:val="000000" w:themeColor="text1"/>
          <w14:textFill>
            <w14:solidFill>
              <w14:schemeClr w14:val="tx1"/>
            </w14:solidFill>
          </w14:textFill>
        </w:rPr>
        <w:t>；</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Kc：产品因子（取1.0）</w:t>
      </w:r>
      <w:r>
        <w:rPr>
          <w:rFonts w:hint="eastAsia" w:ascii="Times New Roman" w:hAnsi="Times New Roman" w:eastAsia="宋体"/>
          <w:color w:val="000000" w:themeColor="text1"/>
          <w14:textFill>
            <w14:solidFill>
              <w14:schemeClr w14:val="tx1"/>
            </w14:solidFill>
          </w14:textFill>
        </w:rPr>
        <w:t>；</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Fp：涂层因子（无量纲），取值在1~1.5，取1.3。</w:t>
      </w:r>
    </w:p>
    <w:p>
      <w:pPr>
        <w:pStyle w:val="431"/>
        <w:spacing w:line="500" w:lineRule="exact"/>
        <w:ind w:firstLine="1200" w:firstLineChars="5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用于小直径罐的调节因子（无量纲），直径在0~9m之间的罐体，C=1-0.0123（D-9）</w:t>
      </w:r>
      <w:r>
        <w:rPr>
          <w:rFonts w:ascii="Times New Roman" w:hAnsi="Times New Roman" w:eastAsia="宋体"/>
          <w:color w:val="000000" w:themeColor="text1"/>
          <w:vertAlign w:val="super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，罐径大于9m的C=1。</w:t>
      </w:r>
    </w:p>
    <w:p>
      <w:pPr>
        <w:pStyle w:val="431"/>
        <w:spacing w:line="540" w:lineRule="exact"/>
        <w:rPr>
          <w:rFonts w:ascii="Times New Roman"/>
          <w:b/>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本项目储罐小呼吸排放计算公式参数详见表</w:t>
      </w:r>
      <w:r>
        <w:rPr>
          <w:rFonts w:hint="eastAsia" w:ascii="Times New Roman" w:hAnsi="Times New Roman" w:eastAsia="宋体"/>
          <w:color w:val="000000" w:themeColor="text1"/>
          <w:lang w:val="en-US" w:eastAsia="zh-CN"/>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.2-7。</w:t>
      </w:r>
    </w:p>
    <w:p>
      <w:pPr>
        <w:pStyle w:val="152"/>
        <w:spacing w:line="520" w:lineRule="exact"/>
        <w:ind w:firstLine="0"/>
        <w:jc w:val="center"/>
        <w:rPr>
          <w:rFonts w:ascii="Times New Roman"/>
          <w:b/>
          <w:color w:val="000000" w:themeColor="text1"/>
          <w14:textFill>
            <w14:solidFill>
              <w14:schemeClr w14:val="tx1"/>
            </w14:solidFill>
          </w14:textFill>
        </w:rPr>
      </w:pPr>
      <w:r>
        <w:rPr>
          <w:rFonts w:hint="eastAsia" w:ascii="Times New Roman"/>
          <w:b/>
          <w:color w:val="000000" w:themeColor="text1"/>
          <w14:textFill>
            <w14:solidFill>
              <w14:schemeClr w14:val="tx1"/>
            </w14:solidFill>
          </w14:textFill>
        </w:rPr>
        <w:t>表</w:t>
      </w:r>
      <w:r>
        <w:rPr>
          <w:rFonts w:hint="eastAsia" w:ascii="Times New Roman"/>
          <w:b/>
          <w:color w:val="000000" w:themeColor="text1"/>
          <w:lang w:val="en-US" w:eastAsia="zh-CN"/>
          <w14:textFill>
            <w14:solidFill>
              <w14:schemeClr w14:val="tx1"/>
            </w14:solidFill>
          </w14:textFill>
        </w:rPr>
        <w:t>4</w:t>
      </w:r>
      <w:r>
        <w:rPr>
          <w:rFonts w:hint="eastAsia" w:ascii="Times New Roman"/>
          <w:b/>
          <w:color w:val="000000" w:themeColor="text1"/>
          <w14:textFill>
            <w14:solidFill>
              <w14:schemeClr w14:val="tx1"/>
            </w14:solidFill>
          </w14:textFill>
        </w:rPr>
        <w:t>.2-7 储罐小呼吸计算参数及结果</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627"/>
        <w:gridCol w:w="1177"/>
        <w:gridCol w:w="761"/>
        <w:gridCol w:w="709"/>
        <w:gridCol w:w="567"/>
        <w:gridCol w:w="850"/>
        <w:gridCol w:w="567"/>
        <w:gridCol w:w="425"/>
        <w:gridCol w:w="426"/>
        <w:gridCol w:w="567"/>
        <w:gridCol w:w="850"/>
        <w:gridCol w:w="766"/>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627"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位置</w:t>
            </w:r>
          </w:p>
        </w:tc>
        <w:tc>
          <w:tcPr>
            <w:tcW w:w="1177"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储罐</w:t>
            </w:r>
          </w:p>
        </w:tc>
        <w:tc>
          <w:tcPr>
            <w:tcW w:w="4872" w:type="dxa"/>
            <w:gridSpan w:val="8"/>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计算参数</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计算结果</w:t>
            </w:r>
          </w:p>
        </w:tc>
        <w:tc>
          <w:tcPr>
            <w:tcW w:w="7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储罐数量</w:t>
            </w:r>
          </w:p>
        </w:tc>
        <w:tc>
          <w:tcPr>
            <w:tcW w:w="8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627"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177"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6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mol</w:t>
            </w:r>
            <w:r>
              <w:rPr>
                <w:rFonts w:hint="eastAsia" w:ascii="宋体" w:hAnsi="宋体"/>
                <w:color w:val="000000" w:themeColor="text1"/>
                <w:kern w:val="0"/>
                <w:sz w:val="18"/>
                <w:szCs w:val="18"/>
                <w14:textFill>
                  <w14:solidFill>
                    <w14:schemeClr w14:val="tx1"/>
                  </w14:solidFill>
                </w14:textFill>
              </w:rPr>
              <w:t>）</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P</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Pa</w:t>
            </w:r>
            <w:r>
              <w:rPr>
                <w:rFonts w:hint="eastAsia" w:ascii="宋体" w:hAnsi="宋体"/>
                <w:color w:val="000000" w:themeColor="text1"/>
                <w:kern w:val="0"/>
                <w:sz w:val="18"/>
                <w:szCs w:val="18"/>
                <w14:textFill>
                  <w14:solidFill>
                    <w14:schemeClr w14:val="tx1"/>
                  </w14:solidFill>
                </w14:textFill>
              </w:rPr>
              <w:t>）</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T</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Fp</w:t>
            </w:r>
          </w:p>
        </w:tc>
        <w:tc>
          <w:tcPr>
            <w:tcW w:w="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Kc</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C</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LB</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kg/a</w:t>
            </w:r>
            <w:r>
              <w:rPr>
                <w:rFonts w:hint="eastAsia" w:ascii="宋体" w:hAnsi="宋体"/>
                <w:color w:val="000000" w:themeColor="text1"/>
                <w:kern w:val="0"/>
                <w:sz w:val="18"/>
                <w:szCs w:val="18"/>
                <w14:textFill>
                  <w14:solidFill>
                    <w14:schemeClr w14:val="tx1"/>
                  </w14:solidFill>
                </w14:textFill>
              </w:rPr>
              <w:t>）</w:t>
            </w:r>
          </w:p>
        </w:tc>
        <w:tc>
          <w:tcPr>
            <w:tcW w:w="7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个</w:t>
            </w:r>
          </w:p>
        </w:tc>
        <w:tc>
          <w:tcPr>
            <w:tcW w:w="8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LB</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kg/a</w:t>
            </w:r>
            <w:r>
              <w:rPr>
                <w:rFonts w:hint="eastAsia" w:ascii="宋体" w:hAnsi="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627"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罐区</w:t>
            </w:r>
          </w:p>
        </w:tc>
        <w:tc>
          <w:tcPr>
            <w:tcW w:w="11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15%氟硅酸</w:t>
            </w:r>
          </w:p>
        </w:tc>
        <w:tc>
          <w:tcPr>
            <w:tcW w:w="76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144</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78</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7.5</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10</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1.3</w:t>
            </w:r>
          </w:p>
        </w:tc>
        <w:tc>
          <w:tcPr>
            <w:tcW w:w="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0.8893</w:t>
            </w:r>
            <w:r>
              <w:rPr>
                <w:rFonts w:ascii="Times New Roman" w:hAnsi="Times New Roman"/>
                <w:color w:val="000000" w:themeColor="text1"/>
                <w:kern w:val="0"/>
                <w:sz w:val="18"/>
                <w:szCs w:val="18"/>
                <w14:textFill>
                  <w14:solidFill>
                    <w14:schemeClr w14:val="tx1"/>
                  </w14:solidFill>
                </w14:textFill>
              </w:rPr>
              <w:t xml:space="preserve"> </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1.712</w:t>
            </w:r>
          </w:p>
        </w:tc>
        <w:tc>
          <w:tcPr>
            <w:tcW w:w="76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c>
          <w:tcPr>
            <w:tcW w:w="8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627" w:type="dxa"/>
            <w:vMerge w:val="continue"/>
            <w:shd w:val="clear" w:color="auto" w:fill="auto"/>
            <w:vAlign w:val="center"/>
          </w:tcPr>
          <w:p>
            <w:pPr>
              <w:widowControl/>
              <w:jc w:val="center"/>
              <w:rPr>
                <w:rFonts w:ascii="宋体" w:hAnsi="宋体"/>
                <w:color w:val="000000" w:themeColor="text1"/>
                <w:kern w:val="0"/>
                <w:sz w:val="18"/>
                <w:szCs w:val="18"/>
                <w14:textFill>
                  <w14:solidFill>
                    <w14:schemeClr w14:val="tx1"/>
                  </w14:solidFill>
                </w14:textFill>
              </w:rPr>
            </w:pPr>
          </w:p>
        </w:tc>
        <w:tc>
          <w:tcPr>
            <w:tcW w:w="11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2%氢氟酸</w:t>
            </w:r>
          </w:p>
        </w:tc>
        <w:tc>
          <w:tcPr>
            <w:tcW w:w="76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0.067</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7.5</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10</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1.3</w:t>
            </w:r>
          </w:p>
        </w:tc>
        <w:tc>
          <w:tcPr>
            <w:tcW w:w="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0.8893</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0.0104</w:t>
            </w:r>
          </w:p>
        </w:tc>
        <w:tc>
          <w:tcPr>
            <w:tcW w:w="766" w:type="dxa"/>
            <w:vMerge w:val="continue"/>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p>
        </w:tc>
        <w:tc>
          <w:tcPr>
            <w:tcW w:w="8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62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罐区</w:t>
            </w:r>
          </w:p>
        </w:tc>
        <w:tc>
          <w:tcPr>
            <w:tcW w:w="11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20%氟硅酸</w:t>
            </w:r>
          </w:p>
        </w:tc>
        <w:tc>
          <w:tcPr>
            <w:tcW w:w="76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144</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89</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7.5</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10</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1.3</w:t>
            </w:r>
          </w:p>
        </w:tc>
        <w:tc>
          <w:tcPr>
            <w:tcW w:w="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0.8893</w:t>
            </w:r>
            <w:r>
              <w:rPr>
                <w:rFonts w:ascii="Times New Roman" w:hAnsi="Times New Roman"/>
                <w:color w:val="000000" w:themeColor="text1"/>
                <w:kern w:val="0"/>
                <w:sz w:val="18"/>
                <w:szCs w:val="18"/>
                <w14:textFill>
                  <w14:solidFill>
                    <w14:schemeClr w14:val="tx1"/>
                  </w14:solidFill>
                </w14:textFill>
              </w:rPr>
              <w:t xml:space="preserve"> </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1.872</w:t>
            </w:r>
            <w:r>
              <w:rPr>
                <w:rFonts w:ascii="Times New Roman" w:hAnsi="Times New Roman"/>
                <w:color w:val="000000" w:themeColor="text1"/>
                <w:kern w:val="0"/>
                <w:sz w:val="18"/>
                <w:szCs w:val="18"/>
                <w14:textFill>
                  <w14:solidFill>
                    <w14:schemeClr w14:val="tx1"/>
                  </w14:solidFill>
                </w14:textFill>
              </w:rPr>
              <w:t xml:space="preserve"> </w:t>
            </w:r>
          </w:p>
        </w:tc>
        <w:tc>
          <w:tcPr>
            <w:tcW w:w="7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c>
          <w:tcPr>
            <w:tcW w:w="8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3.744</w:t>
            </w:r>
            <w:r>
              <w:rPr>
                <w:rFonts w:ascii="Times New Roman" w:hAnsi="Times New Roman"/>
                <w:color w:val="000000" w:themeColor="text1"/>
                <w:kern w:val="0"/>
                <w:sz w:val="18"/>
                <w:szCs w:val="18"/>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627"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氟硅酸钠生产车间</w:t>
            </w:r>
          </w:p>
        </w:tc>
        <w:tc>
          <w:tcPr>
            <w:tcW w:w="11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8</w:t>
            </w:r>
            <w:r>
              <w:rPr>
                <w:rFonts w:ascii="Times New Roman" w:hAnsi="Times New Roman"/>
                <w:color w:val="000000" w:themeColor="text1"/>
                <w:kern w:val="0"/>
                <w:sz w:val="18"/>
                <w:szCs w:val="18"/>
                <w14:textFill>
                  <w14:solidFill>
                    <w14:schemeClr w14:val="tx1"/>
                  </w14:solidFill>
                </w14:textFill>
              </w:rPr>
              <w:t>%</w:t>
            </w:r>
            <w:r>
              <w:rPr>
                <w:rFonts w:hint="eastAsia" w:ascii="宋体" w:hAnsi="宋体"/>
                <w:color w:val="000000" w:themeColor="text1"/>
                <w:kern w:val="0"/>
                <w:sz w:val="18"/>
                <w:szCs w:val="18"/>
                <w14:textFill>
                  <w14:solidFill>
                    <w14:schemeClr w14:val="tx1"/>
                  </w14:solidFill>
                </w14:textFill>
              </w:rPr>
              <w:t>盐酸</w:t>
            </w:r>
          </w:p>
        </w:tc>
        <w:tc>
          <w:tcPr>
            <w:tcW w:w="76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36.5</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0.941</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.8</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3.25</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10</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1.3</w:t>
            </w:r>
          </w:p>
        </w:tc>
        <w:tc>
          <w:tcPr>
            <w:tcW w:w="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0.5272</w:t>
            </w:r>
            <w:r>
              <w:rPr>
                <w:rFonts w:ascii="Times New Roman" w:hAnsi="Times New Roman"/>
                <w:color w:val="000000" w:themeColor="text1"/>
                <w:kern w:val="0"/>
                <w:sz w:val="18"/>
                <w:szCs w:val="18"/>
                <w14:textFill>
                  <w14:solidFill>
                    <w14:schemeClr w14:val="tx1"/>
                  </w14:solidFill>
                </w14:textFill>
              </w:rPr>
              <w:t xml:space="preserve"> </w:t>
            </w:r>
          </w:p>
        </w:tc>
        <w:tc>
          <w:tcPr>
            <w:tcW w:w="85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0.0086</w:t>
            </w:r>
          </w:p>
        </w:tc>
        <w:tc>
          <w:tcPr>
            <w:tcW w:w="7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8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0.0086</w:t>
            </w:r>
            <w:r>
              <w:rPr>
                <w:rFonts w:ascii="Times New Roman" w:hAnsi="Times New Roman"/>
                <w:color w:val="000000" w:themeColor="text1"/>
                <w:kern w:val="0"/>
                <w:sz w:val="18"/>
                <w:szCs w:val="18"/>
                <w14:textFill>
                  <w14:solidFill>
                    <w14:schemeClr w14:val="tx1"/>
                  </w14:solidFill>
                </w14:textFill>
              </w:rPr>
              <w:t xml:space="preserve"> </w:t>
            </w:r>
          </w:p>
        </w:tc>
      </w:tr>
    </w:tbl>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本项目罐区储罐呼吸废气主要污染物为HF、S</w:t>
      </w:r>
      <w:r>
        <w:rPr>
          <w:rFonts w:hint="eastAsia" w:ascii="Times New Roman" w:hAnsi="Times New Roman" w:eastAsia="宋体"/>
          <w:color w:val="000000" w:themeColor="text1"/>
          <w:vertAlign w:val="subscript"/>
          <w14:textFill>
            <w14:solidFill>
              <w14:schemeClr w14:val="tx1"/>
            </w14:solidFill>
          </w14:textFill>
        </w:rPr>
        <w:t>i</w:t>
      </w:r>
      <w:r>
        <w:rPr>
          <w:rFonts w:hint="eastAsia" w:ascii="Times New Roman" w:hAnsi="Times New Roman" w:eastAsia="宋体"/>
          <w:color w:val="000000" w:themeColor="text1"/>
          <w14:textFill>
            <w14:solidFill>
              <w14:schemeClr w14:val="tx1"/>
            </w14:solidFill>
          </w14:textFill>
        </w:rPr>
        <w:t>F</w:t>
      </w:r>
      <w:r>
        <w:rPr>
          <w:rFonts w:hint="eastAsia" w:ascii="Times New Roman" w:hAnsi="Times New Roman" w:eastAsia="宋体"/>
          <w:color w:val="000000" w:themeColor="text1"/>
          <w:vertAlign w:val="subscript"/>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，含氟废气（以氟化物计）产生量合计84.16kg/a，氟硅酸钠生产车间储罐呼吸废气主要污染物为HCl，产生量合计为0.3186kg/a。上述呼吸废气均通过密闭气相管道收集引至1套酸性尾气吸收系统</w:t>
      </w:r>
      <w:r>
        <w:rPr>
          <w:rFonts w:hint="eastAsia" w:ascii="Times New Roman" w:hAnsi="Times New Roman" w:cs="Times New Roman"/>
          <w:color w:val="000000" w:themeColor="text1"/>
          <w14:textFill>
            <w14:solidFill>
              <w14:schemeClr w14:val="tx1"/>
            </w14:solidFill>
          </w14:textFill>
        </w:rPr>
        <w:t>（2级水洗+1级碱洗）</w:t>
      </w:r>
      <w:r>
        <w:rPr>
          <w:rFonts w:hint="eastAsia" w:ascii="Times New Roman" w:hAnsi="Times New Roman" w:eastAsia="宋体"/>
          <w:color w:val="000000" w:themeColor="text1"/>
          <w14:textFill>
            <w14:solidFill>
              <w14:schemeClr w14:val="tx1"/>
            </w14:solidFill>
          </w14:textFill>
        </w:rPr>
        <w:t>处理后经15m高排气筒DA001排放。废气处理效率90%，设计风量1000m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/h，则含氟废气（以氟化物计）排放量为8.416kg/a、排放速率0.0012kg/h、排放浓度1.17mg/m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，HCl排放量为0.03186kg/a、排放速率0.000004kg/h、排放浓度0.004mg/m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p>
    <w:p>
      <w:pPr>
        <w:pStyle w:val="431"/>
        <w:spacing w:line="500" w:lineRule="exact"/>
        <w:rPr>
          <w:rFonts w:ascii="Times New Roman" w:cs="Times New Roman" w:hAnsiTheme="minorEastAsia"/>
          <w:color w:val="000000" w:themeColor="text1"/>
          <w:kern w:val="2"/>
          <w14:textFill>
            <w14:solidFill>
              <w14:schemeClr w14:val="tx1"/>
            </w14:solidFill>
          </w14:textFill>
        </w:rPr>
      </w:pPr>
      <w:r>
        <w:rPr>
          <w:rFonts w:hint="eastAsia" w:ascii="Times New Roman" w:cs="Times New Roman" w:hAnsiTheme="minorEastAsia"/>
          <w:color w:val="000000" w:themeColor="text1"/>
          <w:kern w:val="2"/>
          <w14:textFill>
            <w14:solidFill>
              <w14:schemeClr w14:val="tx1"/>
            </w14:solidFill>
          </w14:textFill>
        </w:rPr>
        <w:t>（3）烘干废气</w:t>
      </w:r>
    </w:p>
    <w:p>
      <w:pPr>
        <w:pStyle w:val="431"/>
        <w:spacing w:line="500" w:lineRule="exact"/>
        <w:rPr>
          <w:rFonts w:ascii="Times New Roman" w:hAnsi="Times New Roman" w:eastAsia="宋体"/>
          <w:i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本项目经</w:t>
      </w:r>
      <w:r>
        <w:rPr>
          <w:rFonts w:ascii="Times New Roman" w:hAnsi="Times New Roman" w:cs="Times New Roman"/>
          <w:color w:val="000000" w:themeColor="text1"/>
          <w:kern w:val="2"/>
          <w14:textFill>
            <w14:solidFill>
              <w14:schemeClr w14:val="tx1"/>
            </w14:solidFill>
          </w14:textFill>
        </w:rPr>
        <w:t>离心机过滤、洗涤处理后部分氟硅酸钠软膏需经过盘式干燥机烘干处理</w:t>
      </w:r>
      <w:r>
        <w:rPr>
          <w:rFonts w:ascii="Times New Roman" w:hAnsi="Times New Roman" w:eastAsia="宋体" w:cs="Times New Roman"/>
          <w:color w:val="000000" w:themeColor="text1"/>
          <w14:textFill>
            <w14:solidFill>
              <w14:schemeClr w14:val="tx1"/>
            </w14:solidFill>
          </w14:textFill>
        </w:rPr>
        <w:t>，本项目盘式干燥机最大处理能力为10000t/a，参照</w:t>
      </w:r>
      <w:r>
        <w:rPr>
          <w:rFonts w:hint="eastAsia"/>
          <w:color w:val="000000" w:themeColor="text1"/>
          <w14:textFill>
            <w14:solidFill>
              <w14:schemeClr w14:val="tx1"/>
            </w14:solidFill>
          </w14:textFill>
        </w:rPr>
        <w:t>《第二次全国污染源普查工业污染源产排污系数手册》</w:t>
      </w:r>
      <w:r>
        <w:rPr>
          <w:rFonts w:ascii="Times New Roman" w:hAnsi="Times New Roman" w:cs="Times New Roman"/>
          <w:color w:val="000000" w:themeColor="text1"/>
          <w14:textFill>
            <w14:solidFill>
              <w14:schemeClr w14:val="tx1"/>
            </w14:solidFill>
          </w14:textFill>
        </w:rPr>
        <w:t>2613</w:t>
      </w:r>
      <w:r>
        <w:rPr>
          <w:rFonts w:hint="eastAsia"/>
          <w:color w:val="000000" w:themeColor="text1"/>
          <w14:textFill>
            <w14:solidFill>
              <w14:schemeClr w14:val="tx1"/>
            </w14:solidFill>
          </w14:textFill>
        </w:rPr>
        <w:t>无机盐制造行业中相关数据</w:t>
      </w:r>
      <w:r>
        <w:rPr>
          <w:rFonts w:ascii="Times New Roman" w:hAnsi="Times New Roman" w:cs="Times New Roman"/>
          <w:color w:val="000000" w:themeColor="text1"/>
          <w14:textFill>
            <w14:solidFill>
              <w14:schemeClr w14:val="tx1"/>
            </w14:solidFill>
          </w14:textFill>
        </w:rPr>
        <w:t>，干燥过程粉尘产生系数为</w:t>
      </w:r>
      <w:r>
        <w:rPr>
          <w:rFonts w:hint="eastAsia" w:ascii="Times New Roman" w:hAnsi="Times New Roman" w:cs="Times New Roman"/>
          <w:color w:val="000000" w:themeColor="text1"/>
          <w14:textFill>
            <w14:solidFill>
              <w14:schemeClr w14:val="tx1"/>
            </w14:solidFill>
          </w14:textFill>
        </w:rPr>
        <w:t>0.75</w:t>
      </w:r>
      <w:r>
        <w:rPr>
          <w:rFonts w:ascii="Times New Roman" w:hAnsi="Times New Roman" w:cs="Times New Roman"/>
          <w:color w:val="000000" w:themeColor="text1"/>
          <w14:textFill>
            <w14:solidFill>
              <w14:schemeClr w14:val="tx1"/>
            </w14:solidFill>
          </w14:textFill>
        </w:rPr>
        <w:t>kg/t</w:t>
      </w:r>
      <w:r>
        <w:rPr>
          <w:rFonts w:hint="eastAsia"/>
          <w:color w:val="000000" w:themeColor="text1"/>
          <w14:textFill>
            <w14:solidFill>
              <w14:schemeClr w14:val="tx1"/>
            </w14:solidFill>
          </w14:textFill>
        </w:rPr>
        <w:t>物料，则本项目氟硅酸钠烘干废气产生量为</w:t>
      </w:r>
      <w:r>
        <w:rPr>
          <w:rFonts w:hint="eastAsia" w:ascii="Times New Roman" w:hAnsi="Times New Roman" w:eastAsia="宋体" w:cs="Times New Roman"/>
          <w:color w:val="000000" w:themeColor="text1"/>
          <w14:textFill>
            <w14:solidFill>
              <w14:schemeClr w14:val="tx1"/>
            </w14:solidFill>
          </w14:textFill>
        </w:rPr>
        <w:t>7.5</w:t>
      </w:r>
      <w:r>
        <w:rPr>
          <w:rFonts w:ascii="Times New Roman" w:hAnsi="Times New Roman" w:eastAsia="宋体" w:cs="Times New Roman"/>
          <w:color w:val="000000" w:themeColor="text1"/>
          <w14:textFill>
            <w14:solidFill>
              <w14:schemeClr w14:val="tx1"/>
            </w14:solidFill>
          </w14:textFill>
        </w:rPr>
        <w:t>t/a</w:t>
      </w:r>
      <w:r>
        <w:rPr>
          <w:rFonts w:hint="eastAsia" w:ascii="Times New Roman" w:hAnsi="Times New Roman" w:eastAsia="宋体"/>
          <w:color w:val="000000" w:themeColor="text1"/>
          <w14:textFill>
            <w14:solidFill>
              <w14:schemeClr w14:val="tx1"/>
            </w14:solidFill>
          </w14:textFill>
        </w:rPr>
        <w:t>，烘干废气通过密闭气相管道收集后经1套布袋除尘器处理后经15m高排气筒DA003排放。除尘效率99%，设计风量为2000m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/h，则烘干废气排放量为0.075t/a、排放速率0.01kg/h、排放浓度5.21mg/m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p>
    <w:p>
      <w:pPr>
        <w:pStyle w:val="431"/>
        <w:spacing w:line="50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本项目运营期废气污染物产生及排放情况见下表。</w:t>
      </w:r>
    </w:p>
    <w:p>
      <w:pPr>
        <w:pStyle w:val="431"/>
        <w:spacing w:line="500" w:lineRule="exact"/>
        <w:ind w:firstLine="2168" w:firstLineChars="90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 xml:space="preserve">表 </w:t>
      </w:r>
      <w:r>
        <w:rPr>
          <w:rFonts w:hint="eastAsia" w:ascii="Times New Roman" w:hAnsi="Times New Roman" w:eastAsia="宋体"/>
          <w:b/>
          <w:bCs/>
          <w:color w:val="000000" w:themeColor="text1"/>
          <w:lang w:val="en-US" w:eastAsia="zh-CN"/>
          <w14:textFill>
            <w14:solidFill>
              <w14:schemeClr w14:val="tx1"/>
            </w14:solidFill>
          </w14:textFill>
        </w:rPr>
        <w:t>4</w:t>
      </w:r>
      <w:r>
        <w:rPr>
          <w:rFonts w:hint="eastAsia" w:ascii="Times New Roman" w:hAnsi="Times New Roman" w:eastAsia="宋体"/>
          <w:b/>
          <w:bCs/>
          <w:color w:val="000000" w:themeColor="text1"/>
          <w14:textFill>
            <w14:solidFill>
              <w14:schemeClr w14:val="tx1"/>
            </w14:solidFill>
          </w14:textFill>
        </w:rPr>
        <w:t>.2-8  本项目无组织废气污染源强核算表</w:t>
      </w:r>
    </w:p>
    <w:tbl>
      <w:tblPr>
        <w:tblStyle w:val="87"/>
        <w:tblW w:w="91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3"/>
        <w:gridCol w:w="891"/>
        <w:gridCol w:w="1190"/>
        <w:gridCol w:w="1459"/>
        <w:gridCol w:w="1548"/>
        <w:gridCol w:w="1012"/>
        <w:gridCol w:w="14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3"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车间</w:t>
            </w:r>
          </w:p>
        </w:tc>
        <w:tc>
          <w:tcPr>
            <w:tcW w:w="891"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污染物名称</w:t>
            </w:r>
          </w:p>
        </w:tc>
        <w:tc>
          <w:tcPr>
            <w:tcW w:w="2649"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污染物产生情况</w:t>
            </w:r>
          </w:p>
        </w:tc>
        <w:tc>
          <w:tcPr>
            <w:tcW w:w="1548"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治理措施</w:t>
            </w:r>
          </w:p>
        </w:tc>
        <w:tc>
          <w:tcPr>
            <w:tcW w:w="2471"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污染物排放情况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3"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891"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19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年产生量(t/a)</w:t>
            </w:r>
          </w:p>
        </w:tc>
        <w:tc>
          <w:tcPr>
            <w:tcW w:w="145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产生速率（kg/h）</w:t>
            </w:r>
          </w:p>
        </w:tc>
        <w:tc>
          <w:tcPr>
            <w:tcW w:w="1548"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01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排放量(t/a)</w:t>
            </w:r>
          </w:p>
        </w:tc>
        <w:tc>
          <w:tcPr>
            <w:tcW w:w="145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氟硅酸钠</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生产车间</w:t>
            </w:r>
          </w:p>
        </w:tc>
        <w:tc>
          <w:tcPr>
            <w:tcW w:w="89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粉尘</w:t>
            </w:r>
          </w:p>
        </w:tc>
        <w:tc>
          <w:tcPr>
            <w:tcW w:w="11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0.459</w:t>
            </w:r>
          </w:p>
        </w:tc>
        <w:tc>
          <w:tcPr>
            <w:tcW w:w="145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0.064</w:t>
            </w:r>
          </w:p>
        </w:tc>
        <w:tc>
          <w:tcPr>
            <w:tcW w:w="154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车间通风\加强管理</w:t>
            </w:r>
          </w:p>
        </w:tc>
        <w:tc>
          <w:tcPr>
            <w:tcW w:w="101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0.459</w:t>
            </w:r>
          </w:p>
        </w:tc>
        <w:tc>
          <w:tcPr>
            <w:tcW w:w="145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0.064</w:t>
            </w:r>
          </w:p>
        </w:tc>
      </w:tr>
    </w:tbl>
    <w:p>
      <w:pPr>
        <w:pStyle w:val="431"/>
        <w:spacing w:line="500" w:lineRule="exact"/>
        <w:ind w:firstLine="482"/>
        <w:rPr>
          <w:rFonts w:ascii="Times New Roman" w:hAnsi="Times New Roman" w:eastAsia="宋体"/>
          <w:b/>
          <w:bCs/>
          <w:color w:val="000000" w:themeColor="text1"/>
          <w14:textFill>
            <w14:solidFill>
              <w14:schemeClr w14:val="tx1"/>
            </w14:solidFill>
          </w14:textFill>
        </w:rPr>
      </w:pPr>
    </w:p>
    <w:p>
      <w:pPr>
        <w:pStyle w:val="433"/>
        <w:spacing w:before="48"/>
        <w:ind w:firstLine="0" w:firstLineChars="0"/>
        <w:rPr>
          <w:rFonts w:ascii="Times New Roman" w:hAnsi="Times New Roman"/>
          <w:i/>
          <w:color w:val="000000" w:themeColor="text1"/>
          <w:vertAlign w:val="subscript"/>
          <w14:textFill>
            <w14:solidFill>
              <w14:schemeClr w14:val="tx1"/>
            </w14:solidFill>
          </w14:textFill>
        </w:rPr>
      </w:pPr>
    </w:p>
    <w:p>
      <w:pPr>
        <w:pStyle w:val="431"/>
        <w:spacing w:line="500" w:lineRule="exact"/>
        <w:rPr>
          <w:rFonts w:ascii="Times New Roman" w:hAnsi="Times New Roman" w:eastAsia="宋体"/>
          <w:color w:val="000000" w:themeColor="text1"/>
          <w14:textFill>
            <w14:solidFill>
              <w14:schemeClr w14:val="tx1"/>
            </w14:solidFill>
          </w14:textFill>
        </w:rPr>
      </w:pPr>
    </w:p>
    <w:p>
      <w:pPr>
        <w:pStyle w:val="152"/>
        <w:spacing w:line="520" w:lineRule="exact"/>
        <w:ind w:firstLine="0"/>
        <w:jc w:val="center"/>
        <w:rPr>
          <w:rFonts w:ascii="Times New Roman"/>
          <w:b/>
          <w:color w:val="000000" w:themeColor="text1"/>
          <w14:textFill>
            <w14:solidFill>
              <w14:schemeClr w14:val="tx1"/>
            </w14:solidFill>
          </w14:textFill>
        </w:rPr>
      </w:pPr>
    </w:p>
    <w:p>
      <w:pPr>
        <w:pStyle w:val="152"/>
        <w:spacing w:line="520" w:lineRule="exact"/>
        <w:ind w:firstLine="0"/>
        <w:jc w:val="center"/>
        <w:rPr>
          <w:rFonts w:ascii="Times New Roman"/>
          <w:b/>
          <w:color w:val="000000" w:themeColor="text1"/>
          <w14:textFill>
            <w14:solidFill>
              <w14:schemeClr w14:val="tx1"/>
            </w14:solidFill>
          </w14:textFill>
        </w:rPr>
      </w:pPr>
    </w:p>
    <w:p>
      <w:pPr>
        <w:pStyle w:val="380"/>
        <w:adjustRightInd w:val="0"/>
        <w:snapToGrid w:val="0"/>
        <w:spacing w:line="360" w:lineRule="auto"/>
        <w:ind w:firstLine="0" w:firstLineChars="0"/>
        <w:jc w:val="left"/>
        <w:outlineLvl w:val="2"/>
        <w:rPr>
          <w:rFonts w:cs="宋体"/>
          <w:color w:val="000000" w:themeColor="text1"/>
          <w:szCs w:val="24"/>
          <w14:textFill>
            <w14:solidFill>
              <w14:schemeClr w14:val="tx1"/>
            </w14:solidFill>
          </w14:textFill>
        </w:rPr>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linePitch="312" w:charSpace="0"/>
        </w:sectPr>
      </w:pPr>
    </w:p>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表 </w:t>
      </w:r>
      <w:r>
        <w:rPr>
          <w:rFonts w:hint="eastAsia" w:ascii="Times New Roman" w:hAnsi="Times New Roman"/>
          <w:b/>
          <w:bCs/>
          <w:color w:val="000000" w:themeColor="text1"/>
          <w:sz w:val="24"/>
          <w:szCs w:val="24"/>
          <w:lang w:val="en-US" w:eastAsia="zh-CN"/>
          <w14:textFill>
            <w14:solidFill>
              <w14:schemeClr w14:val="tx1"/>
            </w14:solidFill>
          </w14:textFill>
        </w:rPr>
        <w:t>4</w:t>
      </w:r>
      <w:r>
        <w:rPr>
          <w:rFonts w:ascii="Times New Roman" w:hAnsi="Times New Roman"/>
          <w:b/>
          <w:bCs/>
          <w:color w:val="000000" w:themeColor="text1"/>
          <w:sz w:val="24"/>
          <w:szCs w:val="24"/>
          <w14:textFill>
            <w14:solidFill>
              <w14:schemeClr w14:val="tx1"/>
            </w14:solidFill>
          </w14:textFill>
        </w:rPr>
        <w:t>.2-</w:t>
      </w:r>
      <w:r>
        <w:rPr>
          <w:rFonts w:hint="eastAsia" w:ascii="Times New Roman" w:hAnsi="Times New Roman"/>
          <w:b/>
          <w:bCs/>
          <w:color w:val="000000" w:themeColor="text1"/>
          <w:sz w:val="24"/>
          <w:szCs w:val="24"/>
          <w14:textFill>
            <w14:solidFill>
              <w14:schemeClr w14:val="tx1"/>
            </w14:solidFill>
          </w14:textFill>
        </w:rPr>
        <w:t>9</w:t>
      </w:r>
      <w:r>
        <w:rPr>
          <w:rFonts w:ascii="Times New Roman" w:hAnsi="Times New Roman"/>
          <w:b/>
          <w:bCs/>
          <w:color w:val="000000" w:themeColor="text1"/>
          <w:sz w:val="24"/>
          <w:szCs w:val="24"/>
          <w14:textFill>
            <w14:solidFill>
              <w14:schemeClr w14:val="tx1"/>
            </w14:solidFill>
          </w14:textFill>
        </w:rPr>
        <w:t xml:space="preserve"> 本项目废气污染源强核算表</w:t>
      </w:r>
    </w:p>
    <w:tbl>
      <w:tblPr>
        <w:tblStyle w:val="87"/>
        <w:tblW w:w="138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76"/>
        <w:gridCol w:w="1019"/>
        <w:gridCol w:w="1096"/>
        <w:gridCol w:w="1354"/>
        <w:gridCol w:w="866"/>
        <w:gridCol w:w="1670"/>
        <w:gridCol w:w="1080"/>
        <w:gridCol w:w="852"/>
        <w:gridCol w:w="1176"/>
        <w:gridCol w:w="933"/>
        <w:gridCol w:w="933"/>
        <w:gridCol w:w="1019"/>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791" w:type="dxa"/>
            <w:gridSpan w:val="3"/>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排气筒</w:t>
            </w:r>
          </w:p>
        </w:tc>
        <w:tc>
          <w:tcPr>
            <w:tcW w:w="1354"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污染物名称</w:t>
            </w:r>
          </w:p>
        </w:tc>
        <w:tc>
          <w:tcPr>
            <w:tcW w:w="3616" w:type="dxa"/>
            <w:gridSpan w:val="3"/>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污染物产生情况（合计）</w:t>
            </w:r>
          </w:p>
        </w:tc>
        <w:tc>
          <w:tcPr>
            <w:tcW w:w="2961" w:type="dxa"/>
            <w:gridSpan w:val="3"/>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削减情况（合计）</w:t>
            </w:r>
          </w:p>
        </w:tc>
        <w:tc>
          <w:tcPr>
            <w:tcW w:w="3170" w:type="dxa"/>
            <w:gridSpan w:val="3"/>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污染物排放情况（合计）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7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编号</w:t>
            </w:r>
          </w:p>
        </w:tc>
        <w:tc>
          <w:tcPr>
            <w:tcW w:w="10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废气量</w:t>
            </w:r>
          </w:p>
        </w:tc>
        <w:tc>
          <w:tcPr>
            <w:tcW w:w="10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高度/内径</w:t>
            </w:r>
          </w:p>
        </w:tc>
        <w:tc>
          <w:tcPr>
            <w:tcW w:w="1354"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8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年产生量(t/a)</w:t>
            </w:r>
          </w:p>
        </w:tc>
        <w:tc>
          <w:tcPr>
            <w:tcW w:w="16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产生速率（kg/h）</w:t>
            </w:r>
          </w:p>
        </w:tc>
        <w:tc>
          <w:tcPr>
            <w:tcW w:w="108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产生浓度（mg/m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c>
          <w:tcPr>
            <w:tcW w:w="85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治理措施</w:t>
            </w:r>
          </w:p>
        </w:tc>
        <w:tc>
          <w:tcPr>
            <w:tcW w:w="117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效率（%）</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削减量(t/a)</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排放量(t/a)</w:t>
            </w:r>
          </w:p>
        </w:tc>
        <w:tc>
          <w:tcPr>
            <w:tcW w:w="10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排放速率（kg/h）</w:t>
            </w:r>
          </w:p>
        </w:tc>
        <w:tc>
          <w:tcPr>
            <w:tcW w:w="12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排放浓度（mg/m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76" w:type="dxa"/>
            <w:vMerge w:val="restart"/>
            <w:shd w:val="clear" w:color="auto" w:fill="auto"/>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ascii="Times New Roman" w:hAnsi="Times New Roman"/>
                <w:b/>
                <w:bCs/>
                <w:color w:val="000000" w:themeColor="text1"/>
                <w:kern w:val="0"/>
                <w:sz w:val="18"/>
                <w:szCs w:val="18"/>
                <w14:textFill>
                  <w14:solidFill>
                    <w14:schemeClr w14:val="tx1"/>
                  </w14:solidFill>
                </w14:textFill>
              </w:rPr>
              <w:t>DA001</w:t>
            </w:r>
          </w:p>
        </w:tc>
        <w:tc>
          <w:tcPr>
            <w:tcW w:w="1019"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1000m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/h</w:t>
            </w:r>
          </w:p>
        </w:tc>
        <w:tc>
          <w:tcPr>
            <w:tcW w:w="109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高度：15m       内径：0.2</w:t>
            </w:r>
          </w:p>
        </w:tc>
        <w:tc>
          <w:tcPr>
            <w:tcW w:w="135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氟化物</w:t>
            </w:r>
          </w:p>
        </w:tc>
        <w:tc>
          <w:tcPr>
            <w:tcW w:w="8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 xml:space="preserve">0.08416 </w:t>
            </w:r>
          </w:p>
        </w:tc>
        <w:tc>
          <w:tcPr>
            <w:tcW w:w="16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0.012</w:t>
            </w:r>
          </w:p>
        </w:tc>
        <w:tc>
          <w:tcPr>
            <w:tcW w:w="108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12</w:t>
            </w:r>
          </w:p>
        </w:tc>
        <w:tc>
          <w:tcPr>
            <w:tcW w:w="85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级</w:t>
            </w:r>
            <w:r>
              <w:rPr>
                <w:rFonts w:hint="eastAsia" w:ascii="Times New Roman" w:hAnsi="Times New Roman"/>
                <w:color w:val="000000" w:themeColor="text1"/>
                <w:kern w:val="0"/>
                <w:sz w:val="18"/>
                <w:szCs w:val="18"/>
                <w14:textFill>
                  <w14:solidFill>
                    <w14:schemeClr w14:val="tx1"/>
                  </w14:solidFill>
                </w14:textFill>
              </w:rPr>
              <w:t>水</w:t>
            </w:r>
            <w:r>
              <w:rPr>
                <w:rFonts w:ascii="Times New Roman" w:hAnsi="Times New Roman"/>
                <w:color w:val="000000" w:themeColor="text1"/>
                <w:kern w:val="0"/>
                <w:sz w:val="18"/>
                <w:szCs w:val="18"/>
                <w14:textFill>
                  <w14:solidFill>
                    <w14:schemeClr w14:val="tx1"/>
                  </w14:solidFill>
                </w14:textFill>
              </w:rPr>
              <w:t>洗+</w:t>
            </w:r>
            <w:r>
              <w:rPr>
                <w:rFonts w:hint="eastAsia" w:ascii="Times New Roman" w:hAnsi="Times New Roman"/>
                <w:color w:val="000000" w:themeColor="text1"/>
                <w:kern w:val="0"/>
                <w:sz w:val="18"/>
                <w:szCs w:val="18"/>
                <w14:textFill>
                  <w14:solidFill>
                    <w14:schemeClr w14:val="tx1"/>
                  </w14:solidFill>
                </w14:textFill>
              </w:rPr>
              <w:t>1级碱洗</w:t>
            </w:r>
          </w:p>
        </w:tc>
        <w:tc>
          <w:tcPr>
            <w:tcW w:w="117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90</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0.075744</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0.008416</w:t>
            </w:r>
          </w:p>
        </w:tc>
        <w:tc>
          <w:tcPr>
            <w:tcW w:w="10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0.0012</w:t>
            </w:r>
          </w:p>
        </w:tc>
        <w:tc>
          <w:tcPr>
            <w:tcW w:w="12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76" w:type="dxa"/>
            <w:vMerge w:val="continue"/>
            <w:vAlign w:val="center"/>
          </w:tcPr>
          <w:p>
            <w:pPr>
              <w:widowControl/>
              <w:jc w:val="left"/>
              <w:rPr>
                <w:rFonts w:ascii="Times New Roman" w:hAnsi="Times New Roman"/>
                <w:b/>
                <w:bCs/>
                <w:color w:val="000000" w:themeColor="text1"/>
                <w:kern w:val="0"/>
                <w:sz w:val="18"/>
                <w:szCs w:val="18"/>
                <w14:textFill>
                  <w14:solidFill>
                    <w14:schemeClr w14:val="tx1"/>
                  </w14:solidFill>
                </w14:textFill>
              </w:rPr>
            </w:pPr>
          </w:p>
        </w:tc>
        <w:tc>
          <w:tcPr>
            <w:tcW w:w="1019"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35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HCl</w:t>
            </w:r>
          </w:p>
        </w:tc>
        <w:tc>
          <w:tcPr>
            <w:tcW w:w="8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0.0003186</w:t>
            </w:r>
            <w:r>
              <w:rPr>
                <w:rFonts w:ascii="Times New Roman" w:hAnsi="Times New Roman"/>
                <w:color w:val="000000" w:themeColor="text1"/>
                <w:kern w:val="0"/>
                <w:sz w:val="18"/>
                <w:szCs w:val="18"/>
                <w14:textFill>
                  <w14:solidFill>
                    <w14:schemeClr w14:val="tx1"/>
                  </w14:solidFill>
                </w14:textFill>
              </w:rPr>
              <w:t xml:space="preserve"> </w:t>
            </w:r>
          </w:p>
        </w:tc>
        <w:tc>
          <w:tcPr>
            <w:tcW w:w="16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0.000044</w:t>
            </w:r>
          </w:p>
        </w:tc>
        <w:tc>
          <w:tcPr>
            <w:tcW w:w="108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0.044</w:t>
            </w:r>
          </w:p>
        </w:tc>
        <w:tc>
          <w:tcPr>
            <w:tcW w:w="85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17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90</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0.00028674</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0.00003186</w:t>
            </w:r>
          </w:p>
        </w:tc>
        <w:tc>
          <w:tcPr>
            <w:tcW w:w="10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0.000004</w:t>
            </w:r>
          </w:p>
        </w:tc>
        <w:tc>
          <w:tcPr>
            <w:tcW w:w="12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76" w:type="dxa"/>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b/>
                <w:bCs/>
                <w:color w:val="000000" w:themeColor="text1"/>
                <w:kern w:val="0"/>
                <w:sz w:val="18"/>
                <w:szCs w:val="18"/>
                <w14:textFill>
                  <w14:solidFill>
                    <w14:schemeClr w14:val="tx1"/>
                  </w14:solidFill>
                </w14:textFill>
              </w:rPr>
              <w:t>DA002</w:t>
            </w:r>
          </w:p>
        </w:tc>
        <w:tc>
          <w:tcPr>
            <w:tcW w:w="1019"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w:t>
            </w:r>
            <w:r>
              <w:rPr>
                <w:rFonts w:ascii="Times New Roman" w:hAnsi="Times New Roman"/>
                <w:color w:val="000000" w:themeColor="text1"/>
                <w:kern w:val="0"/>
                <w:sz w:val="18"/>
                <w:szCs w:val="18"/>
                <w14:textFill>
                  <w14:solidFill>
                    <w14:schemeClr w14:val="tx1"/>
                  </w14:solidFill>
                </w14:textFill>
              </w:rPr>
              <w:t>000m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/h</w:t>
            </w:r>
          </w:p>
        </w:tc>
        <w:tc>
          <w:tcPr>
            <w:tcW w:w="1096"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高度：15m       内径：0.</w:t>
            </w:r>
            <w:r>
              <w:rPr>
                <w:rFonts w:hint="eastAsia" w:ascii="Times New Roman" w:hAnsi="Times New Roman"/>
                <w:color w:val="000000" w:themeColor="text1"/>
                <w:kern w:val="0"/>
                <w:sz w:val="18"/>
                <w:szCs w:val="18"/>
                <w14:textFill>
                  <w14:solidFill>
                    <w14:schemeClr w14:val="tx1"/>
                  </w14:solidFill>
                </w14:textFill>
              </w:rPr>
              <w:t>3</w:t>
            </w:r>
          </w:p>
        </w:tc>
        <w:tc>
          <w:tcPr>
            <w:tcW w:w="135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颗粒物</w:t>
            </w:r>
          </w:p>
        </w:tc>
        <w:tc>
          <w:tcPr>
            <w:tcW w:w="8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4.131</w:t>
            </w:r>
          </w:p>
        </w:tc>
        <w:tc>
          <w:tcPr>
            <w:tcW w:w="16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0.574</w:t>
            </w:r>
          </w:p>
        </w:tc>
        <w:tc>
          <w:tcPr>
            <w:tcW w:w="108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143.5</w:t>
            </w:r>
          </w:p>
        </w:tc>
        <w:tc>
          <w:tcPr>
            <w:tcW w:w="852" w:type="dxa"/>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级</w:t>
            </w:r>
            <w:r>
              <w:rPr>
                <w:rFonts w:hint="eastAsia" w:ascii="Times New Roman" w:hAnsi="Times New Roman"/>
                <w:color w:val="000000" w:themeColor="text1"/>
                <w:kern w:val="0"/>
                <w:sz w:val="18"/>
                <w:szCs w:val="18"/>
                <w14:textFill>
                  <w14:solidFill>
                    <w14:schemeClr w14:val="tx1"/>
                  </w14:solidFill>
                </w14:textFill>
              </w:rPr>
              <w:t>水</w:t>
            </w:r>
            <w:r>
              <w:rPr>
                <w:rFonts w:ascii="Times New Roman" w:hAnsi="Times New Roman"/>
                <w:color w:val="000000" w:themeColor="text1"/>
                <w:kern w:val="0"/>
                <w:sz w:val="18"/>
                <w:szCs w:val="18"/>
                <w14:textFill>
                  <w14:solidFill>
                    <w14:schemeClr w14:val="tx1"/>
                  </w14:solidFill>
                </w14:textFill>
              </w:rPr>
              <w:t>洗+</w:t>
            </w:r>
            <w:r>
              <w:rPr>
                <w:rFonts w:hint="eastAsia" w:ascii="Times New Roman" w:hAnsi="Times New Roman"/>
                <w:color w:val="000000" w:themeColor="text1"/>
                <w:kern w:val="0"/>
                <w:sz w:val="18"/>
                <w:szCs w:val="18"/>
                <w14:textFill>
                  <w14:solidFill>
                    <w14:schemeClr w14:val="tx1"/>
                  </w14:solidFill>
                </w14:textFill>
              </w:rPr>
              <w:t>1级碱洗</w:t>
            </w:r>
          </w:p>
        </w:tc>
        <w:tc>
          <w:tcPr>
            <w:tcW w:w="117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95</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3.924</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0.207</w:t>
            </w:r>
          </w:p>
        </w:tc>
        <w:tc>
          <w:tcPr>
            <w:tcW w:w="10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0.029</w:t>
            </w:r>
          </w:p>
        </w:tc>
        <w:tc>
          <w:tcPr>
            <w:tcW w:w="12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76" w:type="dxa"/>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b/>
                <w:bCs/>
                <w:color w:val="000000" w:themeColor="text1"/>
                <w:kern w:val="0"/>
                <w:sz w:val="18"/>
                <w:szCs w:val="18"/>
                <w14:textFill>
                  <w14:solidFill>
                    <w14:schemeClr w14:val="tx1"/>
                  </w14:solidFill>
                </w14:textFill>
              </w:rPr>
              <w:t>DA003</w:t>
            </w:r>
          </w:p>
        </w:tc>
        <w:tc>
          <w:tcPr>
            <w:tcW w:w="1019"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000m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/h</w:t>
            </w:r>
          </w:p>
        </w:tc>
        <w:tc>
          <w:tcPr>
            <w:tcW w:w="1096"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高度：15m       内径：0.</w:t>
            </w:r>
            <w:r>
              <w:rPr>
                <w:rFonts w:hint="eastAsia" w:ascii="Times New Roman" w:hAnsi="Times New Roman"/>
                <w:color w:val="000000" w:themeColor="text1"/>
                <w:kern w:val="0"/>
                <w:sz w:val="18"/>
                <w:szCs w:val="18"/>
                <w14:textFill>
                  <w14:solidFill>
                    <w14:schemeClr w14:val="tx1"/>
                  </w14:solidFill>
                </w14:textFill>
              </w:rPr>
              <w:t>3</w:t>
            </w:r>
          </w:p>
        </w:tc>
        <w:tc>
          <w:tcPr>
            <w:tcW w:w="135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颗粒物</w:t>
            </w:r>
          </w:p>
        </w:tc>
        <w:tc>
          <w:tcPr>
            <w:tcW w:w="86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7.5</w:t>
            </w:r>
          </w:p>
        </w:tc>
        <w:tc>
          <w:tcPr>
            <w:tcW w:w="167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1.04</w:t>
            </w:r>
          </w:p>
        </w:tc>
        <w:tc>
          <w:tcPr>
            <w:tcW w:w="108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521</w:t>
            </w:r>
          </w:p>
        </w:tc>
        <w:tc>
          <w:tcPr>
            <w:tcW w:w="852"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布袋</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除尘器</w:t>
            </w:r>
          </w:p>
        </w:tc>
        <w:tc>
          <w:tcPr>
            <w:tcW w:w="117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99</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7.425</w:t>
            </w:r>
          </w:p>
        </w:tc>
        <w:tc>
          <w:tcPr>
            <w:tcW w:w="9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0.075</w:t>
            </w:r>
          </w:p>
        </w:tc>
        <w:tc>
          <w:tcPr>
            <w:tcW w:w="10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0.0104</w:t>
            </w:r>
          </w:p>
        </w:tc>
        <w:tc>
          <w:tcPr>
            <w:tcW w:w="12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5.21</w:t>
            </w:r>
          </w:p>
        </w:tc>
      </w:tr>
    </w:tbl>
    <w:p>
      <w:pPr>
        <w:pStyle w:val="152"/>
        <w:spacing w:after="0" w:line="520" w:lineRule="exact"/>
        <w:ind w:firstLine="0"/>
        <w:rPr>
          <w:rFonts w:cs="宋体"/>
          <w:color w:val="000000" w:themeColor="text1"/>
          <w:szCs w:val="24"/>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p>
    <w:p>
      <w:pPr>
        <w:pStyle w:val="152"/>
        <w:spacing w:line="520" w:lineRule="exact"/>
        <w:ind w:firstLine="0"/>
        <w:jc w:val="left"/>
        <w:rPr>
          <w:rFonts w:ascii="Times New Roman"/>
          <w:bCs/>
          <w:color w:val="000000" w:themeColor="text1"/>
          <w14:textFill>
            <w14:solidFill>
              <w14:schemeClr w14:val="tx1"/>
            </w14:solidFill>
          </w14:textFill>
        </w:rPr>
      </w:pPr>
      <w:r>
        <w:rPr>
          <w:rFonts w:hint="eastAsia" w:ascii="Times New Roman" w:eastAsia="黑体" w:cs="Times New Roman"/>
          <w:b/>
          <w:color w:val="000000" w:themeColor="text1"/>
          <w:szCs w:val="24"/>
          <w:lang w:val="en-US" w:eastAsia="zh-CN"/>
          <w14:textFill>
            <w14:solidFill>
              <w14:schemeClr w14:val="tx1"/>
            </w14:solidFill>
          </w14:textFill>
        </w:rPr>
        <w:t>4</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2</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5.3噪声</w:t>
      </w:r>
    </w:p>
    <w:p>
      <w:pPr>
        <w:pStyle w:val="431"/>
        <w:spacing w:line="50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本项目生产过程中涉及到的噪声排放源主要来自于衬塑刮板离心机、板框压滤机、各类泵、风机及其他设备工作时产生的的噪声，噪声值见下表。</w:t>
      </w:r>
    </w:p>
    <w:p>
      <w:pPr>
        <w:spacing w:line="520" w:lineRule="exact"/>
        <w:jc w:val="center"/>
        <w:outlineLvl w:val="0"/>
        <w:rPr>
          <w:rFonts w:ascii="Times New Roman" w:hAnsi="Times New Roman"/>
          <w:color w:val="000000" w:themeColor="text1"/>
          <w14:textFill>
            <w14:solidFill>
              <w14:schemeClr w14:val="tx1"/>
            </w14:solidFill>
          </w14:textFill>
        </w:rPr>
      </w:pPr>
      <w:bookmarkStart w:id="283" w:name="_Toc32186"/>
      <w:bookmarkStart w:id="284" w:name="_Toc16916"/>
      <w:bookmarkStart w:id="285" w:name="_Toc11436"/>
      <w:r>
        <w:rPr>
          <w:rFonts w:hint="eastAsia" w:ascii="Times New Roman" w:hAnsiTheme="minorEastAsia" w:eastAsiaTheme="minorEastAsia"/>
          <w:b/>
          <w:color w:val="000000" w:themeColor="text1"/>
          <w:sz w:val="24"/>
          <w14:textFill>
            <w14:solidFill>
              <w14:schemeClr w14:val="tx1"/>
            </w14:solidFill>
          </w14:textFill>
        </w:rPr>
        <w:t xml:space="preserve">表 </w:t>
      </w:r>
      <w:r>
        <w:rPr>
          <w:rFonts w:hint="eastAsia" w:ascii="Times New Roman" w:hAnsiTheme="minorEastAsia" w:eastAsiaTheme="minorEastAsia"/>
          <w:b/>
          <w:color w:val="000000" w:themeColor="text1"/>
          <w:sz w:val="24"/>
          <w:lang w:val="en-US" w:eastAsia="zh-CN"/>
          <w14:textFill>
            <w14:solidFill>
              <w14:schemeClr w14:val="tx1"/>
            </w14:solidFill>
          </w14:textFill>
        </w:rPr>
        <w:t>4</w:t>
      </w:r>
      <w:r>
        <w:rPr>
          <w:rFonts w:hint="eastAsia" w:ascii="Times New Roman" w:hAnsiTheme="minorEastAsia" w:eastAsiaTheme="minorEastAsia"/>
          <w:b/>
          <w:color w:val="000000" w:themeColor="text1"/>
          <w:sz w:val="24"/>
          <w14:textFill>
            <w14:solidFill>
              <w14:schemeClr w14:val="tx1"/>
            </w14:solidFill>
          </w14:textFill>
        </w:rPr>
        <w:t>.2</w:t>
      </w:r>
      <w:r>
        <w:rPr>
          <w:rFonts w:ascii="Times New Roman" w:hAnsiTheme="minorEastAsia" w:eastAsiaTheme="minorEastAsia"/>
          <w:b/>
          <w:color w:val="000000" w:themeColor="text1"/>
          <w:sz w:val="24"/>
          <w14:textFill>
            <w14:solidFill>
              <w14:schemeClr w14:val="tx1"/>
            </w14:solidFill>
          </w14:textFill>
        </w:rPr>
        <w:t>-</w:t>
      </w:r>
      <w:r>
        <w:rPr>
          <w:rFonts w:hint="eastAsia" w:ascii="Times New Roman" w:hAnsiTheme="minorEastAsia" w:eastAsiaTheme="minorEastAsia"/>
          <w:b/>
          <w:color w:val="000000" w:themeColor="text1"/>
          <w:sz w:val="24"/>
          <w14:textFill>
            <w14:solidFill>
              <w14:schemeClr w14:val="tx1"/>
            </w14:solidFill>
          </w14:textFill>
        </w:rPr>
        <w:t>10</w:t>
      </w:r>
      <w:r>
        <w:rPr>
          <w:rFonts w:ascii="Times New Roman" w:hAnsiTheme="minorEastAsia" w:eastAsiaTheme="minorEastAsia"/>
          <w:b/>
          <w:color w:val="000000" w:themeColor="text1"/>
          <w:sz w:val="24"/>
          <w14:textFill>
            <w14:solidFill>
              <w14:schemeClr w14:val="tx1"/>
            </w14:solidFill>
          </w14:textFill>
        </w:rPr>
        <w:t xml:space="preserve">  </w:t>
      </w:r>
      <w:r>
        <w:rPr>
          <w:rFonts w:hint="eastAsia" w:ascii="Times New Roman" w:hAnsiTheme="minorEastAsia" w:eastAsiaTheme="minorEastAsia"/>
          <w:b/>
          <w:color w:val="000000" w:themeColor="text1"/>
          <w:sz w:val="24"/>
          <w14:textFill>
            <w14:solidFill>
              <w14:schemeClr w14:val="tx1"/>
            </w14:solidFill>
          </w14:textFill>
        </w:rPr>
        <w:t>本项目主要噪声设备及拟采取的降噪措施情况表</w:t>
      </w:r>
      <w:bookmarkEnd w:id="283"/>
      <w:bookmarkEnd w:id="284"/>
      <w:bookmarkEnd w:id="285"/>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5"/>
        <w:gridCol w:w="1115"/>
        <w:gridCol w:w="1965"/>
        <w:gridCol w:w="990"/>
        <w:gridCol w:w="1337"/>
        <w:gridCol w:w="1956"/>
        <w:gridCol w:w="11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序号</w:t>
            </w:r>
          </w:p>
        </w:tc>
        <w:tc>
          <w:tcPr>
            <w:tcW w:w="111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车间位置</w:t>
            </w: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设备名称</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数量/台</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单台声压级值dB（A</w:t>
            </w:r>
            <w:r>
              <w:rPr>
                <w:rFonts w:hint="eastAsia" w:ascii="Times New Roman" w:hAnsi="Times New Roman"/>
                <w:color w:val="000000" w:themeColor="text1"/>
                <w:kern w:val="0"/>
                <w:szCs w:val="21"/>
                <w14:textFill>
                  <w14:solidFill>
                    <w14:schemeClr w14:val="tx1"/>
                  </w14:solidFill>
                </w14:textFill>
              </w:rPr>
              <w:t>）</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治理措施</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降噪效果dB（A）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115" w:type="dxa"/>
            <w:vMerge w:val="restar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氟硅酸钠</w:t>
            </w:r>
          </w:p>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生产车间</w:t>
            </w: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衬塑刮板离心机</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板框压滤机</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除氟釜</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循环水泵</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5</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布袋除尘器</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冷却塔</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7</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风机</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90</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8</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包装机</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9</w:t>
            </w:r>
          </w:p>
        </w:tc>
        <w:tc>
          <w:tcPr>
            <w:tcW w:w="1115" w:type="dxa"/>
            <w:vMerge w:val="restart"/>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罐区</w:t>
            </w: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氟硅酸输送泵</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10</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废酸输送泵</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11</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粗钙液输送泵</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12</w:t>
            </w:r>
          </w:p>
        </w:tc>
        <w:tc>
          <w:tcPr>
            <w:tcW w:w="1115" w:type="dxa"/>
            <w:vMerge w:val="continue"/>
            <w:vAlign w:val="center"/>
          </w:tcPr>
          <w:p>
            <w:pPr>
              <w:widowControl/>
              <w:jc w:val="left"/>
              <w:rPr>
                <w:rFonts w:ascii="Times New Roman" w:hAnsi="Times New Roman"/>
                <w:color w:val="000000" w:themeColor="text1"/>
                <w:kern w:val="0"/>
                <w:szCs w:val="21"/>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成品钙液输送泵</w:t>
            </w:r>
          </w:p>
        </w:tc>
        <w:tc>
          <w:tcPr>
            <w:tcW w:w="990"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20-30</w:t>
            </w:r>
          </w:p>
        </w:tc>
      </w:tr>
    </w:tbl>
    <w:p>
      <w:pPr>
        <w:pStyle w:val="152"/>
        <w:spacing w:line="520" w:lineRule="exact"/>
        <w:ind w:firstLine="0"/>
        <w:jc w:val="left"/>
        <w:rPr>
          <w:rFonts w:ascii="Times New Roman"/>
          <w:bCs/>
          <w:color w:val="000000" w:themeColor="text1"/>
          <w14:textFill>
            <w14:solidFill>
              <w14:schemeClr w14:val="tx1"/>
            </w14:solidFill>
          </w14:textFill>
        </w:rPr>
      </w:pPr>
      <w:r>
        <w:rPr>
          <w:rFonts w:hint="eastAsia" w:ascii="Times New Roman" w:eastAsia="黑体" w:cs="Times New Roman"/>
          <w:b/>
          <w:color w:val="000000" w:themeColor="text1"/>
          <w:szCs w:val="24"/>
          <w:lang w:val="en-US" w:eastAsia="zh-CN"/>
          <w14:textFill>
            <w14:solidFill>
              <w14:schemeClr w14:val="tx1"/>
            </w14:solidFill>
          </w14:textFill>
        </w:rPr>
        <w:t>4</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2</w:t>
      </w:r>
      <w:r>
        <w:rPr>
          <w:rFonts w:ascii="Times New Roman" w:eastAsia="黑体" w:cs="Times New Roman"/>
          <w:b/>
          <w:color w:val="000000" w:themeColor="text1"/>
          <w:szCs w:val="24"/>
          <w14:textFill>
            <w14:solidFill>
              <w14:schemeClr w14:val="tx1"/>
            </w14:solidFill>
          </w14:textFill>
        </w:rPr>
        <w:t>.</w:t>
      </w:r>
      <w:r>
        <w:rPr>
          <w:rFonts w:hint="eastAsia" w:ascii="Times New Roman" w:eastAsia="黑体" w:cs="Times New Roman"/>
          <w:b/>
          <w:color w:val="000000" w:themeColor="text1"/>
          <w:szCs w:val="24"/>
          <w14:textFill>
            <w14:solidFill>
              <w14:schemeClr w14:val="tx1"/>
            </w14:solidFill>
          </w14:textFill>
        </w:rPr>
        <w:t>5.4固体废物</w:t>
      </w:r>
    </w:p>
    <w:p>
      <w:pPr>
        <w:pStyle w:val="431"/>
        <w:spacing w:line="50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本项目运营期固废主要包括废包装材料、生活垃圾、布袋除尘器收集粉尘、压滤废渣、废机油。</w:t>
      </w:r>
    </w:p>
    <w:p>
      <w:pPr>
        <w:pStyle w:val="431"/>
        <w:numPr>
          <w:ilvl w:val="0"/>
          <w:numId w:val="33"/>
        </w:numPr>
        <w:spacing w:line="50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废包装材料</w:t>
      </w:r>
    </w:p>
    <w:p>
      <w:pPr>
        <w:pStyle w:val="431"/>
        <w:spacing w:line="500" w:lineRule="exact"/>
        <w:ind w:firstLineChars="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本项目粉状原辅料拆包过程中会产生少量的废包装材料，废包装材料属于一般工业固体废物（261-001-49），产生量约为5t/a，经集中收集后交由物资部门回收处理。</w:t>
      </w:r>
    </w:p>
    <w:p>
      <w:pPr>
        <w:pStyle w:val="431"/>
        <w:spacing w:line="500" w:lineRule="exact"/>
        <w:ind w:firstLineChars="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（2）生活垃圾</w:t>
      </w:r>
    </w:p>
    <w:p>
      <w:pPr>
        <w:pStyle w:val="152"/>
        <w:spacing w:after="0" w:line="520" w:lineRule="exact"/>
        <w:ind w:firstLine="480" w:firstLineChars="200"/>
        <w:rPr>
          <w:rFonts w:ascii="Times New Roman"/>
          <w:bCs/>
          <w:color w:val="000000" w:themeColor="text1"/>
          <w14:textFill>
            <w14:solidFill>
              <w14:schemeClr w14:val="tx1"/>
            </w14:solidFill>
          </w14:textFill>
        </w:rPr>
      </w:pPr>
      <w:r>
        <w:rPr>
          <w:rFonts w:ascii="Times New Roman"/>
          <w:bCs/>
          <w:color w:val="000000" w:themeColor="text1"/>
          <w14:textFill>
            <w14:solidFill>
              <w14:schemeClr w14:val="tx1"/>
            </w14:solidFill>
          </w14:textFill>
        </w:rPr>
        <w:t>项目全厂劳动定员</w:t>
      </w:r>
      <w:r>
        <w:rPr>
          <w:rFonts w:hint="eastAsia" w:ascii="Times New Roman"/>
          <w:bCs/>
          <w:color w:val="000000" w:themeColor="text1"/>
          <w14:textFill>
            <w14:solidFill>
              <w14:schemeClr w14:val="tx1"/>
            </w14:solidFill>
          </w14:textFill>
        </w:rPr>
        <w:t>48</w:t>
      </w:r>
      <w:r>
        <w:rPr>
          <w:rFonts w:ascii="Times New Roman"/>
          <w:bCs/>
          <w:color w:val="000000" w:themeColor="text1"/>
          <w14:textFill>
            <w14:solidFill>
              <w14:schemeClr w14:val="tx1"/>
            </w14:solidFill>
          </w14:textFill>
        </w:rPr>
        <w:t>人，生活垃圾产生量按0.</w:t>
      </w:r>
      <w:r>
        <w:rPr>
          <w:rFonts w:hint="eastAsia" w:ascii="Times New Roman"/>
          <w:bCs/>
          <w:color w:val="000000" w:themeColor="text1"/>
          <w14:textFill>
            <w14:solidFill>
              <w14:schemeClr w14:val="tx1"/>
            </w14:solidFill>
          </w14:textFill>
        </w:rPr>
        <w:t>1</w:t>
      </w:r>
      <w:r>
        <w:rPr>
          <w:rFonts w:ascii="Times New Roman"/>
          <w:bCs/>
          <w:color w:val="000000" w:themeColor="text1"/>
          <w14:textFill>
            <w14:solidFill>
              <w14:schemeClr w14:val="tx1"/>
            </w14:solidFill>
          </w14:textFill>
        </w:rPr>
        <w:t>5kg/d·人，年工作300d，则生活垃圾产生量为</w:t>
      </w:r>
      <w:r>
        <w:rPr>
          <w:rFonts w:hint="eastAsia" w:ascii="Times New Roman"/>
          <w:bCs/>
          <w:color w:val="000000" w:themeColor="text1"/>
          <w14:textFill>
            <w14:solidFill>
              <w14:schemeClr w14:val="tx1"/>
            </w14:solidFill>
          </w14:textFill>
        </w:rPr>
        <w:t>2.16</w:t>
      </w:r>
      <w:r>
        <w:rPr>
          <w:rFonts w:ascii="Times New Roman"/>
          <w:bCs/>
          <w:color w:val="000000" w:themeColor="text1"/>
          <w14:textFill>
            <w14:solidFill>
              <w14:schemeClr w14:val="tx1"/>
            </w14:solidFill>
          </w14:textFill>
        </w:rPr>
        <w:t>t/a。生活垃圾由厂区垃圾箱收集后，由环卫部门定期清理。</w:t>
      </w:r>
    </w:p>
    <w:p>
      <w:pPr>
        <w:pStyle w:val="431"/>
        <w:spacing w:line="500" w:lineRule="exact"/>
        <w:ind w:firstLineChars="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（3）压滤废渣</w:t>
      </w:r>
    </w:p>
    <w:p>
      <w:pPr>
        <w:pStyle w:val="152"/>
        <w:spacing w:after="0" w:line="520" w:lineRule="exact"/>
        <w:ind w:firstLine="480" w:firstLineChars="200"/>
        <w:rPr>
          <w:rFonts w:ascii="Times New Roman"/>
          <w:bCs/>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根据物料平衡可知，本项目板框压滤废渣产生量为9613.648t/a，废渣主要成分为Ca（OH）</w:t>
      </w:r>
      <w:r>
        <w:rPr>
          <w:rFonts w:hint="eastAsia" w:ascii="Times New Roman"/>
          <w:bCs/>
          <w:color w:val="000000" w:themeColor="text1"/>
          <w:vertAlign w:val="subscript"/>
          <w14:textFill>
            <w14:solidFill>
              <w14:schemeClr w14:val="tx1"/>
            </w14:solidFill>
          </w14:textFill>
        </w:rPr>
        <w:t>2</w:t>
      </w:r>
      <w:r>
        <w:rPr>
          <w:rFonts w:hint="eastAsia" w:ascii="Times New Roman"/>
          <w:bCs/>
          <w:color w:val="000000" w:themeColor="text1"/>
          <w14:textFill>
            <w14:solidFill>
              <w14:schemeClr w14:val="tx1"/>
            </w14:solidFill>
          </w14:textFill>
        </w:rPr>
        <w:t>、CaF、SiO</w:t>
      </w:r>
      <w:r>
        <w:rPr>
          <w:rFonts w:hint="eastAsia" w:ascii="Times New Roman"/>
          <w:bCs/>
          <w:color w:val="000000" w:themeColor="text1"/>
          <w:vertAlign w:val="subscript"/>
          <w14:textFill>
            <w14:solidFill>
              <w14:schemeClr w14:val="tx1"/>
            </w14:solidFill>
          </w14:textFill>
        </w:rPr>
        <w:t>2</w:t>
      </w:r>
      <w:r>
        <w:rPr>
          <w:rFonts w:hint="eastAsia" w:ascii="Times New Roman"/>
          <w:bCs/>
          <w:color w:val="000000" w:themeColor="text1"/>
          <w14:textFill>
            <w14:solidFill>
              <w14:schemeClr w14:val="tx1"/>
            </w14:solidFill>
          </w14:textFill>
        </w:rPr>
        <w:t>，属于一般工业固体废物（</w:t>
      </w:r>
      <w:r>
        <w:rPr>
          <w:rFonts w:hint="eastAsia" w:ascii="Times New Roman" w:cs="Times New Roman"/>
          <w:color w:val="000000" w:themeColor="text1"/>
          <w14:textFill>
            <w14:solidFill>
              <w14:schemeClr w14:val="tx1"/>
            </w14:solidFill>
          </w14:textFill>
        </w:rPr>
        <w:t>261-001-49</w:t>
      </w:r>
      <w:r>
        <w:rPr>
          <w:rFonts w:hint="eastAsia" w:ascii="Times New Roman"/>
          <w:bCs/>
          <w:color w:val="000000" w:themeColor="text1"/>
          <w14:textFill>
            <w14:solidFill>
              <w14:schemeClr w14:val="tx1"/>
            </w14:solidFill>
          </w14:textFill>
        </w:rPr>
        <w:t>），经集中收集后外售砖厂综合利用。</w:t>
      </w:r>
    </w:p>
    <w:p>
      <w:pPr>
        <w:pStyle w:val="431"/>
        <w:numPr>
          <w:ilvl w:val="0"/>
          <w:numId w:val="32"/>
        </w:numPr>
        <w:spacing w:line="50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布袋除尘器收集粉尘</w:t>
      </w:r>
    </w:p>
    <w:p>
      <w:pPr>
        <w:pStyle w:val="152"/>
        <w:spacing w:after="0" w:line="520" w:lineRule="exact"/>
        <w:ind w:firstLine="480" w:firstLineChars="200"/>
        <w:rPr>
          <w:rFonts w:ascii="Times New Roman"/>
          <w:bCs/>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由前文源强分析可知，本项目烘干废气经布袋除尘器收集粉尘量为198t/a，该部分粉尘为一般工业固体废物</w:t>
      </w:r>
      <w:r>
        <w:rPr>
          <w:rFonts w:hint="eastAsia" w:ascii="Times New Roman" w:cs="Times New Roman"/>
          <w:color w:val="000000" w:themeColor="text1"/>
          <w14:textFill>
            <w14:solidFill>
              <w14:schemeClr w14:val="tx1"/>
            </w14:solidFill>
          </w14:textFill>
        </w:rPr>
        <w:t>（261-001-66），</w:t>
      </w:r>
      <w:r>
        <w:rPr>
          <w:rFonts w:hint="eastAsia" w:ascii="Times New Roman"/>
          <w:bCs/>
          <w:color w:val="000000" w:themeColor="text1"/>
          <w14:textFill>
            <w14:solidFill>
              <w14:schemeClr w14:val="tx1"/>
            </w14:solidFill>
          </w14:textFill>
        </w:rPr>
        <w:t>集中收集后作为产品外售。</w:t>
      </w:r>
    </w:p>
    <w:p>
      <w:pPr>
        <w:pStyle w:val="431"/>
        <w:numPr>
          <w:ilvl w:val="0"/>
          <w:numId w:val="32"/>
        </w:numPr>
        <w:spacing w:line="50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废机油</w:t>
      </w:r>
    </w:p>
    <w:p>
      <w:pPr>
        <w:pStyle w:val="152"/>
        <w:spacing w:after="0" w:line="520" w:lineRule="exact"/>
        <w:ind w:firstLine="480" w:firstLineChars="200"/>
        <w:rPr>
          <w:rFonts w:ascii="Times New Roman"/>
          <w:bCs/>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本项目运营期机械设备维修及保养会产生少量的废机油，属于危险废物，编号HW08（900-214-08），其产生量约为0.2t/a。废机油收集暂存于危废暂存间，定期委托有资质单位进行清运处置。</w:t>
      </w:r>
    </w:p>
    <w:p>
      <w:pPr>
        <w:pStyle w:val="152"/>
        <w:spacing w:after="0" w:line="520" w:lineRule="exact"/>
        <w:ind w:firstLine="480" w:firstLineChars="200"/>
        <w:rPr>
          <w:rFonts w:ascii="Times New Roman"/>
          <w:bCs/>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根据《建设项目危险废物环境影响评价指南》列出本项目危废产生情况如下表：</w:t>
      </w:r>
    </w:p>
    <w:p>
      <w:pPr>
        <w:spacing w:line="520" w:lineRule="exact"/>
        <w:jc w:val="center"/>
        <w:outlineLvl w:val="0"/>
        <w:rPr>
          <w:rFonts w:ascii="Times New Roman" w:hAnsiTheme="minorEastAsia" w:eastAsiaTheme="minorEastAsia"/>
          <w:b/>
          <w:color w:val="000000" w:themeColor="text1"/>
          <w:sz w:val="24"/>
          <w14:textFill>
            <w14:solidFill>
              <w14:schemeClr w14:val="tx1"/>
            </w14:solidFill>
          </w14:textFill>
        </w:rPr>
      </w:pPr>
      <w:bookmarkStart w:id="286" w:name="_Toc17661"/>
      <w:bookmarkStart w:id="287" w:name="_Toc8892"/>
      <w:bookmarkStart w:id="288" w:name="_Toc17221"/>
      <w:r>
        <w:rPr>
          <w:rFonts w:hint="eastAsia" w:ascii="Times New Roman" w:hAnsiTheme="minorEastAsia" w:eastAsiaTheme="minorEastAsia"/>
          <w:b/>
          <w:color w:val="000000" w:themeColor="text1"/>
          <w:sz w:val="24"/>
          <w14:textFill>
            <w14:solidFill>
              <w14:schemeClr w14:val="tx1"/>
            </w14:solidFill>
          </w14:textFill>
        </w:rPr>
        <w:t xml:space="preserve">表 </w:t>
      </w:r>
      <w:r>
        <w:rPr>
          <w:rFonts w:hint="eastAsia" w:ascii="Times New Roman" w:hAnsiTheme="minorEastAsia" w:eastAsiaTheme="minorEastAsia"/>
          <w:b/>
          <w:color w:val="000000" w:themeColor="text1"/>
          <w:sz w:val="24"/>
          <w:lang w:val="en-US" w:eastAsia="zh-CN"/>
          <w14:textFill>
            <w14:solidFill>
              <w14:schemeClr w14:val="tx1"/>
            </w14:solidFill>
          </w14:textFill>
        </w:rPr>
        <w:t>4</w:t>
      </w:r>
      <w:r>
        <w:rPr>
          <w:rFonts w:hint="eastAsia" w:ascii="Times New Roman" w:hAnsiTheme="minorEastAsia" w:eastAsiaTheme="minorEastAsia"/>
          <w:b/>
          <w:color w:val="000000" w:themeColor="text1"/>
          <w:sz w:val="24"/>
          <w14:textFill>
            <w14:solidFill>
              <w14:schemeClr w14:val="tx1"/>
            </w14:solidFill>
          </w14:textFill>
        </w:rPr>
        <w:t>.2</w:t>
      </w:r>
      <w:r>
        <w:rPr>
          <w:rFonts w:ascii="Times New Roman" w:hAnsiTheme="minorEastAsia" w:eastAsiaTheme="minorEastAsia"/>
          <w:b/>
          <w:color w:val="000000" w:themeColor="text1"/>
          <w:sz w:val="24"/>
          <w14:textFill>
            <w14:solidFill>
              <w14:schemeClr w14:val="tx1"/>
            </w14:solidFill>
          </w14:textFill>
        </w:rPr>
        <w:t>-</w:t>
      </w:r>
      <w:r>
        <w:rPr>
          <w:rFonts w:hint="eastAsia" w:ascii="Times New Roman" w:hAnsiTheme="minorEastAsia" w:eastAsiaTheme="minorEastAsia"/>
          <w:b/>
          <w:color w:val="000000" w:themeColor="text1"/>
          <w:sz w:val="24"/>
          <w14:textFill>
            <w14:solidFill>
              <w14:schemeClr w14:val="tx1"/>
            </w14:solidFill>
          </w14:textFill>
        </w:rPr>
        <w:t>11</w:t>
      </w:r>
      <w:r>
        <w:rPr>
          <w:rFonts w:ascii="Times New Roman" w:hAnsiTheme="minorEastAsia" w:eastAsiaTheme="minorEastAsia"/>
          <w:b/>
          <w:color w:val="000000" w:themeColor="text1"/>
          <w:sz w:val="24"/>
          <w14:textFill>
            <w14:solidFill>
              <w14:schemeClr w14:val="tx1"/>
            </w14:solidFill>
          </w14:textFill>
        </w:rPr>
        <w:t xml:space="preserve">  工程分析中危险废物汇总</w:t>
      </w:r>
      <w:bookmarkEnd w:id="286"/>
      <w:bookmarkEnd w:id="287"/>
      <w:bookmarkEnd w:id="288"/>
    </w:p>
    <w:tbl>
      <w:tblPr>
        <w:tblStyle w:val="87"/>
        <w:tblW w:w="9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036"/>
        <w:gridCol w:w="713"/>
        <w:gridCol w:w="1006"/>
        <w:gridCol w:w="1008"/>
        <w:gridCol w:w="862"/>
        <w:gridCol w:w="1147"/>
        <w:gridCol w:w="1183"/>
        <w:gridCol w:w="577"/>
        <w:gridCol w:w="566"/>
        <w:gridCol w:w="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507"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序号</w:t>
            </w:r>
          </w:p>
        </w:tc>
        <w:tc>
          <w:tcPr>
            <w:tcW w:w="1036"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危险废物名称</w:t>
            </w:r>
          </w:p>
        </w:tc>
        <w:tc>
          <w:tcPr>
            <w:tcW w:w="713"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危险废物类别</w:t>
            </w:r>
          </w:p>
        </w:tc>
        <w:tc>
          <w:tcPr>
            <w:tcW w:w="1006"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危险废物代码</w:t>
            </w:r>
          </w:p>
        </w:tc>
        <w:tc>
          <w:tcPr>
            <w:tcW w:w="1008"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产生量（吨/年）</w:t>
            </w:r>
          </w:p>
        </w:tc>
        <w:tc>
          <w:tcPr>
            <w:tcW w:w="862"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产生工序及装置</w:t>
            </w:r>
          </w:p>
        </w:tc>
        <w:tc>
          <w:tcPr>
            <w:tcW w:w="1147"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主要成分</w:t>
            </w:r>
          </w:p>
        </w:tc>
        <w:tc>
          <w:tcPr>
            <w:tcW w:w="1183"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有害成分</w:t>
            </w:r>
          </w:p>
        </w:tc>
        <w:tc>
          <w:tcPr>
            <w:tcW w:w="577"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产废周期</w:t>
            </w:r>
          </w:p>
        </w:tc>
        <w:tc>
          <w:tcPr>
            <w:tcW w:w="566"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危险</w:t>
            </w:r>
          </w:p>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特性</w:t>
            </w:r>
          </w:p>
        </w:tc>
        <w:tc>
          <w:tcPr>
            <w:tcW w:w="691"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7" w:hRule="atLeast"/>
          <w:jc w:val="center"/>
        </w:trPr>
        <w:tc>
          <w:tcPr>
            <w:tcW w:w="507"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036" w:type="dxa"/>
            <w:tcBorders>
              <w:tl2br w:val="nil"/>
              <w:tr2bl w:val="nil"/>
            </w:tcBorders>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废矿物油</w:t>
            </w:r>
          </w:p>
        </w:tc>
        <w:tc>
          <w:tcPr>
            <w:tcW w:w="713"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HW</w:t>
            </w:r>
          </w:p>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08</w:t>
            </w:r>
          </w:p>
        </w:tc>
        <w:tc>
          <w:tcPr>
            <w:tcW w:w="1006"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900-214-08</w:t>
            </w:r>
          </w:p>
        </w:tc>
        <w:tc>
          <w:tcPr>
            <w:tcW w:w="1008"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0.2</w:t>
            </w:r>
          </w:p>
        </w:tc>
        <w:tc>
          <w:tcPr>
            <w:tcW w:w="862"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设备维修</w:t>
            </w:r>
          </w:p>
        </w:tc>
        <w:tc>
          <w:tcPr>
            <w:tcW w:w="1147"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C15-C36的烷烃、多环芳烃（PAHS）、烯烃、苯系物、酚类</w:t>
            </w:r>
          </w:p>
        </w:tc>
        <w:tc>
          <w:tcPr>
            <w:tcW w:w="1183"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C15-C36的烷烃、多环芳烃（PAHS）、烯烃、苯系物、酚类</w:t>
            </w:r>
          </w:p>
        </w:tc>
        <w:tc>
          <w:tcPr>
            <w:tcW w:w="577"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一</w:t>
            </w:r>
          </w:p>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年</w:t>
            </w:r>
          </w:p>
        </w:tc>
        <w:tc>
          <w:tcPr>
            <w:tcW w:w="566"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易燃性</w:t>
            </w:r>
          </w:p>
        </w:tc>
        <w:tc>
          <w:tcPr>
            <w:tcW w:w="691" w:type="dxa"/>
            <w:tcBorders>
              <w:tl2br w:val="nil"/>
              <w:tr2bl w:val="nil"/>
            </w:tcBorders>
            <w:vAlign w:val="center"/>
          </w:tcPr>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集中收集</w:t>
            </w:r>
            <w:r>
              <w:rPr>
                <w:rFonts w:hint="eastAsia" w:ascii="Times New Roman" w:hAnsi="Times New Roman"/>
                <w:color w:val="000000" w:themeColor="text1"/>
                <w:kern w:val="0"/>
                <w:szCs w:val="21"/>
                <w14:textFill>
                  <w14:solidFill>
                    <w14:schemeClr w14:val="tx1"/>
                  </w14:solidFill>
                </w14:textFill>
              </w:rPr>
              <w:t>暂存于危废暂存间后</w:t>
            </w:r>
            <w:r>
              <w:rPr>
                <w:rFonts w:ascii="Times New Roman" w:hAnsi="Times New Roman"/>
                <w:color w:val="000000" w:themeColor="text1"/>
                <w:kern w:val="0"/>
                <w:szCs w:val="21"/>
                <w14:textFill>
                  <w14:solidFill>
                    <w14:schemeClr w14:val="tx1"/>
                  </w14:solidFill>
                </w14:textFill>
              </w:rPr>
              <w:t>委</w:t>
            </w:r>
          </w:p>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托有资质的单</w:t>
            </w:r>
          </w:p>
          <w:p>
            <w:pPr>
              <w:topLinePunct/>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位</w:t>
            </w:r>
          </w:p>
        </w:tc>
      </w:tr>
    </w:tbl>
    <w:p>
      <w:pPr>
        <w:spacing w:line="520" w:lineRule="exact"/>
        <w:jc w:val="center"/>
        <w:outlineLvl w:val="0"/>
        <w:rPr>
          <w:rFonts w:ascii="Times New Roman" w:hAnsiTheme="minorEastAsia" w:eastAsiaTheme="minorEastAsia"/>
          <w:b/>
          <w:color w:val="000000" w:themeColor="text1"/>
          <w:sz w:val="24"/>
          <w14:textFill>
            <w14:solidFill>
              <w14:schemeClr w14:val="tx1"/>
            </w14:solidFill>
          </w14:textFill>
        </w:rPr>
      </w:pPr>
      <w:bookmarkStart w:id="289" w:name="_Toc13639"/>
      <w:bookmarkStart w:id="290" w:name="_Toc9402"/>
      <w:bookmarkStart w:id="291" w:name="_Toc31150"/>
      <w:r>
        <w:rPr>
          <w:rFonts w:hint="eastAsia" w:ascii="Times New Roman" w:hAnsiTheme="minorEastAsia" w:eastAsiaTheme="minorEastAsia"/>
          <w:b/>
          <w:color w:val="000000" w:themeColor="text1"/>
          <w:sz w:val="24"/>
          <w14:textFill>
            <w14:solidFill>
              <w14:schemeClr w14:val="tx1"/>
            </w14:solidFill>
          </w14:textFill>
        </w:rPr>
        <w:t>表</w:t>
      </w:r>
      <w:r>
        <w:rPr>
          <w:rFonts w:hint="eastAsia" w:ascii="Times New Roman" w:hAnsiTheme="minorEastAsia" w:eastAsiaTheme="minorEastAsia"/>
          <w:b/>
          <w:color w:val="000000" w:themeColor="text1"/>
          <w:sz w:val="24"/>
          <w:lang w:val="en-US" w:eastAsia="zh-CN"/>
          <w14:textFill>
            <w14:solidFill>
              <w14:schemeClr w14:val="tx1"/>
            </w14:solidFill>
          </w14:textFill>
        </w:rPr>
        <w:t>4</w:t>
      </w:r>
      <w:r>
        <w:rPr>
          <w:rFonts w:hint="eastAsia" w:ascii="Times New Roman" w:hAnsiTheme="minorEastAsia" w:eastAsiaTheme="minorEastAsia"/>
          <w:b/>
          <w:color w:val="000000" w:themeColor="text1"/>
          <w:sz w:val="24"/>
          <w14:textFill>
            <w14:solidFill>
              <w14:schemeClr w14:val="tx1"/>
            </w14:solidFill>
          </w14:textFill>
        </w:rPr>
        <w:t>.2-12  建设项目危险废物贮存场所（设施）基本情况样表</w:t>
      </w:r>
      <w:bookmarkEnd w:id="289"/>
      <w:bookmarkEnd w:id="290"/>
      <w:bookmarkEnd w:id="291"/>
    </w:p>
    <w:tbl>
      <w:tblPr>
        <w:tblStyle w:val="87"/>
        <w:tblW w:w="9302" w:type="dxa"/>
        <w:tblInd w:w="-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104"/>
        <w:gridCol w:w="1071"/>
        <w:gridCol w:w="802"/>
        <w:gridCol w:w="1237"/>
        <w:gridCol w:w="709"/>
        <w:gridCol w:w="1202"/>
        <w:gridCol w:w="943"/>
        <w:gridCol w:w="669"/>
        <w:gridCol w:w="9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637" w:type="dxa"/>
            <w:tcBorders>
              <w:top w:val="single" w:color="auto" w:sz="12" w:space="0"/>
              <w:left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序号</w:t>
            </w:r>
          </w:p>
        </w:tc>
        <w:tc>
          <w:tcPr>
            <w:tcW w:w="1104"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贮存场所（设施）</w:t>
            </w:r>
          </w:p>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名称</w:t>
            </w:r>
          </w:p>
        </w:tc>
        <w:tc>
          <w:tcPr>
            <w:tcW w:w="1071"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危险废物名称</w:t>
            </w:r>
          </w:p>
        </w:tc>
        <w:tc>
          <w:tcPr>
            <w:tcW w:w="802"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危险废物类别</w:t>
            </w:r>
          </w:p>
        </w:tc>
        <w:tc>
          <w:tcPr>
            <w:tcW w:w="1237"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危险废物代码</w:t>
            </w:r>
          </w:p>
        </w:tc>
        <w:tc>
          <w:tcPr>
            <w:tcW w:w="709"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位置</w:t>
            </w:r>
          </w:p>
        </w:tc>
        <w:tc>
          <w:tcPr>
            <w:tcW w:w="1202"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占地面积</w:t>
            </w:r>
          </w:p>
        </w:tc>
        <w:tc>
          <w:tcPr>
            <w:tcW w:w="943"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贮存方式</w:t>
            </w:r>
          </w:p>
        </w:tc>
        <w:tc>
          <w:tcPr>
            <w:tcW w:w="669" w:type="dxa"/>
            <w:tcBorders>
              <w:top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贮存</w:t>
            </w:r>
          </w:p>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能力</w:t>
            </w:r>
          </w:p>
        </w:tc>
        <w:tc>
          <w:tcPr>
            <w:tcW w:w="928" w:type="dxa"/>
            <w:tcBorders>
              <w:top w:val="single" w:color="auto" w:sz="12" w:space="0"/>
              <w:right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贮存</w:t>
            </w:r>
          </w:p>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37" w:type="dxa"/>
            <w:tcBorders>
              <w:left w:val="single" w:color="auto" w:sz="12" w:space="0"/>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1</w:t>
            </w:r>
          </w:p>
        </w:tc>
        <w:tc>
          <w:tcPr>
            <w:tcW w:w="1104" w:type="dxa"/>
            <w:tcBorders>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危险废物</w:t>
            </w:r>
          </w:p>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暂存间</w:t>
            </w:r>
          </w:p>
        </w:tc>
        <w:tc>
          <w:tcPr>
            <w:tcW w:w="1071" w:type="dxa"/>
            <w:tcBorders>
              <w:bottom w:val="single" w:color="auto" w:sz="12" w:space="0"/>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w:t>
            </w:r>
            <w:r>
              <w:rPr>
                <w:rFonts w:hint="eastAsia" w:ascii="Times New Roman" w:hAnsi="Times New Roman"/>
                <w:color w:val="000000" w:themeColor="text1"/>
                <w14:textFill>
                  <w14:solidFill>
                    <w14:schemeClr w14:val="tx1"/>
                  </w14:solidFill>
                </w14:textFill>
              </w:rPr>
              <w:t>机油</w:t>
            </w:r>
          </w:p>
        </w:tc>
        <w:tc>
          <w:tcPr>
            <w:tcW w:w="802" w:type="dxa"/>
            <w:tcBorders>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HW08</w:t>
            </w:r>
          </w:p>
        </w:tc>
        <w:tc>
          <w:tcPr>
            <w:tcW w:w="1237" w:type="dxa"/>
            <w:tcBorders>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900-214-08</w:t>
            </w:r>
          </w:p>
        </w:tc>
        <w:tc>
          <w:tcPr>
            <w:tcW w:w="709" w:type="dxa"/>
            <w:tcBorders>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综合仓库西侧</w:t>
            </w:r>
          </w:p>
        </w:tc>
        <w:tc>
          <w:tcPr>
            <w:tcW w:w="1202" w:type="dxa"/>
            <w:tcBorders>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5</w:t>
            </w:r>
            <w:r>
              <w:rPr>
                <w:rFonts w:ascii="Times New Roman" w:hAnsi="Times New Roman"/>
                <w:color w:val="000000" w:themeColor="text1"/>
                <w:kern w:val="0"/>
                <w14:textFill>
                  <w14:solidFill>
                    <w14:schemeClr w14:val="tx1"/>
                  </w14:solidFill>
                </w14:textFill>
              </w:rPr>
              <w:t>m</w:t>
            </w:r>
            <w:r>
              <w:rPr>
                <w:rFonts w:ascii="Times New Roman" w:hAnsi="Times New Roman"/>
                <w:color w:val="000000" w:themeColor="text1"/>
                <w:kern w:val="0"/>
                <w:vertAlign w:val="superscript"/>
                <w14:textFill>
                  <w14:solidFill>
                    <w14:schemeClr w14:val="tx1"/>
                  </w14:solidFill>
                </w14:textFill>
              </w:rPr>
              <w:t>2</w:t>
            </w:r>
          </w:p>
        </w:tc>
        <w:tc>
          <w:tcPr>
            <w:tcW w:w="943" w:type="dxa"/>
            <w:tcBorders>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桶装</w:t>
            </w:r>
          </w:p>
        </w:tc>
        <w:tc>
          <w:tcPr>
            <w:tcW w:w="669" w:type="dxa"/>
            <w:tcBorders>
              <w:bottom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一年</w:t>
            </w:r>
          </w:p>
        </w:tc>
        <w:tc>
          <w:tcPr>
            <w:tcW w:w="928" w:type="dxa"/>
            <w:tcBorders>
              <w:bottom w:val="single" w:color="auto" w:sz="12" w:space="0"/>
              <w:right w:val="single" w:color="auto" w:sz="12" w:space="0"/>
            </w:tcBorders>
            <w:vAlign w:val="center"/>
          </w:tcPr>
          <w:p>
            <w:pPr>
              <w:topLinePunct/>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半年</w:t>
            </w:r>
          </w:p>
        </w:tc>
      </w:tr>
    </w:tbl>
    <w:p>
      <w:pPr>
        <w:spacing w:line="520" w:lineRule="exact"/>
        <w:jc w:val="center"/>
        <w:outlineLvl w:val="0"/>
        <w:rPr>
          <w:rFonts w:ascii="Times New Roman" w:hAnsiTheme="minorEastAsia" w:eastAsiaTheme="minorEastAsia"/>
          <w:b/>
          <w:color w:val="000000" w:themeColor="text1"/>
          <w:sz w:val="24"/>
          <w14:textFill>
            <w14:solidFill>
              <w14:schemeClr w14:val="tx1"/>
            </w14:solidFill>
          </w14:textFill>
        </w:rPr>
      </w:pPr>
      <w:bookmarkStart w:id="292" w:name="_Toc12128"/>
      <w:bookmarkStart w:id="293" w:name="_Toc18445"/>
      <w:bookmarkStart w:id="294" w:name="_Toc4292"/>
      <w:r>
        <w:rPr>
          <w:rFonts w:ascii="Times New Roman" w:hAnsiTheme="minorEastAsia" w:eastAsiaTheme="minorEastAsia"/>
          <w:b/>
          <w:color w:val="000000" w:themeColor="text1"/>
          <w:sz w:val="24"/>
          <w14:textFill>
            <w14:solidFill>
              <w14:schemeClr w14:val="tx1"/>
            </w14:solidFill>
          </w14:textFill>
        </w:rPr>
        <w:t>表</w:t>
      </w:r>
      <w:r>
        <w:rPr>
          <w:rFonts w:hint="eastAsia" w:ascii="Times New Roman" w:hAnsiTheme="minorEastAsia" w:eastAsiaTheme="minorEastAsia"/>
          <w:b/>
          <w:color w:val="000000" w:themeColor="text1"/>
          <w:sz w:val="24"/>
          <w:lang w:val="en-US" w:eastAsia="zh-CN"/>
          <w14:textFill>
            <w14:solidFill>
              <w14:schemeClr w14:val="tx1"/>
            </w14:solidFill>
          </w14:textFill>
        </w:rPr>
        <w:t>4</w:t>
      </w:r>
      <w:r>
        <w:rPr>
          <w:rFonts w:hint="eastAsia" w:ascii="Times New Roman" w:hAnsiTheme="minorEastAsia" w:eastAsiaTheme="minorEastAsia"/>
          <w:b/>
          <w:color w:val="000000" w:themeColor="text1"/>
          <w:sz w:val="24"/>
          <w14:textFill>
            <w14:solidFill>
              <w14:schemeClr w14:val="tx1"/>
            </w14:solidFill>
          </w14:textFill>
        </w:rPr>
        <w:t>.2-13</w:t>
      </w:r>
      <w:r>
        <w:rPr>
          <w:rFonts w:ascii="Times New Roman" w:hAnsiTheme="minorEastAsia" w:eastAsiaTheme="minorEastAsia"/>
          <w:b/>
          <w:color w:val="000000" w:themeColor="text1"/>
          <w:sz w:val="24"/>
          <w14:textFill>
            <w14:solidFill>
              <w14:schemeClr w14:val="tx1"/>
            </w14:solidFill>
          </w14:textFill>
        </w:rPr>
        <w:t xml:space="preserve"> 项目固废产生</w:t>
      </w:r>
      <w:r>
        <w:rPr>
          <w:rFonts w:hint="eastAsia" w:ascii="Times New Roman" w:hAnsiTheme="minorEastAsia" w:eastAsiaTheme="minorEastAsia"/>
          <w:b/>
          <w:color w:val="000000" w:themeColor="text1"/>
          <w:sz w:val="24"/>
          <w14:textFill>
            <w14:solidFill>
              <w14:schemeClr w14:val="tx1"/>
            </w14:solidFill>
          </w14:textFill>
        </w:rPr>
        <w:t>情况</w:t>
      </w:r>
      <w:r>
        <w:rPr>
          <w:rFonts w:ascii="Times New Roman" w:hAnsiTheme="minorEastAsia" w:eastAsiaTheme="minorEastAsia"/>
          <w:b/>
          <w:color w:val="000000" w:themeColor="text1"/>
          <w:sz w:val="24"/>
          <w14:textFill>
            <w14:solidFill>
              <w14:schemeClr w14:val="tx1"/>
            </w14:solidFill>
          </w14:textFill>
        </w:rPr>
        <w:t>一览表</w:t>
      </w:r>
      <w:bookmarkEnd w:id="292"/>
      <w:bookmarkEnd w:id="293"/>
      <w:bookmarkEnd w:id="294"/>
    </w:p>
    <w:tbl>
      <w:tblPr>
        <w:tblStyle w:val="87"/>
        <w:tblW w:w="927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821"/>
        <w:gridCol w:w="1628"/>
        <w:gridCol w:w="1246"/>
        <w:gridCol w:w="1384"/>
        <w:gridCol w:w="22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914" w:type="dxa"/>
            <w:tcBorders>
              <w:top w:val="single" w:color="auto" w:sz="12" w:space="0"/>
              <w:lef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序号</w:t>
            </w:r>
          </w:p>
        </w:tc>
        <w:tc>
          <w:tcPr>
            <w:tcW w:w="1821" w:type="dxa"/>
            <w:tcBorders>
              <w:top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污染物名称</w:t>
            </w:r>
          </w:p>
        </w:tc>
        <w:tc>
          <w:tcPr>
            <w:tcW w:w="1628" w:type="dxa"/>
            <w:tcBorders>
              <w:top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来源</w:t>
            </w:r>
          </w:p>
        </w:tc>
        <w:tc>
          <w:tcPr>
            <w:tcW w:w="1246" w:type="dxa"/>
            <w:tcBorders>
              <w:top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性质</w:t>
            </w:r>
          </w:p>
        </w:tc>
        <w:tc>
          <w:tcPr>
            <w:tcW w:w="1384" w:type="dxa"/>
            <w:tcBorders>
              <w:top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产生量</w:t>
            </w:r>
          </w:p>
        </w:tc>
        <w:tc>
          <w:tcPr>
            <w:tcW w:w="2283" w:type="dxa"/>
            <w:tcBorders>
              <w:top w:val="single" w:color="auto" w:sz="12" w:space="0"/>
              <w:righ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处置去向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tcBorders>
              <w:lef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821" w:type="dxa"/>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生活垃圾</w:t>
            </w:r>
          </w:p>
        </w:tc>
        <w:tc>
          <w:tcPr>
            <w:tcW w:w="1628" w:type="dxa"/>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办公生活区</w:t>
            </w:r>
          </w:p>
        </w:tc>
        <w:tc>
          <w:tcPr>
            <w:tcW w:w="1246"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生活垃圾</w:t>
            </w:r>
          </w:p>
        </w:tc>
        <w:tc>
          <w:tcPr>
            <w:tcW w:w="1384"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2.16</w:t>
            </w:r>
            <w:r>
              <w:rPr>
                <w:rFonts w:ascii="Times New Roman" w:hAnsi="Times New Roman"/>
                <w:color w:val="000000" w:themeColor="text1"/>
                <w14:textFill>
                  <w14:solidFill>
                    <w14:schemeClr w14:val="tx1"/>
                  </w14:solidFill>
                </w14:textFill>
              </w:rPr>
              <w:t>t/a</w:t>
            </w:r>
          </w:p>
        </w:tc>
        <w:tc>
          <w:tcPr>
            <w:tcW w:w="2283" w:type="dxa"/>
            <w:tcBorders>
              <w:righ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委托环卫部门</w:t>
            </w:r>
          </w:p>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清运处置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tcBorders>
              <w:lef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182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废包装材料</w:t>
            </w:r>
          </w:p>
        </w:tc>
        <w:tc>
          <w:tcPr>
            <w:tcW w:w="1628"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综合仓库</w:t>
            </w:r>
          </w:p>
        </w:tc>
        <w:tc>
          <w:tcPr>
            <w:tcW w:w="1246" w:type="dxa"/>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一般工业固废</w:t>
            </w:r>
          </w:p>
        </w:tc>
        <w:tc>
          <w:tcPr>
            <w:tcW w:w="1384"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5t/a</w:t>
            </w:r>
          </w:p>
        </w:tc>
        <w:tc>
          <w:tcPr>
            <w:tcW w:w="2283" w:type="dxa"/>
            <w:tcBorders>
              <w:righ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集中收集后交由物资部门回收处理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tcBorders>
              <w:lef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182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压滤废渣</w:t>
            </w:r>
          </w:p>
        </w:tc>
        <w:tc>
          <w:tcPr>
            <w:tcW w:w="1628"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板框压滤</w:t>
            </w:r>
          </w:p>
        </w:tc>
        <w:tc>
          <w:tcPr>
            <w:tcW w:w="1246"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一般工业固废</w:t>
            </w:r>
          </w:p>
        </w:tc>
        <w:tc>
          <w:tcPr>
            <w:tcW w:w="1384"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9613.648</w:t>
            </w:r>
            <w:r>
              <w:rPr>
                <w:rFonts w:ascii="Times New Roman" w:hAnsi="Times New Roman"/>
                <w:color w:val="000000" w:themeColor="text1"/>
                <w14:textFill>
                  <w14:solidFill>
                    <w14:schemeClr w14:val="tx1"/>
                  </w14:solidFill>
                </w14:textFill>
              </w:rPr>
              <w:t>t/a</w:t>
            </w:r>
          </w:p>
        </w:tc>
        <w:tc>
          <w:tcPr>
            <w:tcW w:w="2283" w:type="dxa"/>
            <w:tcBorders>
              <w:righ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外售</w:t>
            </w:r>
            <w:r>
              <w:rPr>
                <w:rFonts w:hint="eastAsia" w:ascii="Times New Roman" w:hAnsi="Times New Roman"/>
                <w:color w:val="000000" w:themeColor="text1"/>
                <w:lang w:val="en-US" w:eastAsia="zh-CN"/>
                <w14:textFill>
                  <w14:solidFill>
                    <w14:schemeClr w14:val="tx1"/>
                  </w14:solidFill>
                </w14:textFill>
              </w:rPr>
              <w:t>砖厂</w:t>
            </w:r>
            <w:r>
              <w:rPr>
                <w:rFonts w:hint="eastAsia" w:ascii="Times New Roman" w:hAnsi="Times New Roman"/>
                <w:color w:val="000000" w:themeColor="text1"/>
                <w14:textFill>
                  <w14:solidFill>
                    <w14:schemeClr w14:val="tx1"/>
                  </w14:solidFill>
                </w14:textFill>
              </w:rPr>
              <w:t>综合利用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tcBorders>
              <w:lef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w:t>
            </w:r>
          </w:p>
        </w:tc>
        <w:tc>
          <w:tcPr>
            <w:tcW w:w="1821"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布袋除尘器收集粉尘</w:t>
            </w:r>
          </w:p>
        </w:tc>
        <w:tc>
          <w:tcPr>
            <w:tcW w:w="1628"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布袋除尘</w:t>
            </w:r>
          </w:p>
        </w:tc>
        <w:tc>
          <w:tcPr>
            <w:tcW w:w="1246" w:type="dxa"/>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一般工业固废</w:t>
            </w:r>
          </w:p>
        </w:tc>
        <w:tc>
          <w:tcPr>
            <w:tcW w:w="1384" w:type="dxa"/>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198t/a</w:t>
            </w:r>
          </w:p>
        </w:tc>
        <w:tc>
          <w:tcPr>
            <w:tcW w:w="2283" w:type="dxa"/>
            <w:tcBorders>
              <w:righ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作为产品外售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4" w:type="dxa"/>
            <w:tcBorders>
              <w:left w:val="single" w:color="auto" w:sz="12" w:space="0"/>
              <w:bottom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p>
        </w:tc>
        <w:tc>
          <w:tcPr>
            <w:tcW w:w="1821" w:type="dxa"/>
            <w:tcBorders>
              <w:bottom w:val="single" w:color="auto" w:sz="12" w:space="0"/>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废机油</w:t>
            </w:r>
          </w:p>
        </w:tc>
        <w:tc>
          <w:tcPr>
            <w:tcW w:w="1628" w:type="dxa"/>
            <w:tcBorders>
              <w:bottom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设备维修</w:t>
            </w:r>
          </w:p>
        </w:tc>
        <w:tc>
          <w:tcPr>
            <w:tcW w:w="1246" w:type="dxa"/>
            <w:tcBorders>
              <w:bottom w:val="single" w:color="auto" w:sz="12" w:space="0"/>
            </w:tcBorders>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危险废物</w:t>
            </w:r>
          </w:p>
        </w:tc>
        <w:tc>
          <w:tcPr>
            <w:tcW w:w="1384" w:type="dxa"/>
            <w:tcBorders>
              <w:bottom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0.2t/a</w:t>
            </w:r>
          </w:p>
        </w:tc>
        <w:tc>
          <w:tcPr>
            <w:tcW w:w="2283" w:type="dxa"/>
            <w:tcBorders>
              <w:bottom w:val="single" w:color="auto" w:sz="12" w:space="0"/>
              <w:right w:val="single" w:color="auto" w:sz="12" w:space="0"/>
            </w:tcBorders>
            <w:vAlign w:val="center"/>
          </w:tcPr>
          <w:p>
            <w:pPr>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集中收集</w:t>
            </w:r>
            <w:r>
              <w:rPr>
                <w:rFonts w:hint="eastAsia" w:ascii="Times New Roman" w:hAnsi="Times New Roman"/>
                <w:color w:val="000000" w:themeColor="text1"/>
                <w14:textFill>
                  <w14:solidFill>
                    <w14:schemeClr w14:val="tx1"/>
                  </w14:solidFill>
                </w14:textFill>
              </w:rPr>
              <w:t>暂存于危废暂存间后</w:t>
            </w:r>
            <w:r>
              <w:rPr>
                <w:rFonts w:ascii="Times New Roman" w:hAnsi="Times New Roman"/>
                <w:color w:val="000000" w:themeColor="text1"/>
                <w14:textFill>
                  <w14:solidFill>
                    <w14:schemeClr w14:val="tx1"/>
                  </w14:solidFill>
                </w14:textFill>
              </w:rPr>
              <w:t>委托有资质单位</w:t>
            </w:r>
            <w:r>
              <w:rPr>
                <w:rFonts w:hint="eastAsia" w:ascii="Times New Roman" w:hAnsi="Times New Roman"/>
                <w:color w:val="000000" w:themeColor="text1"/>
                <w14:textFill>
                  <w14:solidFill>
                    <w14:schemeClr w14:val="tx1"/>
                  </w14:solidFill>
                </w14:textFill>
              </w:rPr>
              <w:t>处置</w:t>
            </w:r>
          </w:p>
        </w:tc>
      </w:tr>
    </w:tbl>
    <w:p>
      <w:pPr>
        <w:spacing w:line="520" w:lineRule="exact"/>
        <w:rPr>
          <w:color w:val="000000" w:themeColor="text1"/>
          <w14:textFill>
            <w14:solidFill>
              <w14:schemeClr w14:val="tx1"/>
            </w14:solidFill>
          </w14:textFill>
        </w:rPr>
      </w:pPr>
      <w:r>
        <w:rPr>
          <w:rFonts w:hint="eastAsia" w:ascii="Times New Roman" w:hAnsi="Times New Roman" w:eastAsia="黑体"/>
          <w:b/>
          <w:color w:val="000000" w:themeColor="text1"/>
          <w:sz w:val="28"/>
          <w:szCs w:val="28"/>
          <w:lang w:val="en-US" w:eastAsia="zh-CN"/>
          <w14:textFill>
            <w14:solidFill>
              <w14:schemeClr w14:val="tx1"/>
            </w14:solidFill>
          </w14:textFill>
        </w:rPr>
        <w:t>4</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2</w:t>
      </w:r>
      <w:r>
        <w:rPr>
          <w:rFonts w:ascii="Times New Roman" w:hAnsi="Times New Roman" w:eastAsia="黑体"/>
          <w:b/>
          <w:color w:val="000000" w:themeColor="text1"/>
          <w:sz w:val="28"/>
          <w:szCs w:val="28"/>
          <w14:textFill>
            <w14:solidFill>
              <w14:schemeClr w14:val="tx1"/>
            </w14:solidFill>
          </w14:textFill>
        </w:rPr>
        <w:t>.</w:t>
      </w:r>
      <w:r>
        <w:rPr>
          <w:rFonts w:hint="eastAsia" w:ascii="Times New Roman" w:hAnsi="Times New Roman" w:eastAsia="黑体"/>
          <w:b/>
          <w:color w:val="000000" w:themeColor="text1"/>
          <w:sz w:val="28"/>
          <w:szCs w:val="28"/>
          <w14:textFill>
            <w14:solidFill>
              <w14:schemeClr w14:val="tx1"/>
            </w14:solidFill>
          </w14:textFill>
        </w:rPr>
        <w:t>6运营期非正常工况污染源源强</w:t>
      </w:r>
      <w:r>
        <w:rPr>
          <w:rFonts w:hint="eastAsia" w:ascii="黑体" w:hAnsi="黑体" w:eastAsia="黑体"/>
          <w:b/>
          <w:color w:val="000000" w:themeColor="text1"/>
          <w:sz w:val="28"/>
          <w:szCs w:val="28"/>
          <w14:textFill>
            <w14:solidFill>
              <w14:schemeClr w14:val="tx1"/>
            </w14:solidFill>
          </w14:textFill>
        </w:rPr>
        <w:t>分析</w:t>
      </w:r>
    </w:p>
    <w:p>
      <w:pPr>
        <w:pStyle w:val="152"/>
        <w:spacing w:line="520" w:lineRule="exact"/>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非正常生产排污包括开车、停车、检修和非正常工况的污染物排放。如有计划开停车检修和临时性故障停车的污染物排放，工艺设备及环保设施不正常运行污染物排放等。</w:t>
      </w:r>
    </w:p>
    <w:p>
      <w:pPr>
        <w:pStyle w:val="152"/>
        <w:spacing w:line="520" w:lineRule="exact"/>
        <w:ind w:firstLine="480" w:firstLineChars="200"/>
        <w:rPr>
          <w:rFonts w:ascii="Times New Roman" w:cs="Times New Roman"/>
          <w:color w:val="000000" w:themeColor="text1"/>
          <w:szCs w:val="24"/>
          <w14:textFill>
            <w14:solidFill>
              <w14:schemeClr w14:val="tx1"/>
            </w14:solidFill>
          </w14:textFill>
        </w:rPr>
      </w:pPr>
      <w:r>
        <w:rPr>
          <w:rFonts w:ascii="Times New Roman" w:cs="Times New Roman"/>
          <w:color w:val="000000" w:themeColor="text1"/>
          <w:szCs w:val="24"/>
          <w14:textFill>
            <w14:solidFill>
              <w14:schemeClr w14:val="tx1"/>
            </w14:solidFill>
          </w14:textFill>
        </w:rPr>
        <w:t>（1）非正常工况大气污染物源强分析</w:t>
      </w:r>
    </w:p>
    <w:p>
      <w:pPr>
        <w:pStyle w:val="152"/>
        <w:spacing w:line="520" w:lineRule="exact"/>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各工艺装置，进行有计划检修开停车及临时性故障停车时，环保设施处于正常运行状态，开车时物料投料量逐渐加大、停车时物料停止投料，装置内物料量均较正常生产时小很多，污染物的排放量小于正常生产时的排放量，且开停车系统置换气均能按正常操作进入各工艺及环保设施，进行有效处理，废气污染物均可实现达标排放，不会对环境造成影响。本项目可能造成事故性排放的主要为环保设施不正常运行状况下的污染物排放。根据工程分析，本项目废气治理设施可能发生的非正常工况为尾气吸收系统及布袋除尘器发生故障。故障状况下考虑废气未经处理直接排放，环保设施处理效率降为0。其排放量核算见下表：</w:t>
      </w:r>
    </w:p>
    <w:p>
      <w:pPr>
        <w:pStyle w:val="186"/>
        <w:spacing w:line="520" w:lineRule="exact"/>
        <w:ind w:firstLine="0" w:firstLineChars="0"/>
        <w:jc w:val="center"/>
        <w:rPr>
          <w:rFonts w:ascii="Times New Roman"/>
          <w:b/>
          <w:color w:val="000000" w:themeColor="text1"/>
          <w14:textFill>
            <w14:solidFill>
              <w14:schemeClr w14:val="tx1"/>
            </w14:solidFill>
          </w14:textFill>
        </w:rPr>
      </w:pPr>
      <w:r>
        <w:rPr>
          <w:rFonts w:hint="eastAsia" w:ascii="Times New Roman"/>
          <w:b/>
          <w:color w:val="000000" w:themeColor="text1"/>
          <w14:textFill>
            <w14:solidFill>
              <w14:schemeClr w14:val="tx1"/>
            </w14:solidFill>
          </w14:textFill>
        </w:rPr>
        <w:t>表3.2-14  非正常工况大气污染物源强核算表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1110"/>
        <w:gridCol w:w="801"/>
        <w:gridCol w:w="1110"/>
        <w:gridCol w:w="972"/>
        <w:gridCol w:w="972"/>
        <w:gridCol w:w="833"/>
        <w:gridCol w:w="755"/>
        <w:gridCol w:w="678"/>
        <w:gridCol w:w="889"/>
        <w:gridCol w:w="9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110"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位置</w:t>
            </w:r>
          </w:p>
        </w:tc>
        <w:tc>
          <w:tcPr>
            <w:tcW w:w="801"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非正常</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工况</w:t>
            </w:r>
          </w:p>
        </w:tc>
        <w:tc>
          <w:tcPr>
            <w:tcW w:w="1110"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污染物名称</w:t>
            </w:r>
          </w:p>
        </w:tc>
        <w:tc>
          <w:tcPr>
            <w:tcW w:w="1944"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污染物产生情况</w:t>
            </w:r>
          </w:p>
        </w:tc>
        <w:tc>
          <w:tcPr>
            <w:tcW w:w="1588"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治理情况</w:t>
            </w:r>
          </w:p>
        </w:tc>
        <w:tc>
          <w:tcPr>
            <w:tcW w:w="2542" w:type="dxa"/>
            <w:gridSpan w:val="3"/>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污染物排放情况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110"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801"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110"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年产生量(t/a)</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产生速率（kg/h）</w:t>
            </w:r>
          </w:p>
        </w:tc>
        <w:tc>
          <w:tcPr>
            <w:tcW w:w="8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治理措施</w:t>
            </w:r>
          </w:p>
        </w:tc>
        <w:tc>
          <w:tcPr>
            <w:tcW w:w="7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效率</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67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排放量(t/a)</w:t>
            </w:r>
          </w:p>
        </w:tc>
        <w:tc>
          <w:tcPr>
            <w:tcW w:w="88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排放速率（kg/h）</w:t>
            </w:r>
          </w:p>
        </w:tc>
        <w:tc>
          <w:tcPr>
            <w:tcW w:w="9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排放浓度（mg/m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565" w:hRule="atLeast"/>
          <w:jc w:val="center"/>
        </w:trPr>
        <w:tc>
          <w:tcPr>
            <w:tcW w:w="1110"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DA001</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废气量：1000 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/h；</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高度15m；</w:t>
            </w:r>
          </w:p>
          <w:p>
            <w:pPr>
              <w:widowControl/>
              <w:jc w:val="center"/>
              <w:rPr>
                <w:rFonts w:ascii="Times New Roman" w:hAnsi="Times New Roman"/>
                <w:b/>
                <w:bCs/>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内径：0.2m</w:t>
            </w:r>
          </w:p>
        </w:tc>
        <w:tc>
          <w:tcPr>
            <w:tcW w:w="801"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酸性尾气吸收系统故障</w:t>
            </w:r>
          </w:p>
        </w:tc>
        <w:tc>
          <w:tcPr>
            <w:tcW w:w="111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氟化物</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0.08416</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0.012</w:t>
            </w:r>
          </w:p>
        </w:tc>
        <w:tc>
          <w:tcPr>
            <w:tcW w:w="833"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7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c>
          <w:tcPr>
            <w:tcW w:w="67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0.08416</w:t>
            </w:r>
          </w:p>
        </w:tc>
        <w:tc>
          <w:tcPr>
            <w:tcW w:w="88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0.012</w:t>
            </w:r>
          </w:p>
        </w:tc>
        <w:tc>
          <w:tcPr>
            <w:tcW w:w="9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12</w:t>
            </w:r>
            <w:r>
              <w:rPr>
                <w:rFonts w:ascii="Times New Roman" w:hAnsi="Times New Roman"/>
                <w:color w:val="000000" w:themeColor="text1"/>
                <w:kern w:val="0"/>
                <w:sz w:val="18"/>
                <w:szCs w:val="18"/>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110" w:type="dxa"/>
            <w:vMerge w:val="continue"/>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p>
        </w:tc>
        <w:tc>
          <w:tcPr>
            <w:tcW w:w="801" w:type="dxa"/>
            <w:vMerge w:val="continue"/>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p>
        </w:tc>
        <w:tc>
          <w:tcPr>
            <w:tcW w:w="111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HCl</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0.0003186</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0.000044</w:t>
            </w:r>
          </w:p>
        </w:tc>
        <w:tc>
          <w:tcPr>
            <w:tcW w:w="833" w:type="dxa"/>
            <w:vMerge w:val="continue"/>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p>
        </w:tc>
        <w:tc>
          <w:tcPr>
            <w:tcW w:w="7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c>
          <w:tcPr>
            <w:tcW w:w="67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0.0003186</w:t>
            </w:r>
          </w:p>
        </w:tc>
        <w:tc>
          <w:tcPr>
            <w:tcW w:w="88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0.000044</w:t>
            </w:r>
          </w:p>
        </w:tc>
        <w:tc>
          <w:tcPr>
            <w:tcW w:w="9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110"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DA00</w:t>
            </w:r>
            <w:r>
              <w:rPr>
                <w:rFonts w:hint="eastAsia" w:ascii="Times New Roman" w:hAnsi="Times New Roman"/>
                <w:color w:val="000000" w:themeColor="text1"/>
                <w:kern w:val="0"/>
                <w:sz w:val="18"/>
                <w:szCs w:val="18"/>
                <w14:textFill>
                  <w14:solidFill>
                    <w14:schemeClr w14:val="tx1"/>
                  </w14:solidFill>
                </w14:textFill>
              </w:rPr>
              <w:t>2</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废气量：</w:t>
            </w:r>
            <w:r>
              <w:rPr>
                <w:rFonts w:hint="eastAsia" w:ascii="Times New Roman" w:hAnsi="Times New Roman"/>
                <w:color w:val="000000" w:themeColor="text1"/>
                <w:kern w:val="0"/>
                <w:sz w:val="18"/>
                <w:szCs w:val="18"/>
                <w14:textFill>
                  <w14:solidFill>
                    <w14:schemeClr w14:val="tx1"/>
                  </w14:solidFill>
                </w14:textFill>
              </w:rPr>
              <w:t>4</w:t>
            </w:r>
            <w:r>
              <w:rPr>
                <w:rFonts w:ascii="Times New Roman" w:hAnsi="Times New Roman"/>
                <w:color w:val="000000" w:themeColor="text1"/>
                <w:kern w:val="0"/>
                <w:sz w:val="18"/>
                <w:szCs w:val="18"/>
                <w14:textFill>
                  <w14:solidFill>
                    <w14:schemeClr w14:val="tx1"/>
                  </w14:solidFill>
                </w14:textFill>
              </w:rPr>
              <w:t>000 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/h；</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高度15m；</w:t>
            </w:r>
          </w:p>
          <w:p>
            <w:pPr>
              <w:widowControl/>
              <w:jc w:val="left"/>
              <w:rPr>
                <w:rFonts w:ascii="Times New Roman" w:hAnsi="Times New Roman"/>
                <w:b/>
                <w:bCs/>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内径：0.</w:t>
            </w:r>
            <w:r>
              <w:rPr>
                <w:rFonts w:hint="eastAsia" w:ascii="Times New Roman" w:hAnsi="Times New Roman"/>
                <w:color w:val="000000" w:themeColor="text1"/>
                <w:kern w:val="0"/>
                <w:sz w:val="18"/>
                <w:szCs w:val="18"/>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m</w:t>
            </w:r>
          </w:p>
        </w:tc>
        <w:tc>
          <w:tcPr>
            <w:tcW w:w="801"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中性尾气吸收系统故障</w:t>
            </w:r>
          </w:p>
        </w:tc>
        <w:tc>
          <w:tcPr>
            <w:tcW w:w="111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颗粒物</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4.131</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0.574</w:t>
            </w:r>
          </w:p>
        </w:tc>
        <w:tc>
          <w:tcPr>
            <w:tcW w:w="833" w:type="dxa"/>
            <w:vAlign w:val="center"/>
          </w:tcPr>
          <w:p>
            <w:pPr>
              <w:widowControl/>
              <w:ind w:firstLine="360" w:firstLineChars="2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7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c>
          <w:tcPr>
            <w:tcW w:w="67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4.131</w:t>
            </w:r>
          </w:p>
        </w:tc>
        <w:tc>
          <w:tcPr>
            <w:tcW w:w="88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0.574</w:t>
            </w:r>
          </w:p>
        </w:tc>
        <w:tc>
          <w:tcPr>
            <w:tcW w:w="9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110"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DA00</w:t>
            </w:r>
            <w:r>
              <w:rPr>
                <w:rFonts w:hint="eastAsia" w:ascii="Times New Roman" w:hAnsi="Times New Roman"/>
                <w:color w:val="000000" w:themeColor="text1"/>
                <w:kern w:val="0"/>
                <w:sz w:val="18"/>
                <w:szCs w:val="18"/>
                <w14:textFill>
                  <w14:solidFill>
                    <w14:schemeClr w14:val="tx1"/>
                  </w14:solidFill>
                </w14:textFill>
              </w:rPr>
              <w:t>3</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废气量：</w:t>
            </w:r>
            <w:r>
              <w:rPr>
                <w:rFonts w:hint="eastAsia" w:ascii="Times New Roman" w:hAnsi="Times New Roman"/>
                <w:color w:val="000000" w:themeColor="text1"/>
                <w:kern w:val="0"/>
                <w:sz w:val="18"/>
                <w:szCs w:val="18"/>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000 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/h；</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高度15m；</w:t>
            </w:r>
          </w:p>
          <w:p>
            <w:pPr>
              <w:widowControl/>
              <w:jc w:val="left"/>
              <w:rPr>
                <w:rFonts w:ascii="Times New Roman" w:hAnsi="Times New Roman"/>
                <w:b/>
                <w:bCs/>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内径：0.</w:t>
            </w:r>
            <w:r>
              <w:rPr>
                <w:rFonts w:hint="eastAsia" w:ascii="Times New Roman" w:hAnsi="Times New Roman"/>
                <w:color w:val="000000" w:themeColor="text1"/>
                <w:kern w:val="0"/>
                <w:sz w:val="18"/>
                <w:szCs w:val="18"/>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m</w:t>
            </w:r>
          </w:p>
        </w:tc>
        <w:tc>
          <w:tcPr>
            <w:tcW w:w="801"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布袋除尘器故障</w:t>
            </w:r>
          </w:p>
        </w:tc>
        <w:tc>
          <w:tcPr>
            <w:tcW w:w="111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颗粒物</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7.5</w:t>
            </w:r>
          </w:p>
        </w:tc>
        <w:tc>
          <w:tcPr>
            <w:tcW w:w="9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1.04</w:t>
            </w:r>
          </w:p>
        </w:tc>
        <w:tc>
          <w:tcPr>
            <w:tcW w:w="833" w:type="dxa"/>
            <w:vAlign w:val="center"/>
          </w:tcPr>
          <w:p>
            <w:pPr>
              <w:widowControl/>
              <w:ind w:firstLine="360" w:firstLineChars="2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75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c>
          <w:tcPr>
            <w:tcW w:w="67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7.5</w:t>
            </w:r>
          </w:p>
        </w:tc>
        <w:tc>
          <w:tcPr>
            <w:tcW w:w="88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1.04</w:t>
            </w:r>
          </w:p>
        </w:tc>
        <w:tc>
          <w:tcPr>
            <w:tcW w:w="9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521</w:t>
            </w:r>
          </w:p>
        </w:tc>
      </w:tr>
    </w:tbl>
    <w:p>
      <w:pPr>
        <w:pStyle w:val="152"/>
        <w:spacing w:line="520" w:lineRule="exact"/>
        <w:ind w:firstLine="480" w:firstLineChars="200"/>
        <w:rPr>
          <w:rFonts w:ascii="Times New Roman" w:cs="Times New Roman"/>
          <w:color w:val="000000" w:themeColor="text1"/>
          <w:szCs w:val="24"/>
          <w14:textFill>
            <w14:solidFill>
              <w14:schemeClr w14:val="tx1"/>
            </w14:solidFill>
          </w14:textFill>
        </w:rPr>
      </w:pPr>
      <w:r>
        <w:rPr>
          <w:rFonts w:ascii="Times New Roman" w:cs="Times New Roman"/>
          <w:color w:val="000000" w:themeColor="text1"/>
          <w:szCs w:val="24"/>
          <w14:textFill>
            <w14:solidFill>
              <w14:schemeClr w14:val="tx1"/>
            </w14:solidFill>
          </w14:textFill>
        </w:rPr>
        <w:t>（2）废水</w:t>
      </w:r>
    </w:p>
    <w:p>
      <w:pPr>
        <w:pStyle w:val="152"/>
        <w:spacing w:after="0" w:line="520" w:lineRule="exact"/>
        <w:ind w:firstLine="480" w:firstLineChars="200"/>
        <w:rPr>
          <w:rFonts w:cs="宋体"/>
          <w:color w:val="000000" w:themeColor="text1"/>
          <w:szCs w:val="24"/>
          <w14:textFill>
            <w14:solidFill>
              <w14:schemeClr w14:val="tx1"/>
            </w14:solidFill>
          </w14:textFill>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r>
        <w:rPr>
          <w:rFonts w:hint="eastAsia"/>
          <w:color w:val="000000" w:themeColor="text1"/>
          <w:szCs w:val="24"/>
          <w14:textFill>
            <w14:solidFill>
              <w14:schemeClr w14:val="tx1"/>
            </w14:solidFill>
          </w14:textFill>
        </w:rPr>
        <w:t>项目可能出现的废水非正常排放工况主要为母液中和槽设备出现故障，生产废水（离心洗涤废水、尾气洗涤废液）无法继续回用。</w:t>
      </w:r>
      <w:r>
        <w:rPr>
          <w:rFonts w:ascii="Times New Roman" w:cs="Times New Roman"/>
          <w:color w:val="000000" w:themeColor="text1"/>
          <w:szCs w:val="24"/>
          <w14:textFill>
            <w14:solidFill>
              <w14:schemeClr w14:val="tx1"/>
            </w14:solidFill>
          </w14:textFill>
        </w:rPr>
        <w:t>项目建设有1座4</w:t>
      </w:r>
      <w:r>
        <w:rPr>
          <w:rFonts w:hint="eastAsia" w:ascii="Times New Roman" w:cs="Times New Roman"/>
          <w:color w:val="000000" w:themeColor="text1"/>
          <w:szCs w:val="24"/>
          <w14:textFill>
            <w14:solidFill>
              <w14:schemeClr w14:val="tx1"/>
            </w14:solidFill>
          </w14:textFill>
        </w:rPr>
        <w:t>5</w:t>
      </w:r>
      <w:r>
        <w:rPr>
          <w:rFonts w:ascii="Times New Roman" w:cs="Times New Roman"/>
          <w:color w:val="000000" w:themeColor="text1"/>
          <w:szCs w:val="24"/>
          <w14:textFill>
            <w14:solidFill>
              <w14:schemeClr w14:val="tx1"/>
            </w14:solidFill>
          </w14:textFill>
        </w:rPr>
        <w:t>0m</w:t>
      </w:r>
      <w:r>
        <w:rPr>
          <w:rFonts w:ascii="Times New Roman" w:cs="Times New Roman"/>
          <w:color w:val="000000" w:themeColor="text1"/>
          <w:szCs w:val="24"/>
          <w:vertAlign w:val="superscript"/>
          <w14:textFill>
            <w14:solidFill>
              <w14:schemeClr w14:val="tx1"/>
            </w14:solidFill>
          </w14:textFill>
        </w:rPr>
        <w:t>3</w:t>
      </w:r>
      <w:r>
        <w:rPr>
          <w:rFonts w:ascii="Times New Roman" w:cs="Times New Roman"/>
          <w:color w:val="000000" w:themeColor="text1"/>
          <w:szCs w:val="24"/>
          <w14:textFill>
            <w14:solidFill>
              <w14:schemeClr w14:val="tx1"/>
            </w14:solidFill>
          </w14:textFill>
        </w:rPr>
        <w:t>事故</w:t>
      </w:r>
      <w:r>
        <w:rPr>
          <w:rFonts w:hint="eastAsia" w:ascii="Times New Roman" w:cs="Times New Roman"/>
          <w:color w:val="000000" w:themeColor="text1"/>
          <w:szCs w:val="24"/>
          <w14:textFill>
            <w14:solidFill>
              <w14:schemeClr w14:val="tx1"/>
            </w14:solidFill>
          </w14:textFill>
        </w:rPr>
        <w:t>应急</w:t>
      </w:r>
      <w:r>
        <w:rPr>
          <w:rFonts w:ascii="Times New Roman" w:cs="Times New Roman"/>
          <w:color w:val="000000" w:themeColor="text1"/>
          <w:szCs w:val="24"/>
          <w14:textFill>
            <w14:solidFill>
              <w14:schemeClr w14:val="tx1"/>
            </w14:solidFill>
          </w14:textFill>
        </w:rPr>
        <w:t>池</w:t>
      </w:r>
      <w:r>
        <w:rPr>
          <w:rFonts w:hint="eastAsia"/>
          <w:color w:val="000000" w:themeColor="text1"/>
          <w:szCs w:val="24"/>
          <w14:textFill>
            <w14:solidFill>
              <w14:schemeClr w14:val="tx1"/>
            </w14:solidFill>
          </w14:textFill>
        </w:rPr>
        <w:t>，在母液中和槽无法正常运行的非正常工况时下，未经处理的生产废水将被送入到事故应急池储存，待故障解除后返回生产装置继续回用，未经处理的生产废水不会排入市政污水管网进而对三板湖污水处理厂正常运行造成不利影响。</w:t>
      </w:r>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295" w:name="_Toc25026"/>
      <w:r>
        <w:rPr>
          <w:rFonts w:hint="eastAsia" w:ascii="Times New Roman" w:hAnsi="Times New Roman" w:eastAsia="黑体"/>
          <w:b/>
          <w:color w:val="000000" w:themeColor="text1"/>
          <w:sz w:val="32"/>
          <w:szCs w:val="32"/>
          <w:lang w:val="en-US" w:eastAsia="zh-CN"/>
          <w14:textFill>
            <w14:solidFill>
              <w14:schemeClr w14:val="tx1"/>
            </w14:solidFill>
          </w14:textFill>
        </w:rPr>
        <w:t>4</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3</w:t>
      </w:r>
      <w:r>
        <w:rPr>
          <w:rFonts w:hint="eastAsia" w:ascii="黑体" w:hAnsi="黑体" w:eastAsia="黑体"/>
          <w:b/>
          <w:color w:val="000000" w:themeColor="text1"/>
          <w:sz w:val="32"/>
          <w:szCs w:val="32"/>
          <w14:textFill>
            <w14:solidFill>
              <w14:schemeClr w14:val="tx1"/>
            </w14:solidFill>
          </w14:textFill>
        </w:rPr>
        <w:t>项目污染物产生及排放情况汇总</w:t>
      </w:r>
      <w:bookmarkEnd w:id="295"/>
    </w:p>
    <w:p>
      <w:pPr>
        <w:pStyle w:val="152"/>
        <w:spacing w:after="0" w:line="520" w:lineRule="exact"/>
        <w:ind w:firstLine="480" w:firstLineChars="200"/>
        <w:rPr>
          <w:rFonts w:ascii="Times New Roman" w:hAnsiTheme="minorEastAsia" w:eastAsiaTheme="minorEastAsia"/>
          <w:color w:val="000000" w:themeColor="text1"/>
          <w14:textFill>
            <w14:solidFill>
              <w14:schemeClr w14:val="tx1"/>
            </w14:solidFill>
          </w14:textFill>
        </w:rPr>
      </w:pPr>
      <w:r>
        <w:rPr>
          <w:rFonts w:hint="eastAsia" w:ascii="Times New Roman" w:hAnsiTheme="minorEastAsia" w:eastAsiaTheme="minorEastAsia"/>
          <w:color w:val="000000" w:themeColor="text1"/>
          <w14:textFill>
            <w14:solidFill>
              <w14:schemeClr w14:val="tx1"/>
            </w14:solidFill>
          </w14:textFill>
        </w:rPr>
        <w:t>拟建</w:t>
      </w:r>
      <w:r>
        <w:rPr>
          <w:rFonts w:ascii="Times New Roman" w:hAnsiTheme="minorEastAsia" w:eastAsiaTheme="minorEastAsia"/>
          <w:color w:val="000000" w:themeColor="text1"/>
          <w14:textFill>
            <w14:solidFill>
              <w14:schemeClr w14:val="tx1"/>
            </w14:solidFill>
          </w14:textFill>
        </w:rPr>
        <w:t>项目</w:t>
      </w:r>
      <w:r>
        <w:rPr>
          <w:rFonts w:hint="eastAsia" w:ascii="Times New Roman" w:hAnsiTheme="minorEastAsia" w:eastAsiaTheme="minorEastAsia"/>
          <w:color w:val="000000" w:themeColor="text1"/>
          <w14:textFill>
            <w14:solidFill>
              <w14:schemeClr w14:val="tx1"/>
            </w14:solidFill>
          </w14:textFill>
        </w:rPr>
        <w:t>运营期“</w:t>
      </w:r>
      <w:r>
        <w:rPr>
          <w:rFonts w:ascii="Times New Roman" w:hAnsiTheme="minorEastAsia" w:eastAsiaTheme="minorEastAsia"/>
          <w:color w:val="000000" w:themeColor="text1"/>
          <w14:textFill>
            <w14:solidFill>
              <w14:schemeClr w14:val="tx1"/>
            </w14:solidFill>
          </w14:textFill>
        </w:rPr>
        <w:t>三废</w:t>
      </w:r>
      <w:r>
        <w:rPr>
          <w:rFonts w:hint="eastAsia" w:ascii="Times New Roman" w:hAnsiTheme="minorEastAsia" w:eastAsiaTheme="minorEastAsia"/>
          <w:color w:val="000000" w:themeColor="text1"/>
          <w14:textFill>
            <w14:solidFill>
              <w14:schemeClr w14:val="tx1"/>
            </w14:solidFill>
          </w14:textFill>
        </w:rPr>
        <w:t>”产生及</w:t>
      </w:r>
      <w:r>
        <w:rPr>
          <w:rFonts w:ascii="Times New Roman" w:hAnsiTheme="minorEastAsia" w:eastAsiaTheme="minorEastAsia"/>
          <w:color w:val="000000" w:themeColor="text1"/>
          <w14:textFill>
            <w14:solidFill>
              <w14:schemeClr w14:val="tx1"/>
            </w14:solidFill>
          </w14:textFill>
        </w:rPr>
        <w:t>排放</w:t>
      </w:r>
      <w:r>
        <w:rPr>
          <w:rFonts w:hint="eastAsia" w:ascii="Times New Roman" w:hAnsiTheme="minorEastAsia" w:eastAsiaTheme="minorEastAsia"/>
          <w:color w:val="000000" w:themeColor="text1"/>
          <w14:textFill>
            <w14:solidFill>
              <w14:schemeClr w14:val="tx1"/>
            </w14:solidFill>
          </w14:textFill>
        </w:rPr>
        <w:t>情况</w:t>
      </w:r>
      <w:r>
        <w:rPr>
          <w:rFonts w:ascii="Times New Roman" w:hAnsiTheme="minorEastAsia" w:eastAsiaTheme="minorEastAsia"/>
          <w:color w:val="000000" w:themeColor="text1"/>
          <w14:textFill>
            <w14:solidFill>
              <w14:schemeClr w14:val="tx1"/>
            </w14:solidFill>
          </w14:textFill>
        </w:rPr>
        <w:t>见表</w:t>
      </w:r>
      <w:r>
        <w:rPr>
          <w:rFonts w:hint="eastAsia" w:ascii="Times New Roman" w:hAnsiTheme="minorEastAsia" w:eastAsiaTheme="minorEastAsia"/>
          <w:color w:val="000000" w:themeColor="text1"/>
          <w:lang w:val="en-US" w:eastAsia="zh-CN"/>
          <w14:textFill>
            <w14:solidFill>
              <w14:schemeClr w14:val="tx1"/>
            </w14:solidFill>
          </w14:textFill>
        </w:rPr>
        <w:t>4</w:t>
      </w:r>
      <w:r>
        <w:rPr>
          <w:rFonts w:hint="eastAsia" w:ascii="Times New Roman" w:hAnsiTheme="minorEastAsia" w:eastAsiaTheme="minorEastAsia"/>
          <w:color w:val="000000" w:themeColor="text1"/>
          <w14:textFill>
            <w14:solidFill>
              <w14:schemeClr w14:val="tx1"/>
            </w14:solidFill>
          </w14:textFill>
        </w:rPr>
        <w:t>.3-1所示。</w:t>
      </w:r>
    </w:p>
    <w:p>
      <w:pPr>
        <w:pStyle w:val="186"/>
        <w:spacing w:line="520" w:lineRule="exact"/>
        <w:ind w:firstLine="964"/>
        <w:jc w:val="center"/>
        <w:rPr>
          <w:rFonts w:ascii="Times New Roman" w:hAnsiTheme="minorEastAsia" w:eastAsiaTheme="minorEastAsia"/>
          <w:b/>
          <w:color w:val="000000" w:themeColor="text1"/>
          <w14:textFill>
            <w14:solidFill>
              <w14:schemeClr w14:val="tx1"/>
            </w14:solidFill>
          </w14:textFill>
        </w:rPr>
      </w:pPr>
      <w:r>
        <w:rPr>
          <w:rFonts w:ascii="Times New Roman" w:hAnsiTheme="minorEastAsia" w:eastAsiaTheme="minorEastAsia"/>
          <w:b/>
          <w:color w:val="000000" w:themeColor="text1"/>
          <w14:textFill>
            <w14:solidFill>
              <w14:schemeClr w14:val="tx1"/>
            </w14:solidFill>
          </w14:textFill>
        </w:rPr>
        <w:t>表</w:t>
      </w:r>
      <w:r>
        <w:rPr>
          <w:rFonts w:hint="eastAsia" w:ascii="Times New Roman" w:hAnsiTheme="minorEastAsia" w:eastAsiaTheme="minorEastAsia"/>
          <w:b/>
          <w:color w:val="000000" w:themeColor="text1"/>
          <w:lang w:val="en-US" w:eastAsia="zh-CN"/>
          <w14:textFill>
            <w14:solidFill>
              <w14:schemeClr w14:val="tx1"/>
            </w14:solidFill>
          </w14:textFill>
        </w:rPr>
        <w:t>4</w:t>
      </w:r>
      <w:r>
        <w:rPr>
          <w:rFonts w:hint="eastAsia" w:ascii="Times New Roman" w:hAnsiTheme="minorEastAsia" w:eastAsiaTheme="minorEastAsia"/>
          <w:b/>
          <w:color w:val="000000" w:themeColor="text1"/>
          <w14:textFill>
            <w14:solidFill>
              <w14:schemeClr w14:val="tx1"/>
            </w14:solidFill>
          </w14:textFill>
        </w:rPr>
        <w:t>.3-1</w:t>
      </w:r>
      <w:r>
        <w:rPr>
          <w:rFonts w:ascii="Times New Roman" w:hAnsiTheme="minorEastAsia" w:eastAsiaTheme="minorEastAsia"/>
          <w:b/>
          <w:color w:val="000000" w:themeColor="text1"/>
          <w14:textFill>
            <w14:solidFill>
              <w14:schemeClr w14:val="tx1"/>
            </w14:solidFill>
          </w14:textFill>
        </w:rPr>
        <w:t>　</w:t>
      </w:r>
      <w:r>
        <w:rPr>
          <w:rFonts w:hint="eastAsia" w:ascii="Times New Roman" w:hAnsiTheme="minorEastAsia" w:eastAsiaTheme="minorEastAsia"/>
          <w:b/>
          <w:color w:val="000000" w:themeColor="text1"/>
          <w14:textFill>
            <w14:solidFill>
              <w14:schemeClr w14:val="tx1"/>
            </w14:solidFill>
          </w14:textFill>
        </w:rPr>
        <w:t>本</w:t>
      </w:r>
      <w:r>
        <w:rPr>
          <w:rFonts w:ascii="Times New Roman" w:hAnsiTheme="minorEastAsia" w:eastAsiaTheme="minorEastAsia"/>
          <w:b/>
          <w:color w:val="000000" w:themeColor="text1"/>
          <w14:textFill>
            <w14:solidFill>
              <w14:schemeClr w14:val="tx1"/>
            </w14:solidFill>
          </w14:textFill>
        </w:rPr>
        <w:t>项目主要污染物</w:t>
      </w:r>
      <w:r>
        <w:rPr>
          <w:rFonts w:hint="eastAsia" w:ascii="Times New Roman" w:hAnsiTheme="minorEastAsia" w:eastAsiaTheme="minorEastAsia"/>
          <w:b/>
          <w:color w:val="000000" w:themeColor="text1"/>
          <w14:textFill>
            <w14:solidFill>
              <w14:schemeClr w14:val="tx1"/>
            </w14:solidFill>
          </w14:textFill>
        </w:rPr>
        <w:t>产生及</w:t>
      </w:r>
      <w:r>
        <w:rPr>
          <w:rFonts w:ascii="Times New Roman" w:hAnsiTheme="minorEastAsia" w:eastAsiaTheme="minorEastAsia"/>
          <w:b/>
          <w:color w:val="000000" w:themeColor="text1"/>
          <w14:textFill>
            <w14:solidFill>
              <w14:schemeClr w14:val="tx1"/>
            </w14:solidFill>
          </w14:textFill>
        </w:rPr>
        <w:t>排放情况</w:t>
      </w:r>
      <w:r>
        <w:rPr>
          <w:rFonts w:hint="eastAsia" w:ascii="Times New Roman" w:hAnsiTheme="minorEastAsia" w:eastAsiaTheme="minorEastAsia"/>
          <w:b/>
          <w:color w:val="000000" w:themeColor="text1"/>
          <w14:textFill>
            <w14:solidFill>
              <w14:schemeClr w14:val="tx1"/>
            </w14:solidFill>
          </w14:textFill>
        </w:rPr>
        <w:t>汇总</w:t>
      </w:r>
      <w:r>
        <w:rPr>
          <w:rFonts w:ascii="Times New Roman" w:hAnsiTheme="minorEastAsia" w:eastAsiaTheme="minorEastAsia"/>
          <w:b/>
          <w:color w:val="000000" w:themeColor="text1"/>
          <w14:textFill>
            <w14:solidFill>
              <w14:schemeClr w14:val="tx1"/>
            </w14:solidFill>
          </w14:textFill>
        </w:rPr>
        <w:t>表</w:t>
      </w:r>
      <w:r>
        <w:rPr>
          <w:rFonts w:hint="eastAsia" w:ascii="Times New Roman" w:hAnsiTheme="minorEastAsia" w:eastAsiaTheme="minorEastAsia"/>
          <w:b/>
          <w:color w:val="000000" w:themeColor="text1"/>
          <w14:textFill>
            <w14:solidFill>
              <w14:schemeClr w14:val="tx1"/>
            </w14:solidFill>
          </w14:textFill>
        </w:rPr>
        <w:t xml:space="preserve">   </w:t>
      </w:r>
    </w:p>
    <w:tbl>
      <w:tblPr>
        <w:tblStyle w:val="87"/>
        <w:tblW w:w="92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9"/>
        <w:gridCol w:w="975"/>
        <w:gridCol w:w="480"/>
        <w:gridCol w:w="990"/>
        <w:gridCol w:w="1043"/>
        <w:gridCol w:w="1338"/>
        <w:gridCol w:w="1729"/>
        <w:gridCol w:w="1144"/>
        <w:gridCol w:w="11"/>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439"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类别</w:t>
            </w:r>
          </w:p>
        </w:tc>
        <w:tc>
          <w:tcPr>
            <w:tcW w:w="975"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污染源</w:t>
            </w:r>
          </w:p>
        </w:tc>
        <w:tc>
          <w:tcPr>
            <w:tcW w:w="48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排放方式</w:t>
            </w:r>
          </w:p>
        </w:tc>
        <w:tc>
          <w:tcPr>
            <w:tcW w:w="99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污染物</w:t>
            </w:r>
          </w:p>
        </w:tc>
        <w:tc>
          <w:tcPr>
            <w:tcW w:w="1043"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产生量</w:t>
            </w:r>
          </w:p>
        </w:tc>
        <w:tc>
          <w:tcPr>
            <w:tcW w:w="1338"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产生浓度</w:t>
            </w:r>
          </w:p>
        </w:tc>
        <w:tc>
          <w:tcPr>
            <w:tcW w:w="1729"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处理措施</w:t>
            </w:r>
          </w:p>
        </w:tc>
        <w:tc>
          <w:tcPr>
            <w:tcW w:w="115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排放量</w:t>
            </w:r>
          </w:p>
        </w:tc>
        <w:tc>
          <w:tcPr>
            <w:tcW w:w="113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排放浓度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废气</w:t>
            </w:r>
          </w:p>
        </w:tc>
        <w:tc>
          <w:tcPr>
            <w:tcW w:w="975"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呼吸</w:t>
            </w:r>
          </w:p>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废气</w:t>
            </w:r>
          </w:p>
        </w:tc>
        <w:tc>
          <w:tcPr>
            <w:tcW w:w="480"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有组织</w:t>
            </w:r>
          </w:p>
        </w:tc>
        <w:tc>
          <w:tcPr>
            <w:tcW w:w="99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氟化物</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0.08416</w:t>
            </w:r>
            <w:r>
              <w:rPr>
                <w:rFonts w:ascii="Times New Roman" w:hAnsi="Times New Roman"/>
                <w:bCs/>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12mg/m</w:t>
            </w:r>
            <w:r>
              <w:rPr>
                <w:rFonts w:hint="eastAsia" w:ascii="Times New Roman" w:hAnsi="Times New Roman"/>
                <w:bCs/>
                <w:color w:val="000000" w:themeColor="text1"/>
                <w:sz w:val="18"/>
                <w:szCs w:val="18"/>
                <w:vertAlign w:val="superscript"/>
                <w14:textFill>
                  <w14:solidFill>
                    <w14:schemeClr w14:val="tx1"/>
                  </w14:solidFill>
                </w14:textFill>
              </w:rPr>
              <w:t>3</w:t>
            </w:r>
          </w:p>
        </w:tc>
        <w:tc>
          <w:tcPr>
            <w:tcW w:w="1729"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级</w:t>
            </w:r>
            <w:r>
              <w:rPr>
                <w:rFonts w:hint="eastAsia" w:ascii="Times New Roman" w:hAnsi="Times New Roman"/>
                <w:color w:val="000000" w:themeColor="text1"/>
                <w:kern w:val="0"/>
                <w:sz w:val="18"/>
                <w:szCs w:val="18"/>
                <w14:textFill>
                  <w14:solidFill>
                    <w14:schemeClr w14:val="tx1"/>
                  </w14:solidFill>
                </w14:textFill>
              </w:rPr>
              <w:t>水</w:t>
            </w:r>
            <w:r>
              <w:rPr>
                <w:rFonts w:ascii="Times New Roman" w:hAnsi="Times New Roman"/>
                <w:color w:val="000000" w:themeColor="text1"/>
                <w:kern w:val="0"/>
                <w:sz w:val="18"/>
                <w:szCs w:val="18"/>
                <w14:textFill>
                  <w14:solidFill>
                    <w14:schemeClr w14:val="tx1"/>
                  </w14:solidFill>
                </w14:textFill>
              </w:rPr>
              <w:t>洗+</w:t>
            </w:r>
            <w:r>
              <w:rPr>
                <w:rFonts w:hint="eastAsia" w:ascii="Times New Roman" w:hAnsi="Times New Roman"/>
                <w:color w:val="000000" w:themeColor="text1"/>
                <w:kern w:val="0"/>
                <w:sz w:val="18"/>
                <w:szCs w:val="18"/>
                <w14:textFill>
                  <w14:solidFill>
                    <w14:schemeClr w14:val="tx1"/>
                  </w14:solidFill>
                </w14:textFill>
              </w:rPr>
              <w:t>1级碱洗</w:t>
            </w:r>
          </w:p>
        </w:tc>
        <w:tc>
          <w:tcPr>
            <w:tcW w:w="115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0.008416</w:t>
            </w:r>
            <w:r>
              <w:rPr>
                <w:rFonts w:ascii="Times New Roman" w:hAnsi="Times New Roman"/>
                <w:bCs/>
                <w:color w:val="000000" w:themeColor="text1"/>
                <w:sz w:val="18"/>
                <w:szCs w:val="18"/>
                <w14:textFill>
                  <w14:solidFill>
                    <w14:schemeClr w14:val="tx1"/>
                  </w14:solidFill>
                </w14:textFill>
              </w:rPr>
              <w:t>t/a</w:t>
            </w:r>
          </w:p>
        </w:tc>
        <w:tc>
          <w:tcPr>
            <w:tcW w:w="113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1.17mg/m</w:t>
            </w:r>
            <w:r>
              <w:rPr>
                <w:rFonts w:hint="eastAsia" w:ascii="Times New Roman" w:hAnsi="Times New Roman"/>
                <w:bCs/>
                <w:color w:val="000000" w:themeColor="text1"/>
                <w:sz w:val="18"/>
                <w:szCs w:val="18"/>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480"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9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HCl</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0.3186kg</w:t>
            </w:r>
            <w:r>
              <w:rPr>
                <w:rFonts w:ascii="Times New Roman" w:hAnsi="Times New Roman"/>
                <w:bCs/>
                <w:color w:val="000000" w:themeColor="text1"/>
                <w:sz w:val="18"/>
                <w:szCs w:val="18"/>
                <w14:textFill>
                  <w14:solidFill>
                    <w14:schemeClr w14:val="tx1"/>
                  </w14:solidFill>
                </w14:textFill>
              </w:rPr>
              <w: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0.044mg/m</w:t>
            </w:r>
            <w:r>
              <w:rPr>
                <w:rFonts w:hint="eastAsia" w:ascii="Times New Roman" w:hAnsi="Times New Roman"/>
                <w:bCs/>
                <w:color w:val="000000" w:themeColor="text1"/>
                <w:sz w:val="18"/>
                <w:szCs w:val="18"/>
                <w:vertAlign w:val="superscript"/>
                <w14:textFill>
                  <w14:solidFill>
                    <w14:schemeClr w14:val="tx1"/>
                  </w14:solidFill>
                </w14:textFill>
              </w:rPr>
              <w:t>3</w:t>
            </w:r>
          </w:p>
        </w:tc>
        <w:tc>
          <w:tcPr>
            <w:tcW w:w="172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15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0.03186kg</w:t>
            </w:r>
            <w:r>
              <w:rPr>
                <w:rFonts w:ascii="Times New Roman" w:hAnsi="Times New Roman"/>
                <w:bCs/>
                <w:color w:val="000000" w:themeColor="text1"/>
                <w:sz w:val="18"/>
                <w:szCs w:val="18"/>
                <w14:textFill>
                  <w14:solidFill>
                    <w14:schemeClr w14:val="tx1"/>
                  </w14:solidFill>
                </w14:textFill>
              </w:rPr>
              <w:t>/a</w:t>
            </w:r>
          </w:p>
        </w:tc>
        <w:tc>
          <w:tcPr>
            <w:tcW w:w="113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0.0</w:t>
            </w:r>
            <w:r>
              <w:rPr>
                <w:rFonts w:hint="eastAsia" w:ascii="Times New Roman" w:hAnsi="Times New Roman"/>
                <w:bCs/>
                <w:color w:val="000000" w:themeColor="text1"/>
                <w:sz w:val="18"/>
                <w:szCs w:val="18"/>
                <w14:textFill>
                  <w14:solidFill>
                    <w14:schemeClr w14:val="tx1"/>
                  </w14:solidFill>
                </w14:textFill>
              </w:rPr>
              <w:t>0</w:t>
            </w:r>
            <w:r>
              <w:rPr>
                <w:rFonts w:ascii="Times New Roman" w:hAnsi="Times New Roman"/>
                <w:bCs/>
                <w:color w:val="000000" w:themeColor="text1"/>
                <w:sz w:val="18"/>
                <w:szCs w:val="18"/>
                <w14:textFill>
                  <w14:solidFill>
                    <w14:schemeClr w14:val="tx1"/>
                  </w14:solidFill>
                </w14:textFill>
              </w:rPr>
              <w:t>4mg/m</w:t>
            </w:r>
            <w:r>
              <w:rPr>
                <w:rFonts w:ascii="Times New Roman" w:hAnsi="Times New Roman"/>
                <w:bCs/>
                <w:color w:val="000000" w:themeColor="text1"/>
                <w:sz w:val="18"/>
                <w:szCs w:val="18"/>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投料粉尘</w:t>
            </w:r>
          </w:p>
        </w:tc>
        <w:tc>
          <w:tcPr>
            <w:tcW w:w="48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有组织</w:t>
            </w:r>
          </w:p>
        </w:tc>
        <w:tc>
          <w:tcPr>
            <w:tcW w:w="99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颗粒物</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4.131</w:t>
            </w:r>
            <w:r>
              <w:rPr>
                <w:rFonts w:ascii="Times New Roman" w:hAnsi="Times New Roman"/>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143.5mg/m</w:t>
            </w:r>
            <w:r>
              <w:rPr>
                <w:rFonts w:hint="eastAsia" w:ascii="Times New Roman" w:hAnsi="Times New Roman"/>
                <w:bCs/>
                <w:color w:val="000000" w:themeColor="text1"/>
                <w:sz w:val="18"/>
                <w:szCs w:val="18"/>
                <w:vertAlign w:val="superscript"/>
                <w14:textFill>
                  <w14:solidFill>
                    <w14:schemeClr w14:val="tx1"/>
                  </w14:solidFill>
                </w14:textFill>
              </w:rPr>
              <w:t>3</w:t>
            </w:r>
          </w:p>
        </w:tc>
        <w:tc>
          <w:tcPr>
            <w:tcW w:w="1729"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级</w:t>
            </w:r>
            <w:r>
              <w:rPr>
                <w:rFonts w:hint="eastAsia" w:ascii="Times New Roman" w:hAnsi="Times New Roman"/>
                <w:color w:val="000000" w:themeColor="text1"/>
                <w:kern w:val="0"/>
                <w:sz w:val="18"/>
                <w:szCs w:val="18"/>
                <w14:textFill>
                  <w14:solidFill>
                    <w14:schemeClr w14:val="tx1"/>
                  </w14:solidFill>
                </w14:textFill>
              </w:rPr>
              <w:t>水</w:t>
            </w:r>
            <w:r>
              <w:rPr>
                <w:rFonts w:ascii="Times New Roman" w:hAnsi="Times New Roman"/>
                <w:color w:val="000000" w:themeColor="text1"/>
                <w:kern w:val="0"/>
                <w:sz w:val="18"/>
                <w:szCs w:val="18"/>
                <w14:textFill>
                  <w14:solidFill>
                    <w14:schemeClr w14:val="tx1"/>
                  </w14:solidFill>
                </w14:textFill>
              </w:rPr>
              <w:t>洗+</w:t>
            </w:r>
            <w:r>
              <w:rPr>
                <w:rFonts w:hint="eastAsia" w:ascii="Times New Roman" w:hAnsi="Times New Roman"/>
                <w:color w:val="000000" w:themeColor="text1"/>
                <w:kern w:val="0"/>
                <w:sz w:val="18"/>
                <w:szCs w:val="18"/>
                <w14:textFill>
                  <w14:solidFill>
                    <w14:schemeClr w14:val="tx1"/>
                  </w14:solidFill>
                </w14:textFill>
              </w:rPr>
              <w:t>1级碱洗</w:t>
            </w:r>
          </w:p>
        </w:tc>
        <w:tc>
          <w:tcPr>
            <w:tcW w:w="1155" w:type="dxa"/>
            <w:gridSpan w:val="2"/>
            <w:vAlign w:val="center"/>
          </w:tcPr>
          <w:p>
            <w:pPr>
              <w:pStyle w:val="2034"/>
              <w:widowControl w:val="0"/>
              <w:adjustRightInd w:val="0"/>
              <w:snapToGrid w:val="0"/>
              <w:rPr>
                <w:rFonts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14:textFill>
                  <w14:solidFill>
                    <w14:schemeClr w14:val="tx1"/>
                  </w14:solidFill>
                </w14:textFill>
              </w:rPr>
              <w:t>207</w:t>
            </w:r>
            <w:r>
              <w:rPr>
                <w:rFonts w:ascii="Times New Roman" w:hAnsi="Times New Roman" w:cs="Times New Roman"/>
                <w:color w:val="000000" w:themeColor="text1"/>
                <w14:textFill>
                  <w14:solidFill>
                    <w14:schemeClr w14:val="tx1"/>
                  </w14:solidFill>
                </w14:textFill>
              </w:rPr>
              <w:t>t/a</w:t>
            </w:r>
          </w:p>
        </w:tc>
        <w:tc>
          <w:tcPr>
            <w:tcW w:w="1134" w:type="dxa"/>
            <w:vAlign w:val="center"/>
          </w:tcPr>
          <w:p>
            <w:pPr>
              <w:pStyle w:val="2034"/>
              <w:widowControl w:val="0"/>
              <w:adjustRightInd w:val="0"/>
              <w:snapToGrid w:val="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7.17</w:t>
            </w:r>
            <w:r>
              <w:rPr>
                <w:rFonts w:ascii="Times New Roman" w:hAnsi="Times New Roman" w:cs="Times New Roman"/>
                <w:bCs/>
                <w:color w:val="000000" w:themeColor="text1"/>
                <w14:textFill>
                  <w14:solidFill>
                    <w14:schemeClr w14:val="tx1"/>
                  </w14:solidFill>
                </w14:textFill>
              </w:rPr>
              <w:t>mg/m</w:t>
            </w:r>
            <w:r>
              <w:rPr>
                <w:rFonts w:ascii="Times New Roman" w:hAnsi="Times New Roman" w:cs="Times New Roman"/>
                <w:bCs/>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48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无组织</w:t>
            </w:r>
          </w:p>
        </w:tc>
        <w:tc>
          <w:tcPr>
            <w:tcW w:w="99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颗粒物</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0.459</w:t>
            </w:r>
            <w:r>
              <w:rPr>
                <w:rFonts w:ascii="Times New Roman" w:hAnsi="Times New Roman"/>
                <w:color w:val="000000" w:themeColor="text1"/>
                <w:sz w:val="18"/>
                <w:szCs w:val="18"/>
                <w14:textFill>
                  <w14:solidFill>
                    <w14:schemeClr w14:val="tx1"/>
                  </w14:solidFill>
                </w14:textFill>
              </w:rPr>
              <w:t>t/a</w:t>
            </w:r>
          </w:p>
        </w:tc>
        <w:tc>
          <w:tcPr>
            <w:tcW w:w="1729" w:type="dxa"/>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车间通风\加强管理</w:t>
            </w:r>
          </w:p>
        </w:tc>
        <w:tc>
          <w:tcPr>
            <w:tcW w:w="2289" w:type="dxa"/>
            <w:gridSpan w:val="3"/>
            <w:vAlign w:val="center"/>
          </w:tcPr>
          <w:p>
            <w:pPr>
              <w:pStyle w:val="2034"/>
              <w:widowControl w:val="0"/>
              <w:adjustRightInd w:val="0"/>
              <w:snapToGrid w:val="0"/>
              <w:rPr>
                <w:rFonts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0.459</w:t>
            </w:r>
            <w:r>
              <w:rPr>
                <w:rFonts w:ascii="Times New Roman" w:hAnsi="Times New Roman" w:cs="Times New Roman"/>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烘干废气</w:t>
            </w:r>
          </w:p>
        </w:tc>
        <w:tc>
          <w:tcPr>
            <w:tcW w:w="48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有组织</w:t>
            </w:r>
          </w:p>
        </w:tc>
        <w:tc>
          <w:tcPr>
            <w:tcW w:w="990"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颗粒物</w:t>
            </w:r>
          </w:p>
        </w:tc>
        <w:tc>
          <w:tcPr>
            <w:tcW w:w="1043"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7.5</w:t>
            </w:r>
            <w:r>
              <w:rPr>
                <w:rFonts w:ascii="Times New Roman" w:hAnsi="Times New Roman"/>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521mg/m</w:t>
            </w:r>
            <w:r>
              <w:rPr>
                <w:rFonts w:hint="eastAsia" w:ascii="Times New Roman" w:hAnsi="Times New Roman"/>
                <w:bCs/>
                <w:color w:val="000000" w:themeColor="text1"/>
                <w:sz w:val="18"/>
                <w:szCs w:val="18"/>
                <w:vertAlign w:val="superscript"/>
                <w14:textFill>
                  <w14:solidFill>
                    <w14:schemeClr w14:val="tx1"/>
                  </w14:solidFill>
                </w14:textFill>
              </w:rPr>
              <w:t>3</w:t>
            </w:r>
          </w:p>
        </w:tc>
        <w:tc>
          <w:tcPr>
            <w:tcW w:w="1729" w:type="dxa"/>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布袋除尘器</w:t>
            </w:r>
          </w:p>
        </w:tc>
        <w:tc>
          <w:tcPr>
            <w:tcW w:w="1155" w:type="dxa"/>
            <w:gridSpan w:val="2"/>
            <w:vAlign w:val="center"/>
          </w:tcPr>
          <w:p>
            <w:pPr>
              <w:pStyle w:val="2034"/>
              <w:widowControl w:val="0"/>
              <w:adjustRightInd w:val="0"/>
              <w:snapToGrid w:val="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0.075</w:t>
            </w:r>
            <w:r>
              <w:rPr>
                <w:rFonts w:ascii="Times New Roman" w:hAnsi="Times New Roman" w:cs="Times New Roman"/>
                <w:color w:val="000000" w:themeColor="text1"/>
                <w14:textFill>
                  <w14:solidFill>
                    <w14:schemeClr w14:val="tx1"/>
                  </w14:solidFill>
                </w14:textFill>
              </w:rPr>
              <w:t>t/a</w:t>
            </w:r>
          </w:p>
        </w:tc>
        <w:tc>
          <w:tcPr>
            <w:tcW w:w="1134" w:type="dxa"/>
            <w:vAlign w:val="center"/>
          </w:tcPr>
          <w:p>
            <w:pPr>
              <w:pStyle w:val="2034"/>
              <w:widowControl w:val="0"/>
              <w:adjustRightInd w:val="0"/>
              <w:snapToGrid w:val="0"/>
              <w:rPr>
                <w:rFonts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5.21mg/m</w:t>
            </w:r>
            <w:r>
              <w:rPr>
                <w:rFonts w:hint="eastAsia" w:ascii="Times New Roman" w:hAnsi="Times New Roman" w:cs="Times New Roman"/>
                <w:bCs/>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废水</w:t>
            </w:r>
          </w:p>
        </w:tc>
        <w:tc>
          <w:tcPr>
            <w:tcW w:w="1455" w:type="dxa"/>
            <w:gridSpan w:val="2"/>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生活废水</w:t>
            </w: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废水量</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5</w:t>
            </w:r>
            <w:r>
              <w:rPr>
                <w:rFonts w:ascii="Times New Roman" w:hAnsi="Times New Roman"/>
                <w:bCs/>
                <w:color w:val="000000" w:themeColor="text1"/>
                <w:sz w:val="18"/>
                <w:szCs w:val="18"/>
                <w14:textFill>
                  <w14:solidFill>
                    <w14:schemeClr w14:val="tx1"/>
                  </w14:solidFill>
                </w14:textFill>
              </w:rPr>
              <w:t>76</w:t>
            </w:r>
            <w:r>
              <w:rPr>
                <w:rFonts w:ascii="Times New Roman" w:hAnsi="Times New Roman"/>
                <w:color w:val="000000" w:themeColor="text1"/>
                <w:sz w:val="18"/>
                <w:szCs w:val="18"/>
                <w14:textFill>
                  <w14:solidFill>
                    <w14:schemeClr w14:val="tx1"/>
                  </w14:solidFill>
                </w14:textFill>
              </w:rPr>
              <w:t>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/a</w:t>
            </w:r>
          </w:p>
        </w:tc>
        <w:tc>
          <w:tcPr>
            <w:tcW w:w="1729" w:type="dxa"/>
            <w:vMerge w:val="restart"/>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经厂区化粪池处理后排入园区污水管网</w:t>
            </w:r>
          </w:p>
        </w:tc>
        <w:tc>
          <w:tcPr>
            <w:tcW w:w="2289" w:type="dxa"/>
            <w:gridSpan w:val="3"/>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5</w:t>
            </w:r>
            <w:r>
              <w:rPr>
                <w:rFonts w:ascii="Times New Roman" w:hAnsi="Times New Roman"/>
                <w:bCs/>
                <w:color w:val="000000" w:themeColor="text1"/>
                <w:sz w:val="18"/>
                <w:szCs w:val="18"/>
                <w14:textFill>
                  <w14:solidFill>
                    <w14:schemeClr w14:val="tx1"/>
                  </w14:solidFill>
                </w14:textFill>
              </w:rPr>
              <w:t>76</w:t>
            </w:r>
            <w:r>
              <w:rPr>
                <w:rFonts w:ascii="Times New Roman" w:hAnsi="Times New Roman"/>
                <w:color w:val="000000" w:themeColor="text1"/>
                <w:sz w:val="18"/>
                <w:szCs w:val="18"/>
                <w14:textFill>
                  <w14:solidFill>
                    <w14:schemeClr w14:val="tx1"/>
                  </w14:solidFill>
                </w14:textFill>
              </w:rPr>
              <w:t>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455" w:type="dxa"/>
            <w:gridSpan w:val="2"/>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COD</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0.252</w:t>
            </w:r>
            <w:r>
              <w:rPr>
                <w:rFonts w:ascii="Times New Roman" w:hAnsi="Times New Roman"/>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350mg/L</w:t>
            </w:r>
          </w:p>
        </w:tc>
        <w:tc>
          <w:tcPr>
            <w:tcW w:w="172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14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0.214</w:t>
            </w:r>
            <w:r>
              <w:rPr>
                <w:rFonts w:ascii="Times New Roman" w:hAnsi="Times New Roman"/>
                <w:color w:val="000000" w:themeColor="text1"/>
                <w:sz w:val="18"/>
                <w:szCs w:val="18"/>
                <w14:textFill>
                  <w14:solidFill>
                    <w14:schemeClr w14:val="tx1"/>
                  </w14:solidFill>
                </w14:textFill>
              </w:rPr>
              <w:t>t/a</w:t>
            </w:r>
          </w:p>
        </w:tc>
        <w:tc>
          <w:tcPr>
            <w:tcW w:w="114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297mg/L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455" w:type="dxa"/>
            <w:gridSpan w:val="2"/>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BOD</w:t>
            </w:r>
            <w:r>
              <w:rPr>
                <w:rFonts w:ascii="Times New Roman" w:hAnsi="Times New Roman" w:cs="Times New Roman"/>
                <w:color w:val="000000" w:themeColor="text1"/>
                <w:sz w:val="18"/>
                <w:szCs w:val="18"/>
                <w:vertAlign w:val="subscript"/>
                <w14:textFill>
                  <w14:solidFill>
                    <w14:schemeClr w14:val="tx1"/>
                  </w14:solidFill>
                </w14:textFill>
              </w:rPr>
              <w:t>5</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0.144</w:t>
            </w:r>
            <w:r>
              <w:rPr>
                <w:rFonts w:ascii="Times New Roman" w:hAnsi="Times New Roman"/>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200mg/L</w:t>
            </w:r>
          </w:p>
        </w:tc>
        <w:tc>
          <w:tcPr>
            <w:tcW w:w="172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14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0.131</w:t>
            </w:r>
            <w:r>
              <w:rPr>
                <w:rFonts w:ascii="Times New Roman" w:hAnsi="Times New Roman"/>
                <w:color w:val="000000" w:themeColor="text1"/>
                <w:sz w:val="18"/>
                <w:szCs w:val="18"/>
                <w14:textFill>
                  <w14:solidFill>
                    <w14:schemeClr w14:val="tx1"/>
                  </w14:solidFill>
                </w14:textFill>
              </w:rPr>
              <w:t>t/a</w:t>
            </w:r>
          </w:p>
        </w:tc>
        <w:tc>
          <w:tcPr>
            <w:tcW w:w="114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182mg/L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455" w:type="dxa"/>
            <w:gridSpan w:val="2"/>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-N</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0.022</w:t>
            </w:r>
            <w:r>
              <w:rPr>
                <w:rFonts w:ascii="Times New Roman" w:hAnsi="Times New Roman"/>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30mg/L</w:t>
            </w:r>
          </w:p>
        </w:tc>
        <w:tc>
          <w:tcPr>
            <w:tcW w:w="172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14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0.022</w:t>
            </w:r>
            <w:r>
              <w:rPr>
                <w:rFonts w:ascii="Times New Roman" w:hAnsi="Times New Roman"/>
                <w:color w:val="000000" w:themeColor="text1"/>
                <w:sz w:val="18"/>
                <w:szCs w:val="18"/>
                <w14:textFill>
                  <w14:solidFill>
                    <w14:schemeClr w14:val="tx1"/>
                  </w14:solidFill>
                </w14:textFill>
              </w:rPr>
              <w:t>t/a</w:t>
            </w:r>
          </w:p>
        </w:tc>
        <w:tc>
          <w:tcPr>
            <w:tcW w:w="114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30mg/L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455" w:type="dxa"/>
            <w:gridSpan w:val="2"/>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TP</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0.0022</w:t>
            </w:r>
            <w:r>
              <w:rPr>
                <w:rFonts w:ascii="Times New Roman" w:hAnsi="Times New Roman"/>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3mg/L</w:t>
            </w:r>
          </w:p>
        </w:tc>
        <w:tc>
          <w:tcPr>
            <w:tcW w:w="172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14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0.0022</w:t>
            </w:r>
            <w:r>
              <w:rPr>
                <w:rFonts w:ascii="Times New Roman" w:hAnsi="Times New Roman"/>
                <w:color w:val="000000" w:themeColor="text1"/>
                <w:sz w:val="18"/>
                <w:szCs w:val="18"/>
                <w14:textFill>
                  <w14:solidFill>
                    <w14:schemeClr w14:val="tx1"/>
                  </w14:solidFill>
                </w14:textFill>
              </w:rPr>
              <w:t>t/a</w:t>
            </w:r>
          </w:p>
        </w:tc>
        <w:tc>
          <w:tcPr>
            <w:tcW w:w="114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3mg/L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455" w:type="dxa"/>
            <w:gridSpan w:val="2"/>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SS</w:t>
            </w:r>
          </w:p>
        </w:tc>
        <w:tc>
          <w:tcPr>
            <w:tcW w:w="1043"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0.144</w:t>
            </w:r>
            <w:r>
              <w:rPr>
                <w:rFonts w:ascii="Times New Roman" w:hAnsi="Times New Roman"/>
                <w:color w:val="000000" w:themeColor="text1"/>
                <w:sz w:val="18"/>
                <w:szCs w:val="18"/>
                <w14:textFill>
                  <w14:solidFill>
                    <w14:schemeClr w14:val="tx1"/>
                  </w14:solidFill>
                </w14:textFill>
              </w:rPr>
              <w:t>t/a</w:t>
            </w:r>
          </w:p>
        </w:tc>
        <w:tc>
          <w:tcPr>
            <w:tcW w:w="1338"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200mg/L</w:t>
            </w:r>
          </w:p>
        </w:tc>
        <w:tc>
          <w:tcPr>
            <w:tcW w:w="172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144"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0.072</w:t>
            </w:r>
            <w:r>
              <w:rPr>
                <w:rFonts w:ascii="Times New Roman" w:hAnsi="Times New Roman"/>
                <w:color w:val="000000" w:themeColor="text1"/>
                <w:sz w:val="18"/>
                <w:szCs w:val="18"/>
                <w14:textFill>
                  <w14:solidFill>
                    <w14:schemeClr w14:val="tx1"/>
                  </w14:solidFill>
                </w14:textFill>
              </w:rPr>
              <w:t>t/a</w:t>
            </w:r>
          </w:p>
        </w:tc>
        <w:tc>
          <w:tcPr>
            <w:tcW w:w="1145"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100mg/L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455" w:type="dxa"/>
            <w:gridSpan w:val="2"/>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尾气洗涤废液</w:t>
            </w: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废水量</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1166.4</w:t>
            </w:r>
            <w:r>
              <w:rPr>
                <w:rFonts w:ascii="Times New Roman" w:hAnsi="Times New Roman"/>
                <w:color w:val="000000" w:themeColor="text1"/>
                <w:sz w:val="18"/>
                <w:szCs w:val="18"/>
                <w14:textFill>
                  <w14:solidFill>
                    <w14:schemeClr w14:val="tx1"/>
                  </w14:solidFill>
                </w14:textFill>
              </w:rPr>
              <w:t>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/a</w:t>
            </w:r>
          </w:p>
        </w:tc>
        <w:tc>
          <w:tcPr>
            <w:tcW w:w="1729"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泵送至中和槽回用于生产，不外排</w:t>
            </w:r>
          </w:p>
        </w:tc>
        <w:tc>
          <w:tcPr>
            <w:tcW w:w="2289" w:type="dxa"/>
            <w:gridSpan w:val="3"/>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7"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1455" w:type="dxa"/>
            <w:gridSpan w:val="2"/>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pH</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6-7（无量纲）</w:t>
            </w:r>
          </w:p>
        </w:tc>
        <w:tc>
          <w:tcPr>
            <w:tcW w:w="172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2289" w:type="dxa"/>
            <w:gridSpan w:val="3"/>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氟化物</w:t>
            </w:r>
          </w:p>
        </w:tc>
        <w:tc>
          <w:tcPr>
            <w:tcW w:w="2381" w:type="dxa"/>
            <w:gridSpan w:val="2"/>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800-900mg/L</w:t>
            </w:r>
          </w:p>
        </w:tc>
        <w:tc>
          <w:tcPr>
            <w:tcW w:w="172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2289" w:type="dxa"/>
            <w:gridSpan w:val="3"/>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SS</w:t>
            </w:r>
          </w:p>
        </w:tc>
        <w:tc>
          <w:tcPr>
            <w:tcW w:w="2381" w:type="dxa"/>
            <w:gridSpan w:val="2"/>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2500-3000mg/L</w:t>
            </w:r>
          </w:p>
        </w:tc>
        <w:tc>
          <w:tcPr>
            <w:tcW w:w="172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2289" w:type="dxa"/>
            <w:gridSpan w:val="3"/>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restart"/>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离心洗涤废水</w:t>
            </w: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废水量</w:t>
            </w:r>
          </w:p>
        </w:tc>
        <w:tc>
          <w:tcPr>
            <w:tcW w:w="2381" w:type="dxa"/>
            <w:gridSpan w:val="2"/>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2602</w:t>
            </w:r>
            <w:r>
              <w:rPr>
                <w:rFonts w:ascii="Times New Roman" w:hAnsi="Times New Roman"/>
                <w:color w:val="000000" w:themeColor="text1"/>
                <w:sz w:val="18"/>
                <w:szCs w:val="18"/>
                <w14:textFill>
                  <w14:solidFill>
                    <w14:schemeClr w14:val="tx1"/>
                  </w14:solidFill>
                </w14:textFill>
              </w:rPr>
              <w:t>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/a</w:t>
            </w:r>
          </w:p>
        </w:tc>
        <w:tc>
          <w:tcPr>
            <w:tcW w:w="1729" w:type="dxa"/>
            <w:vMerge w:val="restart"/>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经母液槽最终进入中和槽回用于生产，不外排</w:t>
            </w:r>
          </w:p>
        </w:tc>
        <w:tc>
          <w:tcPr>
            <w:tcW w:w="2289" w:type="dxa"/>
            <w:gridSpan w:val="3"/>
            <w:vMerge w:val="restart"/>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pH</w:t>
            </w:r>
          </w:p>
        </w:tc>
        <w:tc>
          <w:tcPr>
            <w:tcW w:w="2381" w:type="dxa"/>
            <w:gridSpan w:val="2"/>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0.4-1.59</w:t>
            </w:r>
            <w:r>
              <w:rPr>
                <w:rFonts w:hint="eastAsia" w:ascii="Times New Roman" w:hAnsi="Times New Roman" w:cs="Times New Roman"/>
                <w:color w:val="000000" w:themeColor="text1"/>
                <w:sz w:val="18"/>
                <w:szCs w:val="18"/>
                <w14:textFill>
                  <w14:solidFill>
                    <w14:schemeClr w14:val="tx1"/>
                  </w14:solidFill>
                </w14:textFill>
              </w:rPr>
              <w:t>（无量纲）</w:t>
            </w:r>
          </w:p>
        </w:tc>
        <w:tc>
          <w:tcPr>
            <w:tcW w:w="172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2289" w:type="dxa"/>
            <w:gridSpan w:val="3"/>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氟化物</w:t>
            </w:r>
          </w:p>
        </w:tc>
        <w:tc>
          <w:tcPr>
            <w:tcW w:w="2381" w:type="dxa"/>
            <w:gridSpan w:val="2"/>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4000-5000mg/L</w:t>
            </w:r>
          </w:p>
        </w:tc>
        <w:tc>
          <w:tcPr>
            <w:tcW w:w="172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2289" w:type="dxa"/>
            <w:gridSpan w:val="3"/>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SS</w:t>
            </w:r>
          </w:p>
        </w:tc>
        <w:tc>
          <w:tcPr>
            <w:tcW w:w="2381" w:type="dxa"/>
            <w:gridSpan w:val="2"/>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3000-4000mg/L</w:t>
            </w:r>
          </w:p>
        </w:tc>
        <w:tc>
          <w:tcPr>
            <w:tcW w:w="172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2289" w:type="dxa"/>
            <w:gridSpan w:val="3"/>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COD</w:t>
            </w:r>
          </w:p>
        </w:tc>
        <w:tc>
          <w:tcPr>
            <w:tcW w:w="2381" w:type="dxa"/>
            <w:gridSpan w:val="2"/>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20-80mg/L</w:t>
            </w:r>
          </w:p>
        </w:tc>
        <w:tc>
          <w:tcPr>
            <w:tcW w:w="172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2289" w:type="dxa"/>
            <w:gridSpan w:val="3"/>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43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1455" w:type="dxa"/>
            <w:gridSpan w:val="2"/>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990" w:type="dxa"/>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-N</w:t>
            </w:r>
          </w:p>
        </w:tc>
        <w:tc>
          <w:tcPr>
            <w:tcW w:w="2381" w:type="dxa"/>
            <w:gridSpan w:val="2"/>
            <w:vAlign w:val="center"/>
          </w:tcPr>
          <w:p>
            <w:pPr>
              <w:pStyle w:val="18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6.05-10.53mg/L</w:t>
            </w:r>
          </w:p>
        </w:tc>
        <w:tc>
          <w:tcPr>
            <w:tcW w:w="1729" w:type="dxa"/>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c>
          <w:tcPr>
            <w:tcW w:w="2289" w:type="dxa"/>
            <w:gridSpan w:val="3"/>
            <w:vMerge w:val="continue"/>
            <w:vAlign w:val="center"/>
          </w:tcPr>
          <w:p>
            <w:pPr>
              <w:pStyle w:val="181"/>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 w:type="dxa"/>
            <w:vMerge w:val="restart"/>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固废</w:t>
            </w:r>
          </w:p>
        </w:tc>
        <w:tc>
          <w:tcPr>
            <w:tcW w:w="975" w:type="dxa"/>
            <w:vAlign w:val="center"/>
          </w:tcPr>
          <w:p>
            <w:pPr>
              <w:pStyle w:val="1800"/>
              <w:spacing w:line="240" w:lineRule="auto"/>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办公生活</w:t>
            </w:r>
          </w:p>
        </w:tc>
        <w:tc>
          <w:tcPr>
            <w:tcW w:w="1470" w:type="dxa"/>
            <w:gridSpan w:val="2"/>
            <w:vAlign w:val="center"/>
          </w:tcPr>
          <w:p>
            <w:pPr>
              <w:pStyle w:val="1800"/>
              <w:spacing w:line="240" w:lineRule="auto"/>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生活垃圾</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2.16</w:t>
            </w:r>
            <w:r>
              <w:rPr>
                <w:rFonts w:ascii="Times New Roman" w:hAnsi="Times New Roman"/>
                <w:bCs/>
                <w:color w:val="000000" w:themeColor="text1"/>
                <w:sz w:val="18"/>
                <w:szCs w:val="18"/>
                <w14:textFill>
                  <w14:solidFill>
                    <w14:schemeClr w14:val="tx1"/>
                  </w14:solidFill>
                </w14:textFill>
              </w:rPr>
              <w:t>t/a</w:t>
            </w:r>
          </w:p>
        </w:tc>
        <w:tc>
          <w:tcPr>
            <w:tcW w:w="1729" w:type="dxa"/>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委托环卫部门处置</w:t>
            </w:r>
          </w:p>
        </w:tc>
        <w:tc>
          <w:tcPr>
            <w:tcW w:w="2289" w:type="dxa"/>
            <w:gridSpan w:val="3"/>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Align w:val="center"/>
          </w:tcPr>
          <w:p>
            <w:pPr>
              <w:pStyle w:val="1800"/>
              <w:spacing w:line="240" w:lineRule="auto"/>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综合仓库</w:t>
            </w:r>
          </w:p>
        </w:tc>
        <w:tc>
          <w:tcPr>
            <w:tcW w:w="1470" w:type="dxa"/>
            <w:gridSpan w:val="2"/>
            <w:vAlign w:val="center"/>
          </w:tcPr>
          <w:p>
            <w:pPr>
              <w:pStyle w:val="1800"/>
              <w:spacing w:line="240" w:lineRule="auto"/>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废包装材料</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5</w:t>
            </w:r>
            <w:r>
              <w:rPr>
                <w:rFonts w:ascii="Times New Roman" w:hAnsi="Times New Roman"/>
                <w:bCs/>
                <w:color w:val="000000" w:themeColor="text1"/>
                <w:sz w:val="18"/>
                <w:szCs w:val="18"/>
                <w14:textFill>
                  <w14:solidFill>
                    <w14:schemeClr w14:val="tx1"/>
                  </w14:solidFill>
                </w14:textFill>
              </w:rPr>
              <w:t>t/a</w:t>
            </w:r>
          </w:p>
        </w:tc>
        <w:tc>
          <w:tcPr>
            <w:tcW w:w="1729"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交由物资部门</w:t>
            </w:r>
          </w:p>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回收处理</w:t>
            </w:r>
          </w:p>
        </w:tc>
        <w:tc>
          <w:tcPr>
            <w:tcW w:w="2289" w:type="dxa"/>
            <w:gridSpan w:val="3"/>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Align w:val="center"/>
          </w:tcPr>
          <w:p>
            <w:pPr>
              <w:pStyle w:val="1800"/>
              <w:spacing w:line="240" w:lineRule="auto"/>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bCs/>
                <w:color w:val="000000" w:themeColor="text1"/>
                <w:sz w:val="18"/>
                <w:szCs w:val="18"/>
                <w14:textFill>
                  <w14:solidFill>
                    <w14:schemeClr w14:val="tx1"/>
                  </w14:solidFill>
                </w14:textFill>
              </w:rPr>
              <w:t>布袋除尘</w:t>
            </w:r>
          </w:p>
        </w:tc>
        <w:tc>
          <w:tcPr>
            <w:tcW w:w="1470" w:type="dxa"/>
            <w:gridSpan w:val="2"/>
            <w:vAlign w:val="center"/>
          </w:tcPr>
          <w:p>
            <w:pPr>
              <w:pStyle w:val="1800"/>
              <w:spacing w:line="240" w:lineRule="auto"/>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布袋除尘器收集粉尘</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198</w:t>
            </w:r>
            <w:r>
              <w:rPr>
                <w:rFonts w:ascii="Times New Roman" w:hAnsi="Times New Roman"/>
                <w:bCs/>
                <w:color w:val="000000" w:themeColor="text1"/>
                <w:sz w:val="18"/>
                <w:szCs w:val="18"/>
                <w14:textFill>
                  <w14:solidFill>
                    <w14:schemeClr w14:val="tx1"/>
                  </w14:solidFill>
                </w14:textFill>
              </w:rPr>
              <w:t>/a</w:t>
            </w:r>
          </w:p>
        </w:tc>
        <w:tc>
          <w:tcPr>
            <w:tcW w:w="1729" w:type="dxa"/>
            <w:vAlign w:val="center"/>
          </w:tcPr>
          <w:p>
            <w:pPr>
              <w:pStyle w:val="1800"/>
              <w:spacing w:line="240" w:lineRule="auto"/>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作为产品外售</w:t>
            </w:r>
          </w:p>
        </w:tc>
        <w:tc>
          <w:tcPr>
            <w:tcW w:w="2289" w:type="dxa"/>
            <w:gridSpan w:val="3"/>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Align w:val="center"/>
          </w:tcPr>
          <w:p>
            <w:pPr>
              <w:pStyle w:val="1800"/>
              <w:spacing w:line="240" w:lineRule="auto"/>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板框压滤</w:t>
            </w:r>
          </w:p>
        </w:tc>
        <w:tc>
          <w:tcPr>
            <w:tcW w:w="1470" w:type="dxa"/>
            <w:gridSpan w:val="2"/>
            <w:vAlign w:val="center"/>
          </w:tcPr>
          <w:p>
            <w:pPr>
              <w:pStyle w:val="1800"/>
              <w:spacing w:line="240" w:lineRule="auto"/>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压滤废渣</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9613.648</w:t>
            </w:r>
            <w:r>
              <w:rPr>
                <w:rFonts w:ascii="Times New Roman" w:hAnsi="Times New Roman"/>
                <w:bCs/>
                <w:color w:val="000000" w:themeColor="text1"/>
                <w:sz w:val="18"/>
                <w:szCs w:val="18"/>
                <w14:textFill>
                  <w14:solidFill>
                    <w14:schemeClr w14:val="tx1"/>
                  </w14:solidFill>
                </w14:textFill>
              </w:rPr>
              <w:t>t/a</w:t>
            </w:r>
          </w:p>
        </w:tc>
        <w:tc>
          <w:tcPr>
            <w:tcW w:w="1729" w:type="dxa"/>
            <w:vAlign w:val="center"/>
          </w:tcPr>
          <w:p>
            <w:pPr>
              <w:pStyle w:val="1800"/>
              <w:spacing w:line="240" w:lineRule="auto"/>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外售砖厂综合利用</w:t>
            </w:r>
          </w:p>
        </w:tc>
        <w:tc>
          <w:tcPr>
            <w:tcW w:w="2289" w:type="dxa"/>
            <w:gridSpan w:val="3"/>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439" w:type="dxa"/>
            <w:vMerge w:val="continue"/>
            <w:vAlign w:val="center"/>
          </w:tcPr>
          <w:p>
            <w:pPr>
              <w:jc w:val="center"/>
              <w:rPr>
                <w:rFonts w:ascii="Times New Roman" w:hAnsi="Times New Roman"/>
                <w:bCs/>
                <w:color w:val="000000" w:themeColor="text1"/>
                <w:sz w:val="18"/>
                <w:szCs w:val="18"/>
                <w14:textFill>
                  <w14:solidFill>
                    <w14:schemeClr w14:val="tx1"/>
                  </w14:solidFill>
                </w14:textFill>
              </w:rPr>
            </w:pPr>
          </w:p>
        </w:tc>
        <w:tc>
          <w:tcPr>
            <w:tcW w:w="975" w:type="dxa"/>
            <w:vAlign w:val="center"/>
          </w:tcPr>
          <w:p>
            <w:pPr>
              <w:pStyle w:val="1800"/>
              <w:spacing w:line="240" w:lineRule="auto"/>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设备维修</w:t>
            </w:r>
          </w:p>
        </w:tc>
        <w:tc>
          <w:tcPr>
            <w:tcW w:w="1470" w:type="dxa"/>
            <w:gridSpan w:val="2"/>
            <w:vAlign w:val="center"/>
          </w:tcPr>
          <w:p>
            <w:pPr>
              <w:pStyle w:val="1800"/>
              <w:spacing w:line="240" w:lineRule="auto"/>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废机油</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0.2</w:t>
            </w:r>
            <w:r>
              <w:rPr>
                <w:rFonts w:ascii="Times New Roman" w:hAnsi="Times New Roman"/>
                <w:bCs/>
                <w:color w:val="000000" w:themeColor="text1"/>
                <w:sz w:val="18"/>
                <w:szCs w:val="18"/>
                <w14:textFill>
                  <w14:solidFill>
                    <w14:schemeClr w14:val="tx1"/>
                  </w14:solidFill>
                </w14:textFill>
              </w:rPr>
              <w:t>t/a</w:t>
            </w:r>
          </w:p>
        </w:tc>
        <w:tc>
          <w:tcPr>
            <w:tcW w:w="1729" w:type="dxa"/>
            <w:vAlign w:val="center"/>
          </w:tcPr>
          <w:p>
            <w:pPr>
              <w:pStyle w:val="1800"/>
              <w:spacing w:line="240" w:lineRule="auto"/>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集中收集暂存于危废暂存间后委托有资质单位处置</w:t>
            </w:r>
          </w:p>
        </w:tc>
        <w:tc>
          <w:tcPr>
            <w:tcW w:w="2289" w:type="dxa"/>
            <w:gridSpan w:val="3"/>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6" w:hRule="atLeast"/>
          <w:jc w:val="center"/>
        </w:trPr>
        <w:tc>
          <w:tcPr>
            <w:tcW w:w="439"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噪声</w:t>
            </w:r>
          </w:p>
        </w:tc>
        <w:tc>
          <w:tcPr>
            <w:tcW w:w="2445" w:type="dxa"/>
            <w:gridSpan w:val="3"/>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各类生产设备运行噪声</w:t>
            </w:r>
          </w:p>
        </w:tc>
        <w:tc>
          <w:tcPr>
            <w:tcW w:w="2381" w:type="dxa"/>
            <w:gridSpan w:val="2"/>
            <w:vAlign w:val="center"/>
          </w:tcPr>
          <w:p>
            <w:pPr>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8</w:t>
            </w:r>
            <w:r>
              <w:rPr>
                <w:rFonts w:ascii="Times New Roman" w:hAnsi="Times New Roman"/>
                <w:bCs/>
                <w:color w:val="000000" w:themeColor="text1"/>
                <w:sz w:val="18"/>
                <w:szCs w:val="18"/>
                <w14:textFill>
                  <w14:solidFill>
                    <w14:schemeClr w14:val="tx1"/>
                  </w14:solidFill>
                </w14:textFill>
              </w:rPr>
              <w:t>0~</w:t>
            </w:r>
            <w:r>
              <w:rPr>
                <w:rFonts w:hint="eastAsia" w:ascii="Times New Roman" w:hAnsi="Times New Roman"/>
                <w:bCs/>
                <w:color w:val="000000" w:themeColor="text1"/>
                <w:sz w:val="18"/>
                <w:szCs w:val="18"/>
                <w14:textFill>
                  <w14:solidFill>
                    <w14:schemeClr w14:val="tx1"/>
                  </w14:solidFill>
                </w14:textFill>
              </w:rPr>
              <w:t>90</w:t>
            </w:r>
            <w:r>
              <w:rPr>
                <w:rFonts w:ascii="Times New Roman" w:hAnsi="Times New Roman"/>
                <w:color w:val="000000" w:themeColor="text1"/>
                <w:sz w:val="18"/>
                <w:szCs w:val="18"/>
                <w14:textFill>
                  <w14:solidFill>
                    <w14:schemeClr w14:val="tx1"/>
                  </w14:solidFill>
                </w14:textFill>
              </w:rPr>
              <w:t>dB(A)</w:t>
            </w:r>
          </w:p>
        </w:tc>
        <w:tc>
          <w:tcPr>
            <w:tcW w:w="1729" w:type="dxa"/>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选用低噪声设备，基础减振、建筑隔声等</w:t>
            </w:r>
          </w:p>
        </w:tc>
        <w:tc>
          <w:tcPr>
            <w:tcW w:w="2289" w:type="dxa"/>
            <w:gridSpan w:val="3"/>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 dB(A)</w:t>
            </w:r>
          </w:p>
        </w:tc>
      </w:tr>
    </w:tbl>
    <w:p>
      <w:pPr>
        <w:rPr>
          <w:rFonts w:ascii="黑体" w:hAnsi="黑体" w:eastAsia="黑体"/>
          <w:b/>
          <w:color w:val="000000" w:themeColor="text1"/>
          <w:sz w:val="44"/>
          <w:szCs w:val="44"/>
          <w14:textFill>
            <w14:solidFill>
              <w14:schemeClr w14:val="tx1"/>
            </w14:solidFill>
          </w14:textFill>
        </w:rPr>
      </w:pPr>
      <w:bookmarkStart w:id="296" w:name="_Toc15675"/>
      <w:bookmarkStart w:id="297" w:name="_Toc16283"/>
      <w:bookmarkStart w:id="298" w:name="_Toc26268"/>
      <w:bookmarkStart w:id="299" w:name="_Toc325552417"/>
      <w:bookmarkStart w:id="300" w:name="_Toc127760974"/>
      <w:bookmarkStart w:id="301" w:name="_Toc127763129"/>
      <w:bookmarkStart w:id="302" w:name="_Toc1256"/>
      <w:bookmarkStart w:id="303" w:name="_Toc296439194"/>
      <w:bookmarkStart w:id="304" w:name="_Toc99717836"/>
      <w:bookmarkStart w:id="305" w:name="_Toc128299105"/>
      <w:bookmarkStart w:id="306" w:name="_Toc127762924"/>
      <w:bookmarkStart w:id="307" w:name="_Toc127760675"/>
      <w:bookmarkStart w:id="308" w:name="_Toc127760577"/>
      <w:r>
        <w:rPr>
          <w:rFonts w:ascii="黑体" w:hAnsi="黑体" w:eastAsia="黑体"/>
          <w:b/>
          <w:color w:val="000000" w:themeColor="text1"/>
          <w:sz w:val="44"/>
          <w:szCs w:val="44"/>
          <w14:textFill>
            <w14:solidFill>
              <w14:schemeClr w14:val="tx1"/>
            </w14:solidFill>
          </w14:textFill>
        </w:rPr>
        <w:br w:type="page"/>
      </w:r>
    </w:p>
    <w:p>
      <w:pPr>
        <w:pStyle w:val="380"/>
        <w:adjustRightInd w:val="0"/>
        <w:snapToGrid w:val="0"/>
        <w:spacing w:after="360" w:afterLines="150"/>
        <w:ind w:firstLine="0" w:firstLineChars="0"/>
        <w:jc w:val="center"/>
        <w:outlineLvl w:val="2"/>
        <w:rPr>
          <w:rFonts w:ascii="黑体" w:hAnsi="黑体" w:eastAsia="黑体"/>
          <w:b/>
          <w:color w:val="000000" w:themeColor="text1"/>
          <w:sz w:val="44"/>
          <w:szCs w:val="44"/>
          <w14:textFill>
            <w14:solidFill>
              <w14:schemeClr w14:val="tx1"/>
            </w14:solidFill>
          </w14:textFill>
        </w:rPr>
      </w:pPr>
      <w:bookmarkStart w:id="309" w:name="_Toc7285"/>
      <w:r>
        <w:rPr>
          <w:rFonts w:hint="eastAsia" w:ascii="黑体" w:hAnsi="黑体" w:eastAsia="黑体"/>
          <w:b/>
          <w:color w:val="000000" w:themeColor="text1"/>
          <w:sz w:val="44"/>
          <w:szCs w:val="44"/>
          <w:lang w:val="en-US" w:eastAsia="zh-CN"/>
          <w14:textFill>
            <w14:solidFill>
              <w14:schemeClr w14:val="tx1"/>
            </w14:solidFill>
          </w14:textFill>
        </w:rPr>
        <w:t>5</w:t>
      </w:r>
      <w:r>
        <w:rPr>
          <w:rFonts w:ascii="黑体" w:hAnsi="黑体" w:eastAsia="黑体"/>
          <w:b/>
          <w:color w:val="000000" w:themeColor="text1"/>
          <w:sz w:val="44"/>
          <w:szCs w:val="44"/>
          <w14:textFill>
            <w14:solidFill>
              <w14:schemeClr w14:val="tx1"/>
            </w14:solidFill>
          </w14:textFill>
        </w:rPr>
        <w:t>区域环境状况</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pPr>
        <w:pStyle w:val="380"/>
        <w:keepNext w:val="0"/>
        <w:keepLines w:val="0"/>
        <w:pageBreakBefore w:val="0"/>
        <w:widowControl w:val="0"/>
        <w:kinsoku/>
        <w:wordWrap/>
        <w:overflowPunct/>
        <w:topLinePunct w:val="0"/>
        <w:autoSpaceDE/>
        <w:autoSpaceDN/>
        <w:bidi w:val="0"/>
        <w:adjustRightInd w:val="0"/>
        <w:snapToGrid w:val="0"/>
        <w:spacing w:before="48" w:beforeLines="20" w:after="48" w:afterLines="20" w:line="520" w:lineRule="exact"/>
        <w:ind w:firstLine="0" w:firstLineChars="0"/>
        <w:jc w:val="left"/>
        <w:textAlignment w:val="auto"/>
        <w:outlineLvl w:val="2"/>
        <w:rPr>
          <w:rFonts w:ascii="黑体" w:hAnsi="黑体" w:eastAsia="黑体"/>
          <w:b/>
          <w:color w:val="000000" w:themeColor="text1"/>
          <w:sz w:val="32"/>
          <w:szCs w:val="32"/>
          <w14:textFill>
            <w14:solidFill>
              <w14:schemeClr w14:val="tx1"/>
            </w14:solidFill>
          </w14:textFill>
        </w:rPr>
      </w:pPr>
      <w:bookmarkStart w:id="310" w:name="_Toc21001"/>
      <w:r>
        <w:rPr>
          <w:rFonts w:hint="eastAsia" w:ascii="Times New Roman" w:hAnsi="Times New Roman" w:eastAsia="黑体"/>
          <w:b/>
          <w:color w:val="000000" w:themeColor="text1"/>
          <w:sz w:val="32"/>
          <w:szCs w:val="32"/>
          <w:lang w:val="en-US" w:eastAsia="zh-CN"/>
          <w14:textFill>
            <w14:solidFill>
              <w14:schemeClr w14:val="tx1"/>
            </w14:solidFill>
          </w14:textFill>
        </w:rPr>
        <w:t>5</w:t>
      </w:r>
      <w:r>
        <w:rPr>
          <w:rFonts w:ascii="Times New Roman" w:hAnsi="Times New Roman" w:eastAsia="黑体"/>
          <w:b/>
          <w:color w:val="000000" w:themeColor="text1"/>
          <w:sz w:val="32"/>
          <w:szCs w:val="32"/>
          <w14:textFill>
            <w14:solidFill>
              <w14:schemeClr w14:val="tx1"/>
            </w14:solidFill>
          </w14:textFill>
        </w:rPr>
        <w:t>.1</w:t>
      </w:r>
      <w:r>
        <w:rPr>
          <w:rFonts w:ascii="黑体" w:hAnsi="黑体" w:eastAsia="黑体"/>
          <w:b/>
          <w:color w:val="000000" w:themeColor="text1"/>
          <w:sz w:val="32"/>
          <w:szCs w:val="32"/>
          <w14:textFill>
            <w14:solidFill>
              <w14:schemeClr w14:val="tx1"/>
            </w14:solidFill>
          </w14:textFill>
        </w:rPr>
        <w:t>自然环境简况</w:t>
      </w:r>
      <w:bookmarkEnd w:id="310"/>
    </w:p>
    <w:p>
      <w:pPr>
        <w:pStyle w:val="380"/>
        <w:keepNext w:val="0"/>
        <w:keepLines w:val="0"/>
        <w:pageBreakBefore w:val="0"/>
        <w:widowControl w:val="0"/>
        <w:numPr>
          <w:ilvl w:val="0"/>
          <w:numId w:val="22"/>
        </w:numPr>
        <w:kinsoku/>
        <w:wordWrap/>
        <w:overflowPunct/>
        <w:topLinePunct w:val="0"/>
        <w:autoSpaceDE/>
        <w:autoSpaceDN/>
        <w:bidi w:val="0"/>
        <w:adjustRightInd w:val="0"/>
        <w:snapToGrid w:val="0"/>
        <w:spacing w:before="48" w:beforeLines="20" w:after="4" w:line="520" w:lineRule="exact"/>
        <w:ind w:firstLineChars="0"/>
        <w:jc w:val="left"/>
        <w:textAlignment w:val="auto"/>
        <w:outlineLvl w:val="4"/>
        <w:rPr>
          <w:rFonts w:ascii="黑体" w:hAnsi="黑体" w:eastAsia="黑体"/>
          <w:b/>
          <w:vanish/>
          <w:color w:val="000000" w:themeColor="text1"/>
          <w:kern w:val="0"/>
          <w:sz w:val="28"/>
          <w:szCs w:val="28"/>
          <w14:textFill>
            <w14:solidFill>
              <w14:schemeClr w14:val="tx1"/>
            </w14:solidFill>
          </w14:textFill>
        </w:rPr>
      </w:pPr>
    </w:p>
    <w:p>
      <w:pPr>
        <w:pStyle w:val="380"/>
        <w:keepNext w:val="0"/>
        <w:keepLines w:val="0"/>
        <w:pageBreakBefore w:val="0"/>
        <w:widowControl w:val="0"/>
        <w:numPr>
          <w:ilvl w:val="1"/>
          <w:numId w:val="22"/>
        </w:numPr>
        <w:kinsoku/>
        <w:wordWrap/>
        <w:overflowPunct/>
        <w:topLinePunct w:val="0"/>
        <w:autoSpaceDE/>
        <w:autoSpaceDN/>
        <w:bidi w:val="0"/>
        <w:adjustRightInd w:val="0"/>
        <w:snapToGrid w:val="0"/>
        <w:spacing w:before="48" w:beforeLines="20" w:after="4" w:line="520" w:lineRule="exact"/>
        <w:ind w:firstLineChars="0"/>
        <w:jc w:val="left"/>
        <w:textAlignment w:val="auto"/>
        <w:outlineLvl w:val="4"/>
        <w:rPr>
          <w:rFonts w:ascii="黑体" w:hAnsi="黑体" w:eastAsia="黑体"/>
          <w:b/>
          <w:vanish/>
          <w:color w:val="000000" w:themeColor="text1"/>
          <w:kern w:val="0"/>
          <w:sz w:val="28"/>
          <w:szCs w:val="28"/>
          <w14:textFill>
            <w14:solidFill>
              <w14:schemeClr w14:val="tx1"/>
            </w14:solidFill>
          </w14:textFill>
        </w:rPr>
      </w:pPr>
    </w:p>
    <w:p>
      <w:pPr>
        <w:pStyle w:val="380"/>
        <w:keepNext w:val="0"/>
        <w:keepLines w:val="0"/>
        <w:pageBreakBefore w:val="0"/>
        <w:widowControl w:val="0"/>
        <w:numPr>
          <w:ilvl w:val="0"/>
          <w:numId w:val="22"/>
        </w:numPr>
        <w:kinsoku/>
        <w:wordWrap/>
        <w:overflowPunct/>
        <w:topLinePunct w:val="0"/>
        <w:autoSpaceDE/>
        <w:autoSpaceDN/>
        <w:bidi w:val="0"/>
        <w:adjustRightInd w:val="0"/>
        <w:snapToGrid w:val="0"/>
        <w:spacing w:before="48" w:beforeLines="20" w:after="4" w:line="520" w:lineRule="exact"/>
        <w:ind w:firstLineChars="0"/>
        <w:jc w:val="left"/>
        <w:textAlignment w:val="auto"/>
        <w:outlineLvl w:val="4"/>
        <w:rPr>
          <w:rFonts w:ascii="黑体" w:hAnsi="黑体" w:eastAsia="黑体"/>
          <w:b/>
          <w:vanish/>
          <w:color w:val="000000" w:themeColor="text1"/>
          <w:kern w:val="0"/>
          <w:sz w:val="28"/>
          <w:szCs w:val="28"/>
          <w14:textFill>
            <w14:solidFill>
              <w14:schemeClr w14:val="tx1"/>
            </w14:solidFill>
          </w14:textFill>
        </w:rPr>
      </w:pPr>
    </w:p>
    <w:p>
      <w:pPr>
        <w:pStyle w:val="380"/>
        <w:keepNext w:val="0"/>
        <w:keepLines w:val="0"/>
        <w:pageBreakBefore w:val="0"/>
        <w:widowControl w:val="0"/>
        <w:numPr>
          <w:ilvl w:val="1"/>
          <w:numId w:val="22"/>
        </w:numPr>
        <w:kinsoku/>
        <w:wordWrap/>
        <w:overflowPunct/>
        <w:topLinePunct w:val="0"/>
        <w:autoSpaceDE/>
        <w:autoSpaceDN/>
        <w:bidi w:val="0"/>
        <w:adjustRightInd w:val="0"/>
        <w:snapToGrid w:val="0"/>
        <w:spacing w:before="48" w:beforeLines="20" w:after="4" w:line="520" w:lineRule="exact"/>
        <w:ind w:firstLineChars="0"/>
        <w:jc w:val="left"/>
        <w:textAlignment w:val="auto"/>
        <w:outlineLvl w:val="4"/>
        <w:rPr>
          <w:rFonts w:ascii="黑体" w:hAnsi="黑体" w:eastAsia="黑体"/>
          <w:b/>
          <w:vanish/>
          <w:color w:val="000000" w:themeColor="text1"/>
          <w:kern w:val="0"/>
          <w:sz w:val="28"/>
          <w:szCs w:val="28"/>
          <w14:textFill>
            <w14:solidFill>
              <w14:schemeClr w14:val="tx1"/>
            </w14:solidFill>
          </w14:textFill>
        </w:rPr>
      </w:pPr>
    </w:p>
    <w:p>
      <w:pPr>
        <w:pStyle w:val="380"/>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outlineLvl w:val="2"/>
        <w:rPr>
          <w:rFonts w:ascii="Times New Roman" w:hAnsi="Times New Roman" w:eastAsia="黑体"/>
          <w:b/>
          <w:color w:val="000000" w:themeColor="text1"/>
          <w:kern w:val="0"/>
          <w:sz w:val="28"/>
          <w:szCs w:val="28"/>
          <w14:textFill>
            <w14:solidFill>
              <w14:schemeClr w14:val="tx1"/>
            </w14:solidFill>
          </w14:textFill>
        </w:rPr>
      </w:pPr>
      <w:bookmarkStart w:id="311" w:name="_Toc26674"/>
      <w:bookmarkStart w:id="312" w:name="_Toc10522"/>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.1.1地理位置</w:t>
      </w:r>
      <w:bookmarkEnd w:id="311"/>
      <w:bookmarkEnd w:id="312"/>
    </w:p>
    <w:p>
      <w:pPr>
        <w:spacing w:line="520" w:lineRule="exact"/>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宜都市地处长江中游近三峡出口、鄂西南部，处于江汉平原向鄂西山区的过渡地带，地跨东径 111°05′～111°36′，北纬 30°05′～30°36′。版图面积1357平方公里，东北隔长江与枝江市接界，东南与松滋市相邻，西南与五峰县接壤，西北与长阳、点军区相连</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spacing w:line="520" w:lineRule="exact"/>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本项目位于宜昌化工园宜都园区，宜都园区位于市境长江右岸一带，该区域地势较为平坦，可开发性较好。项目地理位置见附图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13" w:name="_Toc3315"/>
      <w:bookmarkStart w:id="314" w:name="_Toc19351"/>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.1.2地形地貌</w:t>
      </w:r>
      <w:bookmarkEnd w:id="313"/>
      <w:bookmarkEnd w:id="314"/>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都市地处鄂西山地向江汉平原过渡地带，地势东北低，西南高。宜都地貌以丘陵为主，兼与低中山区和少量平原，市境地貌特征构成“七山一水二分田”的格局。平原主要分布于市境东北部的清江沿岸和清江下游沿岸。海拔100米以下的平原区占全市总面积的8.8%；丘陵主要分布于市境中部，海拔100米至500米之间，占全市总面积的79.5%；山区主要分布于市境西南部，海拔500米至1000米之间，其面积占全市总面积的11.7%。位于王家畈乡的帽子尖为境内最高峰，海拔1064.6米；位于枝城镇的长江之渚——关洲为全市最低处，海拔38米。</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所在区域地貌属长江一级阶地，地处江汉平原向鄂西南山地过渡地带，周围地形相对平坦，总地势为东北低、西南高。地貌以丘陵为主，也有低地和少量平原，具有多层梯状分布带特征。平原区主要分布于市境东北部的长江、清江流域，丘陵区主要分布于市境西南部。项目所在地位于宜都市境长江右岸一带，该区域地势较为平坦，可开发性较好。属河谷平原与丘陵过渡地区，沟渠和农田交错，散布民居。</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15" w:name="_Toc4223"/>
      <w:bookmarkStart w:id="316" w:name="_Toc9823"/>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.1.3地质地震</w:t>
      </w:r>
      <w:bookmarkEnd w:id="315"/>
      <w:bookmarkEnd w:id="316"/>
    </w:p>
    <w:p>
      <w:pPr>
        <w:snapToGrid w:val="0"/>
        <w:spacing w:line="520" w:lineRule="exact"/>
        <w:ind w:firstLine="480" w:firstLineChars="200"/>
        <w:rPr>
          <w:rFonts w:ascii="Times New Roman" w:hAnsi="Times New Roman" w:eastAsiaTheme="minorEastAsia"/>
          <w:color w:val="000000" w:themeColor="text1"/>
          <w:sz w:val="24"/>
          <w:szCs w:val="28"/>
          <w14:textFill>
            <w14:solidFill>
              <w14:schemeClr w14:val="tx1"/>
            </w14:solidFill>
          </w14:textFill>
        </w:rPr>
      </w:pPr>
      <w:r>
        <w:rPr>
          <w:rFonts w:ascii="Times New Roman" w:hAnsi="Times New Roman" w:eastAsiaTheme="minorEastAsia"/>
          <w:color w:val="000000" w:themeColor="text1"/>
          <w:sz w:val="24"/>
          <w:szCs w:val="28"/>
          <w14:textFill>
            <w14:solidFill>
              <w14:schemeClr w14:val="tx1"/>
            </w14:solidFill>
          </w14:textFill>
        </w:rPr>
        <w:t>宜都地处扬子江准地台扬子区西南部，市境为第一隆起带（鄂西）与第二沉降带（鄂中江汉盆地）的过渡区域，境内地质发育比较齐全，从元古界至新生界大部分都有分布， 仅缺失上志留统、下泥盆统与中、上三迭统侏罗系地层，地层主要为沉积岩所覆盖。</w:t>
      </w:r>
    </w:p>
    <w:p>
      <w:pPr>
        <w:snapToGrid w:val="0"/>
        <w:spacing w:line="520" w:lineRule="exact"/>
        <w:ind w:firstLine="480" w:firstLineChars="200"/>
        <w:rPr>
          <w:rFonts w:ascii="Times New Roman" w:hAnsi="Times New Roman" w:eastAsiaTheme="minorEastAsia"/>
          <w:color w:val="000000" w:themeColor="text1"/>
          <w:sz w:val="24"/>
          <w:szCs w:val="28"/>
          <w14:textFill>
            <w14:solidFill>
              <w14:schemeClr w14:val="tx1"/>
            </w14:solidFill>
          </w14:textFill>
        </w:rPr>
      </w:pPr>
      <w:r>
        <w:rPr>
          <w:rFonts w:ascii="Times New Roman" w:hAnsi="Times New Roman" w:eastAsiaTheme="minorEastAsia"/>
          <w:color w:val="000000" w:themeColor="text1"/>
          <w:sz w:val="24"/>
          <w:szCs w:val="28"/>
          <w14:textFill>
            <w14:solidFill>
              <w14:schemeClr w14:val="tx1"/>
            </w14:solidFill>
          </w14:textFill>
        </w:rPr>
        <w:t>场地在区域地质构造上，处于仙女山——海洋关褶皱带，黄陵背斜的东翼。区内下伏基岩主要为老三系（Efn）泥质粉砂岩和砾岩及寒武系上统三游洞组灰岩(∈3s)灰岩层，岩层倾向105～235</w:t>
      </w:r>
      <w:r>
        <w:rPr>
          <w:rFonts w:ascii="Times New Roman" w:hAnsi="Times New Roman" w:eastAsiaTheme="minorEastAsia"/>
          <w:color w:val="000000" w:themeColor="text1"/>
          <w:sz w:val="24"/>
          <w:szCs w:val="28"/>
          <w:vertAlign w:val="superscript"/>
          <w14:textFill>
            <w14:solidFill>
              <w14:schemeClr w14:val="tx1"/>
            </w14:solidFill>
          </w14:textFill>
        </w:rPr>
        <w:t>o</w:t>
      </w:r>
      <w:r>
        <w:rPr>
          <w:rFonts w:ascii="Times New Roman" w:hAnsi="Times New Roman" w:eastAsiaTheme="minorEastAsia"/>
          <w:color w:val="000000" w:themeColor="text1"/>
          <w:sz w:val="24"/>
          <w:szCs w:val="28"/>
          <w14:textFill>
            <w14:solidFill>
              <w14:schemeClr w14:val="tx1"/>
            </w14:solidFill>
          </w14:textFill>
        </w:rPr>
        <w:t>，倾角15～55</w:t>
      </w:r>
      <w:r>
        <w:rPr>
          <w:rFonts w:ascii="Times New Roman" w:hAnsi="Times New Roman" w:eastAsiaTheme="minorEastAsia"/>
          <w:color w:val="000000" w:themeColor="text1"/>
          <w:sz w:val="24"/>
          <w:szCs w:val="28"/>
          <w:vertAlign w:val="superscript"/>
          <w14:textFill>
            <w14:solidFill>
              <w14:schemeClr w14:val="tx1"/>
            </w14:solidFill>
          </w14:textFill>
        </w:rPr>
        <w:t>o</w:t>
      </w:r>
      <w:r>
        <w:rPr>
          <w:rFonts w:ascii="Times New Roman" w:hAnsi="Times New Roman" w:eastAsiaTheme="minorEastAsia"/>
          <w:color w:val="000000" w:themeColor="text1"/>
          <w:sz w:val="24"/>
          <w:szCs w:val="28"/>
          <w14:textFill>
            <w14:solidFill>
              <w14:schemeClr w14:val="tx1"/>
            </w14:solidFill>
          </w14:textFill>
        </w:rPr>
        <w:t>，新构造运动不强烈，未见断层构造。区域地质构造上本区属于较稳定场地。</w:t>
      </w:r>
    </w:p>
    <w:p>
      <w:pPr>
        <w:snapToGrid w:val="0"/>
        <w:spacing w:line="520" w:lineRule="exact"/>
        <w:ind w:firstLine="480" w:firstLineChars="200"/>
        <w:rPr>
          <w:rFonts w:ascii="Times New Roman" w:hAnsiTheme="minorEastAsia" w:eastAsiaTheme="minorEastAsia"/>
          <w:color w:val="000000" w:themeColor="text1"/>
          <w:sz w:val="24"/>
          <w:szCs w:val="28"/>
          <w14:textFill>
            <w14:solidFill>
              <w14:schemeClr w14:val="tx1"/>
            </w14:solidFill>
          </w14:textFill>
        </w:rPr>
      </w:pPr>
      <w:r>
        <w:rPr>
          <w:rFonts w:ascii="Times New Roman" w:hAnsiTheme="minorEastAsia" w:eastAsiaTheme="minorEastAsia"/>
          <w:color w:val="000000" w:themeColor="text1"/>
          <w:sz w:val="24"/>
          <w:szCs w:val="28"/>
          <w14:textFill>
            <w14:solidFill>
              <w14:schemeClr w14:val="tx1"/>
            </w14:solidFill>
          </w14:textFill>
        </w:rPr>
        <w:t>根据场地区域地质背景，场地区域地壳整体性强，无深、大断裂，特别是无孕发中、强震全新活动性断裂，区域近期地壳稳步上升，差异活动不明显，地震活动水平低，历史地震以弱微震居多，根据上述地震地质背景，显示本区内动力地质作用微弱，场地属</w:t>
      </w:r>
      <w:r>
        <w:rPr>
          <w:rFonts w:hint="eastAsia" w:ascii="Times New Roman" w:hAnsiTheme="minorEastAsia" w:eastAsiaTheme="minorEastAsia"/>
          <w:color w:val="000000" w:themeColor="text1"/>
          <w:sz w:val="24"/>
          <w:szCs w:val="28"/>
          <w14:textFill>
            <w14:solidFill>
              <w14:schemeClr w14:val="tx1"/>
            </w14:solidFill>
          </w14:textFill>
        </w:rPr>
        <w:t>稳定场地。</w:t>
      </w:r>
    </w:p>
    <w:p>
      <w:pPr>
        <w:snapToGrid w:val="0"/>
        <w:spacing w:line="520" w:lineRule="exact"/>
        <w:ind w:firstLine="480" w:firstLineChars="200"/>
        <w:rPr>
          <w:rFonts w:ascii="Times New Roman" w:hAnsi="Times New Roman" w:eastAsiaTheme="minorEastAsia"/>
          <w:color w:val="000000" w:themeColor="text1"/>
          <w:sz w:val="24"/>
          <w:szCs w:val="28"/>
          <w14:textFill>
            <w14:solidFill>
              <w14:schemeClr w14:val="tx1"/>
            </w14:solidFill>
          </w14:textFill>
        </w:rPr>
      </w:pPr>
      <w:r>
        <w:rPr>
          <w:rFonts w:ascii="Times New Roman" w:hAnsi="Times New Roman" w:eastAsiaTheme="minorEastAsia"/>
          <w:color w:val="000000" w:themeColor="text1"/>
          <w:sz w:val="24"/>
          <w:szCs w:val="28"/>
          <w14:textFill>
            <w14:solidFill>
              <w14:schemeClr w14:val="tx1"/>
            </w14:solidFill>
          </w14:textFill>
        </w:rPr>
        <w:t>根据国家地震局[1992]160 号文颁布的《中国地震烈度区划图》（1990），本区地震基本烈度为Ⅵ度。</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17" w:name="_Toc14047"/>
      <w:bookmarkStart w:id="318" w:name="_Toc32315"/>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.1.4气候气象</w:t>
      </w:r>
      <w:bookmarkEnd w:id="317"/>
      <w:bookmarkEnd w:id="318"/>
    </w:p>
    <w:p>
      <w:pPr>
        <w:autoSpaceDE w:val="0"/>
        <w:autoSpaceDN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宜都市气候类型属亚热带季风气候，其特点是：气候温和、四季分明、雨热同季、季风气候明显。根据宜都气象站的资料统计，气候特征值如下：</w:t>
      </w:r>
    </w:p>
    <w:p>
      <w:pPr>
        <w:spacing w:line="520" w:lineRule="exact"/>
        <w:ind w:firstLine="240" w:firstLineChars="1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（1）气压（hPa）</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历年平均气压：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1008.00</w:t>
      </w:r>
    </w:p>
    <w:p>
      <w:pPr>
        <w:spacing w:line="520" w:lineRule="exact"/>
        <w:ind w:firstLine="240" w:firstLineChars="1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（2）气温（℃）</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历年平均气温：</w:t>
      </w:r>
      <w:r>
        <w:rPr>
          <w:rFonts w:ascii="Times New Roman" w:hAnsi="Times New Roman"/>
          <w:color w:val="000000" w:themeColor="text1"/>
          <w:sz w:val="24"/>
          <w:szCs w:val="24"/>
          <w14:textFill>
            <w14:solidFill>
              <w14:schemeClr w14:val="tx1"/>
            </w14:solidFill>
          </w14:textFill>
        </w:rPr>
        <w:tab/>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16.7</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历年极端最高气温：</w:t>
      </w:r>
      <w:r>
        <w:rPr>
          <w:rFonts w:ascii="Times New Roman" w:hAnsi="Times New Roman"/>
          <w:color w:val="000000" w:themeColor="text1"/>
          <w:sz w:val="24"/>
          <w:szCs w:val="24"/>
          <w14:textFill>
            <w14:solidFill>
              <w14:schemeClr w14:val="tx1"/>
            </w14:solidFill>
          </w14:textFill>
        </w:rPr>
        <w:tab/>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40.8（1966年8月7日） </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历年极端最低气温：</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-13.8（1977年1月30</w:t>
      </w:r>
      <w:r>
        <w:rPr>
          <w:rFonts w:hint="eastAsia" w:ascii="Times New Roman" w:hAnsi="Times New Roman"/>
          <w:color w:val="000000" w:themeColor="text1"/>
          <w:sz w:val="24"/>
          <w:szCs w:val="24"/>
          <w14:textFill>
            <w14:solidFill>
              <w14:schemeClr w14:val="tx1"/>
            </w14:solidFill>
          </w14:textFill>
        </w:rPr>
        <w:t>日</w:t>
      </w:r>
      <w:r>
        <w:rPr>
          <w:rFonts w:ascii="Times New Roman" w:hAnsi="Times New Roman"/>
          <w:color w:val="000000" w:themeColor="text1"/>
          <w:sz w:val="24"/>
          <w:szCs w:val="24"/>
          <w14:textFill>
            <w14:solidFill>
              <w14:schemeClr w14:val="tx1"/>
            </w14:solidFill>
          </w14:textFill>
        </w:rPr>
        <w:t xml:space="preserve">） </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历年平均最高气温：</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21.2</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历年平均最低气温：</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t>13.0</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历年最热月平均气温：28.1（7月）</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历年最冷月平均气温：4.6（1月）</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w:t>
      </w:r>
      <w:r>
        <w:rPr>
          <w:rFonts w:hint="eastAsia" w:ascii="Times New Roman" w:hAnsi="Times New Roman"/>
          <w:color w:val="000000" w:themeColor="text1"/>
          <w:sz w:val="24"/>
          <w:szCs w:val="24"/>
          <w14:textFill>
            <w14:solidFill>
              <w14:schemeClr w14:val="tx1"/>
            </w14:solidFill>
          </w14:textFill>
        </w:rPr>
        <w:t>热</w:t>
      </w:r>
      <w:r>
        <w:rPr>
          <w:rFonts w:ascii="Times New Roman" w:hAnsi="Times New Roman"/>
          <w:color w:val="000000" w:themeColor="text1"/>
          <w:sz w:val="24"/>
          <w:szCs w:val="24"/>
          <w14:textFill>
            <w14:solidFill>
              <w14:schemeClr w14:val="tx1"/>
            </w14:solidFill>
          </w14:textFill>
        </w:rPr>
        <w:t>月</w:t>
      </w:r>
      <w:r>
        <w:rPr>
          <w:rFonts w:hint="eastAsia" w:ascii="Times New Roman" w:hAnsi="Times New Roman"/>
          <w:color w:val="000000" w:themeColor="text1"/>
          <w:sz w:val="24"/>
          <w:szCs w:val="24"/>
          <w14:textFill>
            <w14:solidFill>
              <w14:schemeClr w14:val="tx1"/>
            </w14:solidFill>
          </w14:textFill>
        </w:rPr>
        <w:t>最高</w:t>
      </w:r>
      <w:r>
        <w:rPr>
          <w:rFonts w:ascii="Times New Roman" w:hAnsi="Times New Roman"/>
          <w:color w:val="000000" w:themeColor="text1"/>
          <w:sz w:val="24"/>
          <w:szCs w:val="24"/>
          <w14:textFill>
            <w14:solidFill>
              <w14:schemeClr w14:val="tx1"/>
            </w14:solidFill>
          </w14:textFill>
        </w:rPr>
        <w:t>气温平均：</w:t>
      </w:r>
      <w:r>
        <w:rPr>
          <w:rFonts w:hint="eastAsia" w:ascii="Times New Roman" w:hAnsi="Times New Roman"/>
          <w:color w:val="000000" w:themeColor="text1"/>
          <w:sz w:val="24"/>
          <w:szCs w:val="24"/>
          <w14:textFill>
            <w14:solidFill>
              <w14:schemeClr w14:val="tx1"/>
            </w14:solidFill>
          </w14:textFill>
        </w:rPr>
        <w:t>32.7</w:t>
      </w:r>
    </w:p>
    <w:p>
      <w:pPr>
        <w:spacing w:line="520" w:lineRule="exact"/>
        <w:ind w:firstLine="240" w:firstLineChars="1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（3）相对湿度（%）</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历年平均相对湿度：</w:t>
      </w:r>
      <w:r>
        <w:rPr>
          <w:rFonts w:hint="eastAsia" w:ascii="Times New Roman" w:hAnsi="Times New Roman"/>
          <w:color w:val="000000" w:themeColor="text1"/>
          <w:sz w:val="24"/>
          <w:szCs w:val="24"/>
          <w14:textFill>
            <w14:solidFill>
              <w14:schemeClr w14:val="tx1"/>
            </w14:solidFill>
          </w14:textFill>
        </w:rPr>
        <w:t xml:space="preserve">  78</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历年最小相对湿度：</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eastAsia="Times New Roman"/>
          <w:color w:val="000000" w:themeColor="text1"/>
          <w:sz w:val="24"/>
          <w14:textFill>
            <w14:solidFill>
              <w14:schemeClr w14:val="tx1"/>
            </w14:solidFill>
          </w14:textFill>
        </w:rPr>
        <w:t>11</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1986</w:t>
      </w:r>
      <w:r>
        <w:rPr>
          <w:color w:val="000000" w:themeColor="text1"/>
          <w:spacing w:val="-31"/>
          <w:sz w:val="24"/>
          <w14:textFill>
            <w14:solidFill>
              <w14:schemeClr w14:val="tx1"/>
            </w14:solidFill>
          </w14:textFill>
        </w:rPr>
        <w:t xml:space="preserve">年 </w:t>
      </w:r>
      <w:r>
        <w:rPr>
          <w:rFonts w:ascii="Times New Roman" w:eastAsia="Times New Roman"/>
          <w:color w:val="000000" w:themeColor="text1"/>
          <w:sz w:val="24"/>
          <w14:textFill>
            <w14:solidFill>
              <w14:schemeClr w14:val="tx1"/>
            </w14:solidFill>
          </w14:textFill>
        </w:rPr>
        <w:t>3</w:t>
      </w:r>
      <w:r>
        <w:rPr>
          <w:color w:val="000000" w:themeColor="text1"/>
          <w:spacing w:val="-31"/>
          <w:sz w:val="24"/>
          <w14:textFill>
            <w14:solidFill>
              <w14:schemeClr w14:val="tx1"/>
            </w14:solidFill>
          </w14:textFill>
        </w:rPr>
        <w:t xml:space="preserve">月 </w:t>
      </w:r>
      <w:r>
        <w:rPr>
          <w:rFonts w:ascii="Times New Roman" w:eastAsia="Times New Roman"/>
          <w:color w:val="000000" w:themeColor="text1"/>
          <w:sz w:val="24"/>
          <w14:textFill>
            <w14:solidFill>
              <w14:schemeClr w14:val="tx1"/>
            </w14:solidFill>
          </w14:textFill>
        </w:rPr>
        <w:t>4</w:t>
      </w:r>
      <w:r>
        <w:rPr>
          <w:color w:val="000000" w:themeColor="text1"/>
          <w:sz w:val="24"/>
          <w14:textFill>
            <w14:solidFill>
              <w14:schemeClr w14:val="tx1"/>
            </w14:solidFill>
          </w14:textFill>
        </w:rPr>
        <w:t>日、</w:t>
      </w:r>
      <w:r>
        <w:rPr>
          <w:rFonts w:ascii="Times New Roman" w:eastAsia="Times New Roman"/>
          <w:color w:val="000000" w:themeColor="text1"/>
          <w:sz w:val="24"/>
          <w14:textFill>
            <w14:solidFill>
              <w14:schemeClr w14:val="tx1"/>
            </w14:solidFill>
          </w14:textFill>
        </w:rPr>
        <w:t>1996</w:t>
      </w:r>
      <w:r>
        <w:rPr>
          <w:color w:val="000000" w:themeColor="text1"/>
          <w:spacing w:val="-31"/>
          <w:sz w:val="24"/>
          <w14:textFill>
            <w14:solidFill>
              <w14:schemeClr w14:val="tx1"/>
            </w14:solidFill>
          </w14:textFill>
        </w:rPr>
        <w:t xml:space="preserve">年 </w:t>
      </w:r>
      <w:r>
        <w:rPr>
          <w:rFonts w:ascii="Times New Roman" w:eastAsia="Times New Roman"/>
          <w:color w:val="000000" w:themeColor="text1"/>
          <w:sz w:val="24"/>
          <w14:textFill>
            <w14:solidFill>
              <w14:schemeClr w14:val="tx1"/>
            </w14:solidFill>
          </w14:textFill>
        </w:rPr>
        <w:t>2</w:t>
      </w:r>
      <w:r>
        <w:rPr>
          <w:color w:val="000000" w:themeColor="text1"/>
          <w:spacing w:val="-31"/>
          <w:sz w:val="24"/>
          <w14:textFill>
            <w14:solidFill>
              <w14:schemeClr w14:val="tx1"/>
            </w14:solidFill>
          </w14:textFill>
        </w:rPr>
        <w:t xml:space="preserve">月 </w:t>
      </w:r>
      <w:r>
        <w:rPr>
          <w:rFonts w:ascii="Times New Roman" w:eastAsia="Times New Roman"/>
          <w:color w:val="000000" w:themeColor="text1"/>
          <w:sz w:val="24"/>
          <w14:textFill>
            <w14:solidFill>
              <w14:schemeClr w14:val="tx1"/>
            </w14:solidFill>
          </w14:textFill>
        </w:rPr>
        <w:t>19</w:t>
      </w:r>
      <w:r>
        <w:rPr>
          <w:color w:val="000000" w:themeColor="text1"/>
          <w:sz w:val="24"/>
          <w14:textFill>
            <w14:solidFill>
              <w14:schemeClr w14:val="tx1"/>
            </w14:solidFill>
          </w14:textFill>
        </w:rPr>
        <w:t>日）</w:t>
      </w:r>
    </w:p>
    <w:p>
      <w:pPr>
        <w:spacing w:line="520" w:lineRule="exact"/>
        <w:ind w:firstLine="240" w:firstLineChars="1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（4）降水量（mm）</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历年平均降水量：</w:t>
      </w:r>
      <w:r>
        <w:rPr>
          <w:rFonts w:hint="eastAsia" w:ascii="Times New Roman" w:hAnsi="Times New Roman"/>
          <w:color w:val="000000" w:themeColor="text1"/>
          <w:sz w:val="24"/>
          <w:szCs w:val="24"/>
          <w14:textFill>
            <w14:solidFill>
              <w14:schemeClr w14:val="tx1"/>
            </w14:solidFill>
          </w14:textFill>
        </w:rPr>
        <w:t xml:space="preserve">  1235.4</w:t>
      </w:r>
    </w:p>
    <w:p>
      <w:pPr>
        <w:spacing w:line="520" w:lineRule="exact"/>
        <w:ind w:firstLine="480" w:firstLineChars="200"/>
        <w:rPr>
          <w:color w:val="000000" w:themeColor="text1"/>
          <w:sz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历年最大年降水量：</w:t>
      </w:r>
      <w:r>
        <w:rPr>
          <w:rFonts w:hint="eastAsia" w:ascii="Times New Roman" w:hAnsi="Times New Roman"/>
          <w:color w:val="000000" w:themeColor="text1"/>
          <w:sz w:val="24"/>
          <w:szCs w:val="24"/>
          <w14:textFill>
            <w14:solidFill>
              <w14:schemeClr w14:val="tx1"/>
            </w14:solidFill>
          </w14:textFill>
        </w:rPr>
        <w:t>1869.9</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1983</w:t>
      </w:r>
      <w:r>
        <w:rPr>
          <w:color w:val="000000" w:themeColor="text1"/>
          <w:sz w:val="24"/>
          <w14:textFill>
            <w14:solidFill>
              <w14:schemeClr w14:val="tx1"/>
            </w14:solidFill>
          </w14:textFill>
        </w:rPr>
        <w:t>年）</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历年最大月降水量：</w:t>
      </w:r>
      <w:r>
        <w:rPr>
          <w:rFonts w:hint="eastAsia" w:ascii="Times New Roman" w:hAnsi="Times New Roman"/>
          <w:color w:val="000000" w:themeColor="text1"/>
          <w:sz w:val="24"/>
          <w:szCs w:val="24"/>
          <w14:textFill>
            <w14:solidFill>
              <w14:schemeClr w14:val="tx1"/>
            </w14:solidFill>
          </w14:textFill>
        </w:rPr>
        <w:t>545.5（1969年7月）</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历年最大一日降水量：</w:t>
      </w:r>
      <w:r>
        <w:rPr>
          <w:rFonts w:ascii="Times New Roman" w:eastAsia="Times New Roman"/>
          <w:color w:val="000000" w:themeColor="text1"/>
          <w:sz w:val="24"/>
          <w14:textFill>
            <w14:solidFill>
              <w14:schemeClr w14:val="tx1"/>
            </w14:solidFill>
          </w14:textFill>
        </w:rPr>
        <w:t>226.1</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2018</w:t>
      </w:r>
      <w:r>
        <w:rPr>
          <w:color w:val="000000" w:themeColor="text1"/>
          <w:sz w:val="24"/>
          <w14:textFill>
            <w14:solidFill>
              <w14:schemeClr w14:val="tx1"/>
            </w14:solidFill>
          </w14:textFill>
        </w:rPr>
        <w:t>年</w:t>
      </w:r>
      <w:r>
        <w:rPr>
          <w:rFonts w:ascii="Times New Roman" w:eastAsia="Times New Roman"/>
          <w:color w:val="000000" w:themeColor="text1"/>
          <w:sz w:val="24"/>
          <w14:textFill>
            <w14:solidFill>
              <w14:schemeClr w14:val="tx1"/>
            </w14:solidFill>
          </w14:textFill>
        </w:rPr>
        <w:t>4</w:t>
      </w:r>
      <w:r>
        <w:rPr>
          <w:color w:val="000000" w:themeColor="text1"/>
          <w:sz w:val="24"/>
          <w14:textFill>
            <w14:solidFill>
              <w14:schemeClr w14:val="tx1"/>
            </w14:solidFill>
          </w14:textFill>
        </w:rPr>
        <w:t>月</w:t>
      </w:r>
      <w:r>
        <w:rPr>
          <w:rFonts w:ascii="Times New Roman" w:eastAsia="Times New Roman"/>
          <w:color w:val="000000" w:themeColor="text1"/>
          <w:sz w:val="24"/>
          <w14:textFill>
            <w14:solidFill>
              <w14:schemeClr w14:val="tx1"/>
            </w14:solidFill>
          </w14:textFill>
        </w:rPr>
        <w:t>23</w:t>
      </w:r>
      <w:r>
        <w:rPr>
          <w:color w:val="000000" w:themeColor="text1"/>
          <w:sz w:val="24"/>
          <w14:textFill>
            <w14:solidFill>
              <w14:schemeClr w14:val="tx1"/>
            </w14:solidFill>
          </w14:textFill>
        </w:rPr>
        <w:t>日）</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历年最大一小时降水量：</w:t>
      </w:r>
      <w:r>
        <w:rPr>
          <w:rFonts w:ascii="Times New Roman" w:eastAsia="Times New Roman"/>
          <w:color w:val="000000" w:themeColor="text1"/>
          <w:sz w:val="24"/>
          <w14:textFill>
            <w14:solidFill>
              <w14:schemeClr w14:val="tx1"/>
            </w14:solidFill>
          </w14:textFill>
        </w:rPr>
        <w:t>91.9</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1985</w:t>
      </w:r>
      <w:r>
        <w:rPr>
          <w:color w:val="000000" w:themeColor="text1"/>
          <w:sz w:val="24"/>
          <w14:textFill>
            <w14:solidFill>
              <w14:schemeClr w14:val="tx1"/>
            </w14:solidFill>
          </w14:textFill>
        </w:rPr>
        <w:t>年</w:t>
      </w:r>
      <w:r>
        <w:rPr>
          <w:rFonts w:ascii="Times New Roman" w:eastAsia="Times New Roman"/>
          <w:color w:val="000000" w:themeColor="text1"/>
          <w:sz w:val="24"/>
          <w14:textFill>
            <w14:solidFill>
              <w14:schemeClr w14:val="tx1"/>
            </w14:solidFill>
          </w14:textFill>
        </w:rPr>
        <w:t>9</w:t>
      </w:r>
      <w:r>
        <w:rPr>
          <w:color w:val="000000" w:themeColor="text1"/>
          <w:sz w:val="24"/>
          <w14:textFill>
            <w14:solidFill>
              <w14:schemeClr w14:val="tx1"/>
            </w14:solidFill>
          </w14:textFill>
        </w:rPr>
        <w:t>月</w:t>
      </w:r>
      <w:r>
        <w:rPr>
          <w:rFonts w:ascii="Times New Roman" w:eastAsia="Times New Roman"/>
          <w:color w:val="000000" w:themeColor="text1"/>
          <w:sz w:val="24"/>
          <w14:textFill>
            <w14:solidFill>
              <w14:schemeClr w14:val="tx1"/>
            </w14:solidFill>
          </w14:textFill>
        </w:rPr>
        <w:t>12</w:t>
      </w:r>
      <w:r>
        <w:rPr>
          <w:color w:val="000000" w:themeColor="text1"/>
          <w:sz w:val="24"/>
          <w14:textFill>
            <w14:solidFill>
              <w14:schemeClr w14:val="tx1"/>
            </w14:solidFill>
          </w14:textFill>
        </w:rPr>
        <w:t>日）</w:t>
      </w:r>
    </w:p>
    <w:p>
      <w:pPr>
        <w:spacing w:line="520" w:lineRule="exact"/>
        <w:ind w:firstLine="240" w:firstLineChars="1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蒸发</w:t>
      </w:r>
      <w:r>
        <w:rPr>
          <w:rFonts w:ascii="Times New Roman" w:hAnsi="Times New Roman"/>
          <w:color w:val="000000" w:themeColor="text1"/>
          <w:sz w:val="24"/>
          <w:szCs w:val="24"/>
          <w14:textFill>
            <w14:solidFill>
              <w14:schemeClr w14:val="tx1"/>
            </w14:solidFill>
          </w14:textFill>
        </w:rPr>
        <w:t>量（mm）</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历年平均蒸发量：</w:t>
      </w:r>
      <w:r>
        <w:rPr>
          <w:rFonts w:hint="eastAsia" w:ascii="Times New Roman" w:hAnsi="Times New Roman"/>
          <w:color w:val="000000" w:themeColor="text1"/>
          <w:sz w:val="24"/>
          <w:szCs w:val="24"/>
          <w14:textFill>
            <w14:solidFill>
              <w14:schemeClr w14:val="tx1"/>
            </w14:solidFill>
          </w14:textFill>
        </w:rPr>
        <w:t>1325.9</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历年平均蒸发量：</w:t>
      </w:r>
      <w:r>
        <w:rPr>
          <w:rFonts w:hint="eastAsia" w:ascii="Times New Roman" w:hAnsi="Times New Roman"/>
          <w:color w:val="000000" w:themeColor="text1"/>
          <w:sz w:val="24"/>
          <w:szCs w:val="24"/>
          <w14:textFill>
            <w14:solidFill>
              <w14:schemeClr w14:val="tx1"/>
            </w14:solidFill>
          </w14:textFill>
        </w:rPr>
        <w:t>1773.7</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1959</w:t>
      </w:r>
      <w:r>
        <w:rPr>
          <w:color w:val="000000" w:themeColor="text1"/>
          <w:sz w:val="24"/>
          <w14:textFill>
            <w14:solidFill>
              <w14:schemeClr w14:val="tx1"/>
            </w14:solidFill>
          </w14:textFill>
        </w:rPr>
        <w:t>年）</w:t>
      </w:r>
    </w:p>
    <w:p>
      <w:pPr>
        <w:spacing w:line="520" w:lineRule="exact"/>
        <w:ind w:firstLine="240" w:firstLineChars="1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（6）日照</w:t>
      </w:r>
    </w:p>
    <w:p>
      <w:pPr>
        <w:spacing w:line="520" w:lineRule="exact"/>
        <w:ind w:firstLine="480" w:firstLineChars="200"/>
        <w:rPr>
          <w:rFonts w:ascii="Times New Roman"/>
          <w:color w:val="000000" w:themeColor="text1"/>
          <w:sz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历年平均日照时数：</w:t>
      </w:r>
      <w:r>
        <w:rPr>
          <w:rFonts w:ascii="Times New Roman"/>
          <w:color w:val="000000" w:themeColor="text1"/>
          <w:sz w:val="24"/>
          <w14:textFill>
            <w14:solidFill>
              <w14:schemeClr w14:val="tx1"/>
            </w14:solidFill>
          </w14:textFill>
        </w:rPr>
        <w:t>1657.7h</w:t>
      </w:r>
    </w:p>
    <w:p>
      <w:pPr>
        <w:spacing w:line="520" w:lineRule="exact"/>
        <w:ind w:firstLine="480" w:firstLineChars="200"/>
        <w:rPr>
          <w:color w:val="000000" w:themeColor="text1"/>
          <w:sz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历年最多年</w:t>
      </w:r>
      <w:r>
        <w:rPr>
          <w:rFonts w:hint="eastAsia" w:ascii="Times New Roman" w:hAnsi="Times New Roman"/>
          <w:color w:val="000000" w:themeColor="text1"/>
          <w:sz w:val="24"/>
          <w:szCs w:val="24"/>
          <w14:textFill>
            <w14:solidFill>
              <w14:schemeClr w14:val="tx1"/>
            </w14:solidFill>
          </w14:textFill>
        </w:rPr>
        <w:t>日</w:t>
      </w:r>
      <w:r>
        <w:rPr>
          <w:rFonts w:ascii="Times New Roman" w:hAnsi="Times New Roman"/>
          <w:color w:val="000000" w:themeColor="text1"/>
          <w:sz w:val="24"/>
          <w:szCs w:val="24"/>
          <w14:textFill>
            <w14:solidFill>
              <w14:schemeClr w14:val="tx1"/>
            </w14:solidFill>
          </w14:textFill>
        </w:rPr>
        <w:t>照时数：</w:t>
      </w:r>
      <w:r>
        <w:rPr>
          <w:rFonts w:ascii="Times New Roman" w:eastAsia="Times New Roman"/>
          <w:color w:val="000000" w:themeColor="text1"/>
          <w:sz w:val="24"/>
          <w14:textFill>
            <w14:solidFill>
              <w14:schemeClr w14:val="tx1"/>
            </w14:solidFill>
          </w14:textFill>
        </w:rPr>
        <w:t>1969.1</w:t>
      </w:r>
      <w:r>
        <w:rPr>
          <w:rFonts w:hint="eastAsia" w:ascii="Times New Roman"/>
          <w:color w:val="000000" w:themeColor="text1"/>
          <w:sz w:val="24"/>
          <w14:textFill>
            <w14:solidFill>
              <w14:schemeClr w14:val="tx1"/>
            </w14:solidFill>
          </w14:textFill>
        </w:rPr>
        <w:t>h</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1978</w:t>
      </w:r>
      <w:r>
        <w:rPr>
          <w:color w:val="000000" w:themeColor="text1"/>
          <w:sz w:val="24"/>
          <w14:textFill>
            <w14:solidFill>
              <w14:schemeClr w14:val="tx1"/>
            </w14:solidFill>
          </w14:textFill>
        </w:rPr>
        <w:t>年）</w:t>
      </w:r>
    </w:p>
    <w:p>
      <w:pPr>
        <w:spacing w:line="520" w:lineRule="exact"/>
        <w:ind w:firstLine="480" w:firstLineChars="200"/>
        <w:rPr>
          <w:color w:val="000000" w:themeColor="text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历年平均日照百分率：</w:t>
      </w:r>
      <w:r>
        <w:rPr>
          <w:rFonts w:ascii="Times New Roman"/>
          <w:color w:val="000000" w:themeColor="text1"/>
          <w:sz w:val="24"/>
          <w14:textFill>
            <w14:solidFill>
              <w14:schemeClr w14:val="tx1"/>
            </w14:solidFill>
          </w14:textFill>
        </w:rPr>
        <w:t>38%</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19" w:name="_Toc23908"/>
      <w:bookmarkStart w:id="320" w:name="_Toc28988"/>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.1.5水文水系</w:t>
      </w:r>
      <w:bookmarkEnd w:id="319"/>
      <w:bookmarkEnd w:id="320"/>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项目区域主要地表水体为长江。</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宜昌到枝城河段是长江出三峡以后流经山前丘陵以及丘陵与平原交界地带的河段， 上起葛洲坝水利枢纽工程，下至枝城大桥，全长约61km，区间内有支流清江汇入。通常将其分为两个小河段：宜昌河段与宜都河段。</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宜都河段上起清江口，承白洋河段，下迄枝城，接洋溪河段关洲汊道，全长 16.5km。河道平面行态为反“S”弯道。长江在纳入清江后，主流摆向左岸，在白洋河段紧贴左岸， 至沙集坪徐徐向右岸过渡，至杂件码头、散货码头主流靠向右岸至枝城，进入枝江河段。长江枝城段多年平均流量14700m</w:t>
      </w:r>
      <w:r>
        <w:rPr>
          <w:rFonts w:ascii="Times New Roman" w:hAnsiTheme="minorEastAsia"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/s；年平均径流量 4640 亿m</w:t>
      </w:r>
      <w:r>
        <w:rPr>
          <w:rFonts w:ascii="Times New Roman" w:hAnsiTheme="minorEastAsia"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；多年平均水位39.31m；平均含沙量1.197kg/m</w:t>
      </w:r>
      <w:r>
        <w:rPr>
          <w:rFonts w:ascii="Times New Roman" w:hAnsiTheme="minorEastAsia"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宜都河段河道为单一河道，横断面多呈“U”形，水面宽900～1400m。深泓沿程变化较大，高程变化为10～30m。</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宜昌站汛期（5～10月）最高水位多出现在7～8月，最低水位多出现在2~3月。水位年最大变幅可达16.16m，在葛洲坝水库运用后各月平均水位较运用前有所下降。</w:t>
      </w:r>
    </w:p>
    <w:p>
      <w:pPr>
        <w:pStyle w:val="69"/>
        <w:tabs>
          <w:tab w:val="left" w:pos="1157"/>
        </w:tabs>
        <w:adjustRightInd w:val="0"/>
        <w:snapToGrid w:val="0"/>
        <w:spacing w:after="0" w:line="520" w:lineRule="exact"/>
        <w:ind w:left="0" w:leftChars="0" w:firstLine="480" w:firstLineChars="200"/>
        <w:outlineLvl w:val="2"/>
        <w:rPr>
          <w:rFonts w:ascii="Times New Roman" w:cs="Times New Roman" w:hAnsiTheme="minorEastAsia"/>
          <w:color w:val="000000" w:themeColor="text1"/>
          <w:sz w:val="24"/>
          <w:szCs w:val="24"/>
          <w14:textFill>
            <w14:solidFill>
              <w14:schemeClr w14:val="tx1"/>
            </w14:solidFill>
          </w14:textFill>
        </w:rPr>
      </w:pPr>
      <w:bookmarkStart w:id="321" w:name="_Toc13475"/>
      <w:bookmarkStart w:id="322" w:name="_Toc487"/>
      <w:bookmarkStart w:id="323" w:name="_Toc24348"/>
      <w:bookmarkStart w:id="324" w:name="_Toc22229"/>
      <w:bookmarkStart w:id="325" w:name="_Toc20197"/>
      <w:bookmarkStart w:id="326" w:name="_Toc177210486"/>
      <w:bookmarkStart w:id="327" w:name="_Toc108086989"/>
      <w:bookmarkStart w:id="328" w:name="_Toc46930631"/>
      <w:bookmarkStart w:id="329" w:name="_Toc173081288"/>
      <w:r>
        <w:rPr>
          <w:rFonts w:ascii="Times New Roman" w:cs="Times New Roman" w:hAnsiTheme="minorEastAsia"/>
          <w:color w:val="000000" w:themeColor="text1"/>
          <w:sz w:val="24"/>
          <w:szCs w:val="24"/>
          <w14:textFill>
            <w14:solidFill>
              <w14:schemeClr w14:val="tx1"/>
            </w14:solidFill>
          </w14:textFill>
        </w:rPr>
        <w:t>根据宜昌站一百多年的流量实际观测资料，对长江干流来水的长期趋势进行分析， 近百年来年径流量总体变化不大，年输沙量近期有所减少。在葛洲坝蓄水前后，宜昌水文站三个系列的多年平均径流量、年平均流量、枯汛期平均流量很相近，如蓄水前后二十年的多年平均径流量、多年平均汛期流量相等，而多年平均流量分别为13800m</w:t>
      </w:r>
      <w:r>
        <w:rPr>
          <w:rFonts w:ascii="Times New Roman" w:cs="Times New Roman" w:hAnsiTheme="minorEastAsia"/>
          <w:color w:val="000000" w:themeColor="text1"/>
          <w:sz w:val="24"/>
          <w:szCs w:val="24"/>
          <w:vertAlign w:val="superscript"/>
          <w14:textFill>
            <w14:solidFill>
              <w14:schemeClr w14:val="tx1"/>
            </w14:solidFill>
          </w14:textFill>
        </w:rPr>
        <w:t>3</w:t>
      </w:r>
      <w:r>
        <w:rPr>
          <w:rFonts w:ascii="Times New Roman" w:cs="Times New Roman" w:hAnsiTheme="minorEastAsia"/>
          <w:color w:val="000000" w:themeColor="text1"/>
          <w:sz w:val="24"/>
          <w:szCs w:val="24"/>
          <w14:textFill>
            <w14:solidFill>
              <w14:schemeClr w14:val="tx1"/>
            </w14:solidFill>
          </w14:textFill>
        </w:rPr>
        <w:t>/s 和13900m</w:t>
      </w:r>
      <w:r>
        <w:rPr>
          <w:rFonts w:ascii="Times New Roman" w:cs="Times New Roman" w:hAnsiTheme="minorEastAsia"/>
          <w:color w:val="000000" w:themeColor="text1"/>
          <w:sz w:val="24"/>
          <w:szCs w:val="24"/>
          <w:vertAlign w:val="superscript"/>
          <w14:textFill>
            <w14:solidFill>
              <w14:schemeClr w14:val="tx1"/>
            </w14:solidFill>
          </w14:textFill>
        </w:rPr>
        <w:t>3</w:t>
      </w:r>
      <w:r>
        <w:rPr>
          <w:rFonts w:ascii="Times New Roman" w:cs="Times New Roman" w:hAnsiTheme="minorEastAsia"/>
          <w:color w:val="000000" w:themeColor="text1"/>
          <w:sz w:val="24"/>
          <w:szCs w:val="24"/>
          <w14:textFill>
            <w14:solidFill>
              <w14:schemeClr w14:val="tx1"/>
            </w14:solidFill>
          </w14:textFill>
        </w:rPr>
        <w:t>/s。此外从流量的极值变化看，都说明蓄水前后二十年与蓄水前近百年来宜昌站的来水没有明显变化。</w:t>
      </w:r>
      <w:bookmarkEnd w:id="321"/>
      <w:bookmarkEnd w:id="322"/>
      <w:bookmarkEnd w:id="323"/>
      <w:bookmarkEnd w:id="324"/>
      <w:bookmarkEnd w:id="325"/>
    </w:p>
    <w:bookmarkEnd w:id="326"/>
    <w:bookmarkEnd w:id="327"/>
    <w:bookmarkEnd w:id="328"/>
    <w:bookmarkEnd w:id="329"/>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30" w:name="_Toc13750"/>
      <w:bookmarkStart w:id="331" w:name="_Toc24217"/>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.1.6生态环境</w:t>
      </w:r>
      <w:bookmarkEnd w:id="330"/>
      <w:bookmarkEnd w:id="331"/>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宜都市土壤分为7个土类，18个亚类，64个土属，183个土种。其中以黄壤土分布最广，占总面积的27.1%，紫色土也有零星分布，占总面积的2.6%。</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宜都市境内林业用地面积100.8万亩，森林面积36.63万亩，属热带常绿阔叶林地带，由原生植被演变成为现有的次生植被，种类繁多，且具有垂直分布的特点。海拔在 500-800m的低山地带主要是青岗栎林，还有块状和散生的苦槠、锥栗、楠木等， 植被以山合欢、算盘子等和厥类植物为主。海拔在300-500m的峡谷阴坡地带有块状分布的杉木林，也有少数散生的马尾松林，还有少数混交呈块状或散生的栓皮栎、胡枝子、葛藤等，植被有夏枯、茅草等。海拔在400-600m的田边地角和较肥沃的山脚、山腰、平坡地分布有乌柏、油桐林，有红苕、土豆、小麦、油菜、豆类等农作物。海拔在300-600m 的高丘低山大部分为油茶林。海拔在100-300m的低丘岗地分布较多的是柑桔、茶叶、桃、李等经济果木林、也有人工营造的马尾松林。海拔在50-100m沿长江、清江两岸的平原地带分布有枫杨、杨、柳、芦苇，有水稻、小麦、棉花等农作物。全市依山势及海拔高度形成的气候条件，构成了得天独厚的比较丰富的森林资源。树种有90科、541种，绝大部分为本地天然生长繁殖的传统树种。在用材林中的优势和骨干树种是马尾松、杉树、柏树、栎林等，其中马尾松占活立木蓄积量的90%。在经济林中的骨干树种是油桐、乌柏、棕榈、竹林、油茶、油橄榄等。在薪炭林中的骨干树种是栎树、刺槐等。在防护林中主要树种是意杨，少许水杉、杨树、柳树等。在古珍树种中有珙桐、千年桂花树、五百年四川朴、六十年的垂枝银杏树。土特产有茶叶、柑桔、桑蚕、蜂蜜、桐油、皮、木梓油、中华猕猴桃、金头蜈蚣等。</w:t>
      </w:r>
    </w:p>
    <w:p>
      <w:pPr>
        <w:spacing w:line="520" w:lineRule="exact"/>
        <w:ind w:firstLine="480" w:firstLineChars="200"/>
        <w:rPr>
          <w:rFonts w:ascii="Times New Roman" w:hAnsiTheme="minorEastAsia" w:eastAsiaTheme="minorEastAsia"/>
          <w:color w:val="000000" w:themeColor="text1"/>
          <w:kern w:val="0"/>
          <w:sz w:val="24"/>
          <w:szCs w:val="24"/>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宜都市农田面积24819.99 公顷，其中25℃以上坡耕地2400公顷，25℃以下耕地</w:t>
      </w:r>
    </w:p>
    <w:p>
      <w:pPr>
        <w:spacing w:line="520" w:lineRule="exact"/>
        <w:rPr>
          <w:rFonts w:ascii="Times New Roman" w:hAnsiTheme="minorEastAsia" w:eastAsiaTheme="minorEastAsia"/>
          <w:color w:val="000000" w:themeColor="text1"/>
          <w:kern w:val="0"/>
          <w:sz w:val="24"/>
          <w:szCs w:val="24"/>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22419.99公顷。25℃以下耕地中旱地11138.2公顷、水田11281.79公顷。</w:t>
      </w:r>
    </w:p>
    <w:p>
      <w:pPr>
        <w:autoSpaceDE w:val="0"/>
        <w:autoSpaceDN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据调查，该项目建设地所在区域属于规划的工业区，项目建设区域内目前人为活动较为频繁，生物物种简单。评价范围内无重点风景名胜、文物古迹及自然景观等环境保护敏感点，尚未发现珍稀物种和需要特别保护的生物群落</w:t>
      </w:r>
      <w:r>
        <w:rPr>
          <w:rFonts w:ascii="Times New Roman" w:hAnsiTheme="minorEastAsia" w:eastAsiaTheme="minorEastAsia"/>
          <w:color w:val="000000" w:themeColor="text1"/>
          <w:sz w:val="24"/>
          <w:szCs w:val="24"/>
          <w14:textFill>
            <w14:solidFill>
              <w14:schemeClr w14:val="tx1"/>
            </w14:solidFill>
          </w14:textFill>
        </w:rPr>
        <w:t>。</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32" w:name="_Toc3939"/>
      <w:r>
        <w:rPr>
          <w:rFonts w:hint="eastAsia" w:ascii="Times New Roman" w:hAnsi="Times New Roman" w:eastAsia="黑体"/>
          <w:b/>
          <w:color w:val="000000" w:themeColor="text1"/>
          <w:sz w:val="32"/>
          <w:szCs w:val="32"/>
          <w:lang w:val="en-US" w:eastAsia="zh-CN"/>
          <w14:textFill>
            <w14:solidFill>
              <w14:schemeClr w14:val="tx1"/>
            </w14:solidFill>
          </w14:textFill>
        </w:rPr>
        <w:t>5</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2宜昌化工园宜都园区</w:t>
      </w:r>
      <w:bookmarkEnd w:id="332"/>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为贯彻落实习近平总书记长江经济带“共抓大保护、不搞大开发”重要指示精神和和省委省政府相关部署，宜昌市实施优化长江两岸国土空间布局，实行产业准入清单制度，宜昌市委市政府出台了《中共宜昌市委、宜昌市人民政府关于化工产业专项整治及转型升级的意见》（宜发[2017]15号），力图通过推进绿色转型、优化产业布局、调整产业结构等措施，在大保护中推动经济发展。《宜昌化工产业专项整治及转型升级三年行动方案的通知》（宜府办发〔2017〕72号）中将枝江循环化工园区（含姚家港工业园和田家河片区部分区域）和宜都循环化工园区作为优化提升园区，作为全市高端化工产业集聚区和布局转移目的地，推进一区两园体制机制创新，建设全国一流的精细化工循环产业园区。为满足省市化工转型升级要求，宜都市委托湖南大学设计研究院有限公司于 2018年2月编制完成了《宜昌化工园宜都园区总体规划（2017-2030年）》。宜昌化工园宜都园区位于宜都市枝城镇南部。园区规划范围：西侧紧邻焦柳铁路，北侧紧邻枝城镇区，东临长江，南侧与松滋临港化工园相邻，规划总用地 33.98 平方公里。园区定位：国际先进、国内一流的生态型、科技型化工园区， 湖北省重要的铁路物流和长江航运物流、新型能源、新型建材基地，长江经济带重点建设和循环经济示范区，宜昌市精细化工、医药化工为主的产品供应基地。产业布局： 以磷化工为基础，以精细化工、医药化工为目标导向，补链配套新型建材工业、能源产业以及物流运输，共同组成多种物质和能量链接利用的生态工业网络，最终形成以基础磷化工、精细化工、医药化工为主体，化工建材、能源以及配套物流园为重要辅助的生态型产业集群。</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2018年2月，宜都市人民政府对《宜昌化工园宜都园区总体规划（2017-2030 年）》进行了批复。</w:t>
      </w:r>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333" w:name="_Toc11482"/>
      <w:bookmarkStart w:id="334" w:name="_Toc1948"/>
      <w:bookmarkStart w:id="335" w:name="_Toc25715"/>
      <w:bookmarkStart w:id="336" w:name="_Toc30316"/>
      <w:bookmarkStart w:id="337" w:name="_Toc6360"/>
      <w:bookmarkStart w:id="338" w:name="_Toc23389"/>
      <w:bookmarkStart w:id="339" w:name="_Toc2034"/>
      <w:bookmarkStart w:id="340" w:name="_Toc3969"/>
      <w:r>
        <w:rPr>
          <w:rFonts w:hint="eastAsia" w:ascii="Times New Roman" w:hAnsi="Times New Roman" w:eastAsia="黑体"/>
          <w:b/>
          <w:color w:val="000000" w:themeColor="text1"/>
          <w:sz w:val="32"/>
          <w:szCs w:val="32"/>
          <w:lang w:val="en-US" w:eastAsia="zh-CN"/>
          <w14:textFill>
            <w14:solidFill>
              <w14:schemeClr w14:val="tx1"/>
            </w14:solidFill>
          </w14:textFill>
        </w:rPr>
        <w:t>5</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3</w:t>
      </w:r>
      <w:r>
        <w:rPr>
          <w:rFonts w:ascii="黑体" w:hAnsi="黑体" w:eastAsia="黑体"/>
          <w:b/>
          <w:color w:val="000000" w:themeColor="text1"/>
          <w:sz w:val="32"/>
          <w:szCs w:val="32"/>
          <w14:textFill>
            <w14:solidFill>
              <w14:schemeClr w14:val="tx1"/>
            </w14:solidFill>
          </w14:textFill>
        </w:rPr>
        <w:t>环境质量现状监测与评价</w:t>
      </w:r>
      <w:bookmarkEnd w:id="333"/>
      <w:bookmarkEnd w:id="334"/>
      <w:bookmarkEnd w:id="335"/>
      <w:bookmarkEnd w:id="336"/>
      <w:bookmarkEnd w:id="337"/>
      <w:bookmarkEnd w:id="338"/>
      <w:bookmarkEnd w:id="339"/>
      <w:bookmarkEnd w:id="340"/>
    </w:p>
    <w:p>
      <w:pPr>
        <w:keepNext w:val="0"/>
        <w:keepLines w:val="0"/>
        <w:pageBreakBefore w:val="0"/>
        <w:widowControl w:val="0"/>
        <w:kinsoku/>
        <w:wordWrap/>
        <w:overflowPunct/>
        <w:topLinePunct w:val="0"/>
        <w:autoSpaceDE/>
        <w:autoSpaceDN/>
        <w:bidi w:val="0"/>
        <w:adjustRightInd w:val="0"/>
        <w:snapToGrid w:val="0"/>
        <w:spacing w:before="120" w:beforeLines="50" w:after="48" w:afterLines="20" w:line="520" w:lineRule="exact"/>
        <w:ind w:firstLine="480" w:firstLineChars="200"/>
        <w:jc w:val="left"/>
        <w:textAlignment w:val="auto"/>
        <w:outlineLvl w:val="2"/>
        <w:rPr>
          <w:rFonts w:ascii="Times New Roman" w:hAnsiTheme="minorEastAsia" w:eastAsiaTheme="minorEastAsia"/>
          <w:color w:val="000000" w:themeColor="text1"/>
          <w:sz w:val="24"/>
          <w:szCs w:val="24"/>
          <w:shd w:val="clear" w:color="auto" w:fill="FFFFFF"/>
          <w14:textFill>
            <w14:solidFill>
              <w14:schemeClr w14:val="tx1"/>
            </w14:solidFill>
          </w14:textFill>
        </w:rPr>
      </w:pPr>
      <w:bookmarkStart w:id="341" w:name="_Toc32649"/>
      <w:bookmarkStart w:id="342" w:name="_Toc31748"/>
      <w:bookmarkStart w:id="343" w:name="_Toc21927"/>
      <w:bookmarkStart w:id="344" w:name="_Toc14283"/>
      <w:bookmarkStart w:id="345" w:name="_Toc292"/>
      <w:r>
        <w:rPr>
          <w:rFonts w:ascii="Times New Roman" w:hAnsiTheme="minorEastAsia" w:eastAsiaTheme="minorEastAsia"/>
          <w:bCs/>
          <w:color w:val="000000" w:themeColor="text1"/>
          <w:sz w:val="24"/>
          <w:szCs w:val="24"/>
          <w14:textFill>
            <w14:solidFill>
              <w14:schemeClr w14:val="tx1"/>
            </w14:solidFill>
          </w14:textFill>
        </w:rPr>
        <w:t>本项目</w:t>
      </w:r>
      <w:r>
        <w:rPr>
          <w:rFonts w:ascii="Times New Roman" w:hAnsiTheme="minorEastAsia" w:eastAsiaTheme="minorEastAsia"/>
          <w:color w:val="000000" w:themeColor="text1"/>
          <w:sz w:val="24"/>
          <w:szCs w:val="24"/>
          <w14:textFill>
            <w14:solidFill>
              <w14:schemeClr w14:val="tx1"/>
            </w14:solidFill>
          </w14:textFill>
        </w:rPr>
        <w:t>位于</w:t>
      </w:r>
      <w:r>
        <w:rPr>
          <w:rFonts w:hint="eastAsia" w:ascii="Times New Roman" w:hAnsiTheme="minorEastAsia" w:eastAsiaTheme="minorEastAsia"/>
          <w:color w:val="000000" w:themeColor="text1"/>
          <w:sz w:val="24"/>
          <w:szCs w:val="24"/>
          <w14:textFill>
            <w14:solidFill>
              <w14:schemeClr w14:val="tx1"/>
            </w14:solidFill>
          </w14:textFill>
        </w:rPr>
        <w:t>宜昌化工园宜都园区内</w:t>
      </w:r>
      <w:r>
        <w:rPr>
          <w:rFonts w:ascii="Times New Roman" w:hAnsiTheme="minorEastAsia" w:eastAsiaTheme="minorEastAsia"/>
          <w:bCs/>
          <w:color w:val="000000" w:themeColor="text1"/>
          <w:spacing w:val="-4"/>
          <w:sz w:val="24"/>
          <w:szCs w:val="24"/>
          <w14:textFill>
            <w14:solidFill>
              <w14:schemeClr w14:val="tx1"/>
            </w14:solidFill>
          </w14:textFill>
        </w:rPr>
        <w:t>，</w:t>
      </w:r>
      <w:r>
        <w:rPr>
          <w:rFonts w:hint="eastAsia" w:ascii="Times New Roman" w:hAnsiTheme="minorEastAsia" w:eastAsiaTheme="minorEastAsia"/>
          <w:color w:val="000000" w:themeColor="text1"/>
          <w:sz w:val="24"/>
          <w:szCs w:val="24"/>
          <w:shd w:val="clear" w:color="auto" w:fill="FFFFFF"/>
          <w14:textFill>
            <w14:solidFill>
              <w14:schemeClr w14:val="tx1"/>
            </w14:solidFill>
          </w14:textFill>
        </w:rPr>
        <w:t>为了解区域环境质量现状，本次评价期间宜都市吉洪化工有限公司委托湖北恒驰检测技术有限公司于2021年6月11日至6月17日对氟硅酸钠生产加工项目一期进行采样监测，监测项目包含本项目评价区域环境空气、土壤、地下水、环境噪声。</w:t>
      </w:r>
      <w:bookmarkEnd w:id="341"/>
      <w:bookmarkEnd w:id="342"/>
      <w:bookmarkEnd w:id="343"/>
      <w:bookmarkEnd w:id="344"/>
      <w:bookmarkEnd w:id="345"/>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bookmarkStart w:id="346" w:name="_Toc6993"/>
      <w:bookmarkStart w:id="347" w:name="_Toc7232"/>
      <w:bookmarkStart w:id="348" w:name="_Toc21593"/>
      <w:bookmarkStart w:id="349" w:name="_Toc17408"/>
    </w:p>
    <w:p>
      <w:pPr>
        <w:pStyle w:val="380"/>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outlineLvl w:val="2"/>
        <w:rPr>
          <w:rFonts w:ascii="Times New Roman" w:hAnsi="Times New Roman" w:eastAsia="黑体"/>
          <w:b/>
          <w:color w:val="000000" w:themeColor="text1"/>
          <w:kern w:val="0"/>
          <w:sz w:val="28"/>
          <w:szCs w:val="28"/>
          <w14:textFill>
            <w14:solidFill>
              <w14:schemeClr w14:val="tx1"/>
            </w14:solidFill>
          </w14:textFill>
        </w:rPr>
      </w:pPr>
      <w:bookmarkStart w:id="350" w:name="_Toc15010"/>
      <w:bookmarkStart w:id="351" w:name="_Toc6644"/>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ascii="Times New Roman" w:hAnsi="Times New Roman" w:eastAsia="黑体"/>
          <w:b/>
          <w:color w:val="000000" w:themeColor="text1"/>
          <w:kern w:val="0"/>
          <w:sz w:val="28"/>
          <w:szCs w:val="28"/>
          <w14:textFill>
            <w14:solidFill>
              <w14:schemeClr w14:val="tx1"/>
            </w14:solidFill>
          </w14:textFill>
        </w:rPr>
        <w:t>.</w:t>
      </w:r>
      <w:r>
        <w:rPr>
          <w:rFonts w:hint="eastAsia" w:ascii="Times New Roman" w:hAnsi="Times New Roman" w:eastAsia="黑体"/>
          <w:b/>
          <w:color w:val="000000" w:themeColor="text1"/>
          <w:kern w:val="0"/>
          <w:sz w:val="28"/>
          <w:szCs w:val="28"/>
          <w14:textFill>
            <w14:solidFill>
              <w14:schemeClr w14:val="tx1"/>
            </w14:solidFill>
          </w14:textFill>
        </w:rPr>
        <w:t>3</w:t>
      </w:r>
      <w:r>
        <w:rPr>
          <w:rFonts w:ascii="Times New Roman" w:hAnsi="Times New Roman" w:eastAsia="黑体"/>
          <w:b/>
          <w:color w:val="000000" w:themeColor="text1"/>
          <w:kern w:val="0"/>
          <w:sz w:val="28"/>
          <w:szCs w:val="28"/>
          <w14:textFill>
            <w14:solidFill>
              <w14:schemeClr w14:val="tx1"/>
            </w14:solidFill>
          </w14:textFill>
        </w:rPr>
        <w:t>.1</w:t>
      </w:r>
      <w:r>
        <w:rPr>
          <w:rFonts w:hint="eastAsia" w:ascii="Times New Roman" w:hAnsi="Times New Roman" w:eastAsia="黑体"/>
          <w:b/>
          <w:color w:val="000000" w:themeColor="text1"/>
          <w:kern w:val="0"/>
          <w:sz w:val="28"/>
          <w:szCs w:val="28"/>
          <w14:textFill>
            <w14:solidFill>
              <w14:schemeClr w14:val="tx1"/>
            </w14:solidFill>
          </w14:textFill>
        </w:rPr>
        <w:t>环境空气质量现状评价</w:t>
      </w:r>
      <w:bookmarkEnd w:id="346"/>
      <w:bookmarkEnd w:id="347"/>
      <w:bookmarkEnd w:id="348"/>
      <w:bookmarkEnd w:id="349"/>
      <w:bookmarkEnd w:id="350"/>
      <w:bookmarkEnd w:id="351"/>
    </w:p>
    <w:p>
      <w:pPr>
        <w:pStyle w:val="380"/>
        <w:keepNext w:val="0"/>
        <w:keepLines w:val="0"/>
        <w:pageBreakBefore w:val="0"/>
        <w:widowControl w:val="0"/>
        <w:numPr>
          <w:ilvl w:val="0"/>
          <w:numId w:val="34"/>
        </w:numPr>
        <w:kinsoku/>
        <w:wordWrap/>
        <w:overflowPunct/>
        <w:topLinePunct w:val="0"/>
        <w:autoSpaceDE/>
        <w:autoSpaceDN/>
        <w:bidi w:val="0"/>
        <w:spacing w:line="520" w:lineRule="exact"/>
        <w:ind w:firstLineChars="0"/>
        <w:textAlignment w:val="auto"/>
        <w:rPr>
          <w:rFonts w:ascii="黑体" w:hAnsi="黑体" w:eastAsia="黑体"/>
          <w:b/>
          <w:vanish/>
          <w:color w:val="000000" w:themeColor="text1"/>
          <w:sz w:val="24"/>
          <w:szCs w:val="24"/>
          <w14:textFill>
            <w14:solidFill>
              <w14:schemeClr w14:val="tx1"/>
            </w14:solidFill>
          </w14:textFill>
        </w:rPr>
      </w:pPr>
    </w:p>
    <w:p>
      <w:pPr>
        <w:pStyle w:val="380"/>
        <w:keepNext w:val="0"/>
        <w:keepLines w:val="0"/>
        <w:pageBreakBefore w:val="0"/>
        <w:widowControl w:val="0"/>
        <w:numPr>
          <w:ilvl w:val="0"/>
          <w:numId w:val="34"/>
        </w:numPr>
        <w:kinsoku/>
        <w:wordWrap/>
        <w:overflowPunct/>
        <w:topLinePunct w:val="0"/>
        <w:autoSpaceDE/>
        <w:autoSpaceDN/>
        <w:bidi w:val="0"/>
        <w:spacing w:line="520" w:lineRule="exact"/>
        <w:ind w:firstLineChars="0"/>
        <w:textAlignment w:val="auto"/>
        <w:rPr>
          <w:rFonts w:ascii="黑体" w:hAnsi="黑体" w:eastAsia="黑体"/>
          <w:b/>
          <w:vanish/>
          <w:color w:val="000000" w:themeColor="text1"/>
          <w:sz w:val="24"/>
          <w:szCs w:val="24"/>
          <w14:textFill>
            <w14:solidFill>
              <w14:schemeClr w14:val="tx1"/>
            </w14:solidFill>
          </w14:textFill>
        </w:rPr>
      </w:pPr>
    </w:p>
    <w:p>
      <w:pPr>
        <w:pStyle w:val="380"/>
        <w:keepNext w:val="0"/>
        <w:keepLines w:val="0"/>
        <w:pageBreakBefore w:val="0"/>
        <w:widowControl w:val="0"/>
        <w:numPr>
          <w:ilvl w:val="0"/>
          <w:numId w:val="34"/>
        </w:numPr>
        <w:kinsoku/>
        <w:wordWrap/>
        <w:overflowPunct/>
        <w:topLinePunct w:val="0"/>
        <w:autoSpaceDE/>
        <w:autoSpaceDN/>
        <w:bidi w:val="0"/>
        <w:spacing w:line="520" w:lineRule="exact"/>
        <w:ind w:firstLineChars="0"/>
        <w:textAlignment w:val="auto"/>
        <w:rPr>
          <w:rFonts w:ascii="黑体" w:hAnsi="黑体" w:eastAsia="黑体"/>
          <w:b/>
          <w:vanish/>
          <w:color w:val="000000" w:themeColor="text1"/>
          <w:sz w:val="24"/>
          <w:szCs w:val="24"/>
          <w14:textFill>
            <w14:solidFill>
              <w14:schemeClr w14:val="tx1"/>
            </w14:solidFill>
          </w14:textFill>
        </w:rPr>
      </w:pPr>
    </w:p>
    <w:p>
      <w:pPr>
        <w:pStyle w:val="380"/>
        <w:keepNext w:val="0"/>
        <w:keepLines w:val="0"/>
        <w:pageBreakBefore w:val="0"/>
        <w:widowControl w:val="0"/>
        <w:numPr>
          <w:ilvl w:val="0"/>
          <w:numId w:val="34"/>
        </w:numPr>
        <w:kinsoku/>
        <w:wordWrap/>
        <w:overflowPunct/>
        <w:topLinePunct w:val="0"/>
        <w:autoSpaceDE/>
        <w:autoSpaceDN/>
        <w:bidi w:val="0"/>
        <w:spacing w:line="520" w:lineRule="exact"/>
        <w:ind w:firstLineChars="0"/>
        <w:textAlignment w:val="auto"/>
        <w:rPr>
          <w:rFonts w:ascii="黑体" w:hAnsi="黑体" w:eastAsia="黑体"/>
          <w:b/>
          <w:vanish/>
          <w:color w:val="000000" w:themeColor="text1"/>
          <w:sz w:val="24"/>
          <w:szCs w:val="24"/>
          <w14:textFill>
            <w14:solidFill>
              <w14:schemeClr w14:val="tx1"/>
            </w14:solidFill>
          </w14:textFill>
        </w:rPr>
      </w:pPr>
    </w:p>
    <w:p>
      <w:pPr>
        <w:pStyle w:val="380"/>
        <w:keepNext w:val="0"/>
        <w:keepLines w:val="0"/>
        <w:pageBreakBefore w:val="0"/>
        <w:widowControl w:val="0"/>
        <w:numPr>
          <w:ilvl w:val="1"/>
          <w:numId w:val="34"/>
        </w:numPr>
        <w:kinsoku/>
        <w:wordWrap/>
        <w:overflowPunct/>
        <w:topLinePunct w:val="0"/>
        <w:autoSpaceDE/>
        <w:autoSpaceDN/>
        <w:bidi w:val="0"/>
        <w:spacing w:line="520" w:lineRule="exact"/>
        <w:ind w:firstLineChars="0"/>
        <w:textAlignment w:val="auto"/>
        <w:rPr>
          <w:rFonts w:ascii="黑体" w:hAnsi="黑体" w:eastAsia="黑体"/>
          <w:b/>
          <w:vanish/>
          <w:color w:val="000000" w:themeColor="text1"/>
          <w:sz w:val="24"/>
          <w:szCs w:val="24"/>
          <w14:textFill>
            <w14:solidFill>
              <w14:schemeClr w14:val="tx1"/>
            </w14:solidFill>
          </w14:textFill>
        </w:rPr>
      </w:pPr>
    </w:p>
    <w:p>
      <w:pPr>
        <w:pStyle w:val="380"/>
        <w:keepNext w:val="0"/>
        <w:keepLines w:val="0"/>
        <w:pageBreakBefore w:val="0"/>
        <w:widowControl w:val="0"/>
        <w:numPr>
          <w:ilvl w:val="1"/>
          <w:numId w:val="34"/>
        </w:numPr>
        <w:kinsoku/>
        <w:wordWrap/>
        <w:overflowPunct/>
        <w:topLinePunct w:val="0"/>
        <w:autoSpaceDE/>
        <w:autoSpaceDN/>
        <w:bidi w:val="0"/>
        <w:spacing w:line="520" w:lineRule="exact"/>
        <w:ind w:firstLineChars="0"/>
        <w:textAlignment w:val="auto"/>
        <w:rPr>
          <w:rFonts w:ascii="黑体" w:hAnsi="黑体" w:eastAsia="黑体"/>
          <w:b/>
          <w:vanish/>
          <w:color w:val="000000" w:themeColor="text1"/>
          <w:sz w:val="24"/>
          <w:szCs w:val="24"/>
          <w14:textFill>
            <w14:solidFill>
              <w14:schemeClr w14:val="tx1"/>
            </w14:solidFill>
          </w14:textFill>
        </w:rPr>
      </w:pPr>
    </w:p>
    <w:p>
      <w:pPr>
        <w:pStyle w:val="380"/>
        <w:keepNext w:val="0"/>
        <w:keepLines w:val="0"/>
        <w:pageBreakBefore w:val="0"/>
        <w:widowControl w:val="0"/>
        <w:numPr>
          <w:ilvl w:val="2"/>
          <w:numId w:val="34"/>
        </w:numPr>
        <w:kinsoku/>
        <w:wordWrap/>
        <w:overflowPunct/>
        <w:topLinePunct w:val="0"/>
        <w:autoSpaceDE/>
        <w:autoSpaceDN/>
        <w:bidi w:val="0"/>
        <w:spacing w:line="520" w:lineRule="exact"/>
        <w:ind w:firstLineChars="0"/>
        <w:textAlignment w:val="auto"/>
        <w:rPr>
          <w:rFonts w:ascii="黑体" w:hAnsi="黑体" w:eastAsia="黑体"/>
          <w:b/>
          <w:vanish/>
          <w:color w:val="000000" w:themeColor="text1"/>
          <w:sz w:val="24"/>
          <w:szCs w:val="24"/>
          <w14:textFill>
            <w14:solidFill>
              <w14:schemeClr w14:val="tx1"/>
            </w14:solidFill>
          </w14:textFill>
        </w:rPr>
      </w:pPr>
    </w:p>
    <w:p>
      <w:pPr>
        <w:pStyle w:val="380"/>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outlineLvl w:val="2"/>
        <w:rPr>
          <w:rFonts w:ascii="Times New Roman" w:hAnsi="Times New Roman" w:eastAsia="黑体"/>
          <w:b/>
          <w:color w:val="000000" w:themeColor="text1"/>
          <w:kern w:val="0"/>
          <w:sz w:val="24"/>
          <w:szCs w:val="24"/>
          <w14:textFill>
            <w14:solidFill>
              <w14:schemeClr w14:val="tx1"/>
            </w14:solidFill>
          </w14:textFill>
        </w:rPr>
      </w:pPr>
      <w:bookmarkStart w:id="352" w:name="_Toc2811"/>
      <w:bookmarkStart w:id="353" w:name="_Toc31562"/>
      <w:r>
        <w:rPr>
          <w:rFonts w:hint="eastAsia" w:ascii="Times New Roman" w:hAnsi="Times New Roman" w:eastAsia="黑体"/>
          <w:b/>
          <w:color w:val="000000" w:themeColor="text1"/>
          <w:sz w:val="24"/>
          <w:szCs w:val="24"/>
          <w:lang w:val="en-US" w:eastAsia="zh-CN"/>
          <w14:textFill>
            <w14:solidFill>
              <w14:schemeClr w14:val="tx1"/>
            </w14:solidFill>
          </w14:textFill>
        </w:rPr>
        <w:t>5</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3</w:t>
      </w:r>
      <w:r>
        <w:rPr>
          <w:rFonts w:ascii="Times New Roman" w:hAnsi="Times New Roman" w:eastAsia="黑体"/>
          <w:b/>
          <w:color w:val="000000" w:themeColor="text1"/>
          <w:sz w:val="24"/>
          <w:szCs w:val="24"/>
          <w14:textFill>
            <w14:solidFill>
              <w14:schemeClr w14:val="tx1"/>
            </w14:solidFill>
          </w14:textFill>
        </w:rPr>
        <w:t>.1.1</w:t>
      </w:r>
      <w:r>
        <w:rPr>
          <w:rFonts w:hint="eastAsia" w:ascii="黑体" w:hAnsi="黑体" w:eastAsia="黑体"/>
          <w:b/>
          <w:color w:val="000000" w:themeColor="text1"/>
          <w:sz w:val="24"/>
          <w:szCs w:val="24"/>
          <w14:textFill>
            <w14:solidFill>
              <w14:schemeClr w14:val="tx1"/>
            </w14:solidFill>
          </w14:textFill>
        </w:rPr>
        <w:t>环境空气质量达标区判定</w:t>
      </w:r>
      <w:bookmarkEnd w:id="352"/>
      <w:bookmarkEnd w:id="353"/>
    </w:p>
    <w:p>
      <w:pPr>
        <w:pStyle w:val="428"/>
        <w:jc w:val="both"/>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本项目所在区域</w:t>
      </w:r>
      <w:r>
        <w:rPr>
          <w:rFonts w:hint="eastAsia" w:hAnsi="Times New Roman"/>
          <w:color w:val="000000" w:themeColor="text1"/>
          <w14:textFill>
            <w14:solidFill>
              <w14:schemeClr w14:val="tx1"/>
            </w14:solidFill>
          </w14:textFill>
        </w:rPr>
        <w:t>属于</w:t>
      </w:r>
      <w:r>
        <w:rPr>
          <w:rFonts w:hAnsi="Times New Roman"/>
          <w:color w:val="000000" w:themeColor="text1"/>
          <w14:textFill>
            <w14:solidFill>
              <w14:schemeClr w14:val="tx1"/>
            </w14:solidFill>
          </w14:textFill>
        </w:rPr>
        <w:t>环境空气质量二类区，应执行《环境空气质量标准》（GB3095-2012）中的</w:t>
      </w:r>
      <w:r>
        <w:rPr>
          <w:rFonts w:hint="eastAsia" w:hAnsi="Times New Roman"/>
          <w:color w:val="000000" w:themeColor="text1"/>
          <w14:textFill>
            <w14:solidFill>
              <w14:schemeClr w14:val="tx1"/>
            </w14:solidFill>
          </w14:textFill>
        </w:rPr>
        <w:t>“</w:t>
      </w:r>
      <w:r>
        <w:rPr>
          <w:rFonts w:hAnsi="Times New Roman"/>
          <w:color w:val="000000" w:themeColor="text1"/>
          <w14:textFill>
            <w14:solidFill>
              <w14:schemeClr w14:val="tx1"/>
            </w14:solidFill>
          </w14:textFill>
        </w:rPr>
        <w:t>二级标准</w:t>
      </w:r>
      <w:r>
        <w:rPr>
          <w:rFonts w:hint="eastAsia" w:hAnsi="Times New Roman"/>
          <w:color w:val="000000" w:themeColor="text1"/>
          <w14:textFill>
            <w14:solidFill>
              <w14:schemeClr w14:val="tx1"/>
            </w14:solidFill>
          </w14:textFill>
        </w:rPr>
        <w:t>”</w:t>
      </w:r>
      <w:r>
        <w:rPr>
          <w:rFonts w:hAnsi="Times New Roman"/>
          <w:color w:val="000000" w:themeColor="text1"/>
          <w14:textFill>
            <w14:solidFill>
              <w14:schemeClr w14:val="tx1"/>
            </w14:solidFill>
          </w14:textFill>
        </w:rPr>
        <w:t>限值。为了解该项目所在地区的环境空气质量情况，本次基本污染物环境质量现状评价引用《</w:t>
      </w:r>
      <w:r>
        <w:rPr>
          <w:rFonts w:hint="eastAsia" w:hAnsi="Times New Roman"/>
          <w:color w:val="000000" w:themeColor="text1"/>
          <w14:textFill>
            <w14:solidFill>
              <w14:schemeClr w14:val="tx1"/>
            </w14:solidFill>
          </w14:textFill>
        </w:rPr>
        <w:t>2020</w:t>
      </w:r>
      <w:r>
        <w:rPr>
          <w:rFonts w:hAnsi="Times New Roman"/>
          <w:color w:val="000000" w:themeColor="text1"/>
          <w14:textFill>
            <w14:solidFill>
              <w14:schemeClr w14:val="tx1"/>
            </w14:solidFill>
          </w14:textFill>
        </w:rPr>
        <w:t>年宜昌市环境质量年报》中的</w:t>
      </w:r>
      <w:r>
        <w:rPr>
          <w:rFonts w:hint="eastAsia" w:hAnsi="Times New Roman"/>
          <w:color w:val="000000" w:themeColor="text1"/>
          <w14:textFill>
            <w14:solidFill>
              <w14:schemeClr w14:val="tx1"/>
            </w14:solidFill>
          </w14:textFill>
        </w:rPr>
        <w:t>宜都市</w:t>
      </w:r>
      <w:r>
        <w:rPr>
          <w:rFonts w:hAnsi="Times New Roman"/>
          <w:color w:val="000000" w:themeColor="text1"/>
          <w14:textFill>
            <w14:solidFill>
              <w14:schemeClr w14:val="tx1"/>
            </w14:solidFill>
          </w14:textFill>
        </w:rPr>
        <w:t>环境空气</w:t>
      </w:r>
      <w:r>
        <w:rPr>
          <w:rFonts w:hint="eastAsia" w:hAnsi="Times New Roman"/>
          <w:color w:val="000000" w:themeColor="text1"/>
          <w14:textFill>
            <w14:solidFill>
              <w14:schemeClr w14:val="tx1"/>
            </w14:solidFill>
          </w14:textFill>
        </w:rPr>
        <w:t>质量统计</w:t>
      </w:r>
      <w:r>
        <w:rPr>
          <w:rFonts w:hAnsi="Times New Roman"/>
          <w:color w:val="000000" w:themeColor="text1"/>
          <w14:textFill>
            <w14:solidFill>
              <w14:schemeClr w14:val="tx1"/>
            </w14:solidFill>
          </w14:textFill>
        </w:rPr>
        <w:t>数据。污染物平均浓度及评价结果见表</w:t>
      </w:r>
      <w:r>
        <w:rPr>
          <w:rFonts w:hint="eastAsia" w:hAnsi="Times New Roman"/>
          <w:color w:val="000000" w:themeColor="text1"/>
          <w:lang w:val="en-US" w:eastAsia="zh-CN"/>
          <w14:textFill>
            <w14:solidFill>
              <w14:schemeClr w14:val="tx1"/>
            </w14:solidFill>
          </w14:textFill>
        </w:rPr>
        <w:t>5</w:t>
      </w:r>
      <w:r>
        <w:rPr>
          <w:rFonts w:hint="eastAsia" w:hAnsi="Times New Roman"/>
          <w:color w:val="000000" w:themeColor="text1"/>
          <w14:textFill>
            <w14:solidFill>
              <w14:schemeClr w14:val="tx1"/>
            </w14:solidFill>
          </w14:textFill>
        </w:rPr>
        <w:t>.3</w:t>
      </w:r>
      <w:r>
        <w:rPr>
          <w:rFonts w:hAnsi="Times New Roman"/>
          <w:color w:val="000000" w:themeColor="text1"/>
          <w14:textFill>
            <w14:solidFill>
              <w14:schemeClr w14:val="tx1"/>
            </w14:solidFill>
          </w14:textFill>
        </w:rPr>
        <w:t>-1。</w:t>
      </w:r>
    </w:p>
    <w:p>
      <w:pPr>
        <w:pStyle w:val="55"/>
        <w:tabs>
          <w:tab w:val="clear" w:pos="4153"/>
          <w:tab w:val="clear" w:pos="8306"/>
        </w:tabs>
        <w:adjustRightInd w:val="0"/>
        <w:spacing w:line="520" w:lineRule="exact"/>
        <w:ind w:right="0"/>
        <w:rPr>
          <w:rFonts w:ascii="Times New Roman" w:cs="Times New Roman" w:hAnsiTheme="minorEastAsia" w:eastAsiaTheme="minorEastAsia"/>
          <w:b/>
          <w:bCs/>
          <w:color w:val="000000" w:themeColor="text1"/>
          <w:kern w:val="0"/>
          <w:sz w:val="24"/>
          <w:szCs w:val="24"/>
          <w14:textFill>
            <w14:solidFill>
              <w14:schemeClr w14:val="tx1"/>
            </w14:solidFill>
          </w14:textFill>
        </w:rPr>
      </w:pPr>
      <w:r>
        <w:rPr>
          <w:rFonts w:ascii="Times New Roman" w:cs="Times New Roman" w:hAnsiTheme="minorEastAsia" w:eastAsiaTheme="minorEastAsia"/>
          <w:b/>
          <w:bCs/>
          <w:color w:val="000000" w:themeColor="text1"/>
          <w:kern w:val="0"/>
          <w:sz w:val="24"/>
          <w:szCs w:val="24"/>
          <w14:textFill>
            <w14:solidFill>
              <w14:schemeClr w14:val="tx1"/>
            </w14:solidFill>
          </w14:textFill>
        </w:rPr>
        <w:t>表</w:t>
      </w:r>
      <w:r>
        <w:rPr>
          <w:rFonts w:hint="eastAsia" w:ascii="Times New Roman" w:cs="Times New Roman" w:hAnsiTheme="minorEastAsia" w:eastAsiaTheme="minorEastAsia"/>
          <w:b/>
          <w:bCs/>
          <w:color w:val="000000" w:themeColor="text1"/>
          <w:kern w:val="0"/>
          <w:sz w:val="24"/>
          <w:szCs w:val="24"/>
          <w:lang w:val="en-US" w:eastAsia="zh-CN"/>
          <w14:textFill>
            <w14:solidFill>
              <w14:schemeClr w14:val="tx1"/>
            </w14:solidFill>
          </w14:textFill>
        </w:rPr>
        <w:t>5</w:t>
      </w:r>
      <w:r>
        <w:rPr>
          <w:rFonts w:hint="eastAsia" w:ascii="Times New Roman" w:cs="Times New Roman" w:hAnsiTheme="minorEastAsia" w:eastAsiaTheme="minorEastAsia"/>
          <w:b/>
          <w:bCs/>
          <w:color w:val="000000" w:themeColor="text1"/>
          <w:kern w:val="0"/>
          <w:sz w:val="24"/>
          <w:szCs w:val="24"/>
          <w14:textFill>
            <w14:solidFill>
              <w14:schemeClr w14:val="tx1"/>
            </w14:solidFill>
          </w14:textFill>
        </w:rPr>
        <w:t>.3-1</w:t>
      </w:r>
      <w:r>
        <w:rPr>
          <w:rFonts w:ascii="Times New Roman" w:cs="Times New Roman" w:hAnsiTheme="minorEastAsia" w:eastAsiaTheme="minorEastAsia"/>
          <w:b/>
          <w:bCs/>
          <w:color w:val="000000" w:themeColor="text1"/>
          <w:kern w:val="0"/>
          <w:sz w:val="24"/>
          <w:szCs w:val="24"/>
          <w14:textFill>
            <w14:solidFill>
              <w14:schemeClr w14:val="tx1"/>
            </w14:solidFill>
          </w14:textFill>
        </w:rPr>
        <w:t xml:space="preserve"> 20</w:t>
      </w:r>
      <w:r>
        <w:rPr>
          <w:rFonts w:hint="eastAsia" w:ascii="Times New Roman" w:cs="Times New Roman" w:hAnsiTheme="minorEastAsia" w:eastAsiaTheme="minorEastAsia"/>
          <w:b/>
          <w:bCs/>
          <w:color w:val="000000" w:themeColor="text1"/>
          <w:kern w:val="0"/>
          <w:sz w:val="24"/>
          <w:szCs w:val="24"/>
          <w14:textFill>
            <w14:solidFill>
              <w14:schemeClr w14:val="tx1"/>
            </w14:solidFill>
          </w14:textFill>
        </w:rPr>
        <w:t>20</w:t>
      </w:r>
      <w:r>
        <w:rPr>
          <w:rFonts w:ascii="Times New Roman" w:cs="Times New Roman" w:hAnsiTheme="minorEastAsia" w:eastAsiaTheme="minorEastAsia"/>
          <w:b/>
          <w:bCs/>
          <w:color w:val="000000" w:themeColor="text1"/>
          <w:kern w:val="0"/>
          <w:sz w:val="24"/>
          <w:szCs w:val="24"/>
          <w14:textFill>
            <w14:solidFill>
              <w14:schemeClr w14:val="tx1"/>
            </w14:solidFill>
          </w14:textFill>
        </w:rPr>
        <w:t>年</w:t>
      </w:r>
      <w:r>
        <w:rPr>
          <w:rFonts w:hint="eastAsia" w:ascii="Times New Roman" w:cs="Times New Roman" w:hAnsiTheme="minorEastAsia" w:eastAsiaTheme="minorEastAsia"/>
          <w:b/>
          <w:bCs/>
          <w:color w:val="000000" w:themeColor="text1"/>
          <w:kern w:val="0"/>
          <w:sz w:val="24"/>
          <w:szCs w:val="24"/>
          <w14:textFill>
            <w14:solidFill>
              <w14:schemeClr w14:val="tx1"/>
            </w14:solidFill>
          </w14:textFill>
        </w:rPr>
        <w:t>宜都市</w:t>
      </w:r>
      <w:r>
        <w:rPr>
          <w:rFonts w:ascii="Times New Roman" w:cs="Times New Roman" w:hAnsiTheme="minorEastAsia" w:eastAsiaTheme="minorEastAsia"/>
          <w:b/>
          <w:bCs/>
          <w:color w:val="000000" w:themeColor="text1"/>
          <w:kern w:val="0"/>
          <w:sz w:val="24"/>
          <w:szCs w:val="24"/>
          <w14:textFill>
            <w14:solidFill>
              <w14:schemeClr w14:val="tx1"/>
            </w14:solidFill>
          </w14:textFill>
        </w:rPr>
        <w:t>环境空气质量情况一览表</w:t>
      </w:r>
    </w:p>
    <w:tbl>
      <w:tblPr>
        <w:tblStyle w:val="87"/>
        <w:tblW w:w="88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077"/>
        <w:gridCol w:w="1404"/>
        <w:gridCol w:w="1375"/>
        <w:gridCol w:w="1064"/>
        <w:gridCol w:w="1030"/>
        <w:gridCol w:w="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92"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污染物</w:t>
            </w:r>
          </w:p>
        </w:tc>
        <w:tc>
          <w:tcPr>
            <w:tcW w:w="2077"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年评价指标</w:t>
            </w:r>
          </w:p>
        </w:tc>
        <w:tc>
          <w:tcPr>
            <w:tcW w:w="140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平均浓度</w:t>
            </w:r>
          </w:p>
        </w:tc>
        <w:tc>
          <w:tcPr>
            <w:tcW w:w="137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标准值</w:t>
            </w:r>
          </w:p>
        </w:tc>
        <w:tc>
          <w:tcPr>
            <w:tcW w:w="106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占标率</w:t>
            </w:r>
          </w:p>
        </w:tc>
        <w:tc>
          <w:tcPr>
            <w:tcW w:w="1030"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超标</w:t>
            </w:r>
          </w:p>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倍数</w:t>
            </w:r>
          </w:p>
        </w:tc>
        <w:tc>
          <w:tcPr>
            <w:tcW w:w="95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达标</w:t>
            </w:r>
          </w:p>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SO</w:t>
            </w:r>
            <w:r>
              <w:rPr>
                <w:rFonts w:ascii="Times New Roman" w:hAnsi="Times New Roman"/>
                <w:color w:val="000000" w:themeColor="text1"/>
                <w:kern w:val="0"/>
                <w:position w:val="-2"/>
                <w:sz w:val="14"/>
                <w:szCs w:val="14"/>
                <w14:textFill>
                  <w14:solidFill>
                    <w14:schemeClr w14:val="tx1"/>
                  </w14:solidFill>
                </w14:textFill>
              </w:rPr>
              <w:t>2</w:t>
            </w:r>
          </w:p>
        </w:tc>
        <w:tc>
          <w:tcPr>
            <w:tcW w:w="2077"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年平均质量浓度</w:t>
            </w:r>
          </w:p>
        </w:tc>
        <w:tc>
          <w:tcPr>
            <w:tcW w:w="140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12</w:t>
            </w:r>
            <w:r>
              <w:rPr>
                <w:rFonts w:ascii="Times New Roman" w:hAnsi="Times New Roman"/>
                <w:color w:val="000000" w:themeColor="text1"/>
                <w:kern w:val="0"/>
                <w14:textFill>
                  <w14:solidFill>
                    <w14:schemeClr w14:val="tx1"/>
                  </w14:solidFill>
                </w14:textFill>
              </w:rPr>
              <w:t>μg/m³</w:t>
            </w:r>
          </w:p>
        </w:tc>
        <w:tc>
          <w:tcPr>
            <w:tcW w:w="137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60μg/m³</w:t>
            </w:r>
          </w:p>
        </w:tc>
        <w:tc>
          <w:tcPr>
            <w:tcW w:w="106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20</w:t>
            </w:r>
            <w:r>
              <w:rPr>
                <w:rFonts w:ascii="Times New Roman" w:hAnsi="Times New Roman"/>
                <w:color w:val="000000" w:themeColor="text1"/>
                <w:kern w:val="0"/>
                <w14:textFill>
                  <w14:solidFill>
                    <w14:schemeClr w14:val="tx1"/>
                  </w14:solidFill>
                </w14:textFill>
              </w:rPr>
              <w:t>%</w:t>
            </w:r>
          </w:p>
        </w:tc>
        <w:tc>
          <w:tcPr>
            <w:tcW w:w="1030"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p>
        </w:tc>
        <w:tc>
          <w:tcPr>
            <w:tcW w:w="95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NO</w:t>
            </w:r>
            <w:r>
              <w:rPr>
                <w:rFonts w:ascii="Times New Roman" w:hAnsi="Times New Roman"/>
                <w:color w:val="000000" w:themeColor="text1"/>
                <w:kern w:val="0"/>
                <w:position w:val="-2"/>
                <w:sz w:val="14"/>
                <w:szCs w:val="14"/>
                <w14:textFill>
                  <w14:solidFill>
                    <w14:schemeClr w14:val="tx1"/>
                  </w14:solidFill>
                </w14:textFill>
              </w:rPr>
              <w:t>2</w:t>
            </w:r>
          </w:p>
        </w:tc>
        <w:tc>
          <w:tcPr>
            <w:tcW w:w="2077"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年平均质量浓度</w:t>
            </w:r>
          </w:p>
        </w:tc>
        <w:tc>
          <w:tcPr>
            <w:tcW w:w="140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25</w:t>
            </w:r>
            <w:r>
              <w:rPr>
                <w:rFonts w:ascii="Times New Roman" w:hAnsi="Times New Roman"/>
                <w:color w:val="000000" w:themeColor="text1"/>
                <w:kern w:val="0"/>
                <w14:textFill>
                  <w14:solidFill>
                    <w14:schemeClr w14:val="tx1"/>
                  </w14:solidFill>
                </w14:textFill>
              </w:rPr>
              <w:t>μg/m³</w:t>
            </w:r>
          </w:p>
        </w:tc>
        <w:tc>
          <w:tcPr>
            <w:tcW w:w="137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40μg/m³</w:t>
            </w:r>
          </w:p>
        </w:tc>
        <w:tc>
          <w:tcPr>
            <w:tcW w:w="106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62.5</w:t>
            </w:r>
            <w:r>
              <w:rPr>
                <w:rFonts w:ascii="Times New Roman" w:hAnsi="Times New Roman"/>
                <w:color w:val="000000" w:themeColor="text1"/>
                <w:kern w:val="0"/>
                <w14:textFill>
                  <w14:solidFill>
                    <w14:schemeClr w14:val="tx1"/>
                  </w14:solidFill>
                </w14:textFill>
              </w:rPr>
              <w:t>%</w:t>
            </w:r>
          </w:p>
        </w:tc>
        <w:tc>
          <w:tcPr>
            <w:tcW w:w="1030"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p>
        </w:tc>
        <w:tc>
          <w:tcPr>
            <w:tcW w:w="95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dxa"/>
            <w:tcBorders>
              <w:tl2br w:val="nil"/>
              <w:tr2bl w:val="nil"/>
            </w:tcBorders>
            <w:vAlign w:val="center"/>
          </w:tcPr>
          <w:p>
            <w:pPr>
              <w:widowControl/>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14:textFill>
                  <w14:solidFill>
                    <w14:schemeClr w14:val="tx1"/>
                  </w14:solidFill>
                </w14:textFill>
              </w:rPr>
              <w:t>PM</w:t>
            </w:r>
            <w:r>
              <w:rPr>
                <w:rFonts w:ascii="Times New Roman" w:hAnsi="Times New Roman"/>
                <w:color w:val="000000" w:themeColor="text1"/>
                <w:kern w:val="0"/>
                <w:position w:val="-2"/>
                <w:sz w:val="14"/>
                <w:szCs w:val="14"/>
                <w14:textFill>
                  <w14:solidFill>
                    <w14:schemeClr w14:val="tx1"/>
                  </w14:solidFill>
                </w14:textFill>
              </w:rPr>
              <w:t>10</w:t>
            </w:r>
          </w:p>
        </w:tc>
        <w:tc>
          <w:tcPr>
            <w:tcW w:w="2077"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年平均质量浓度</w:t>
            </w:r>
          </w:p>
        </w:tc>
        <w:tc>
          <w:tcPr>
            <w:tcW w:w="140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57</w:t>
            </w:r>
            <w:r>
              <w:rPr>
                <w:rFonts w:ascii="Times New Roman" w:hAnsi="Times New Roman"/>
                <w:color w:val="000000" w:themeColor="text1"/>
                <w:kern w:val="0"/>
                <w14:textFill>
                  <w14:solidFill>
                    <w14:schemeClr w14:val="tx1"/>
                  </w14:solidFill>
                </w14:textFill>
              </w:rPr>
              <w:t>μg/m³</w:t>
            </w:r>
          </w:p>
        </w:tc>
        <w:tc>
          <w:tcPr>
            <w:tcW w:w="137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70μg/m³</w:t>
            </w:r>
          </w:p>
        </w:tc>
        <w:tc>
          <w:tcPr>
            <w:tcW w:w="106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81.4</w:t>
            </w:r>
            <w:r>
              <w:rPr>
                <w:rFonts w:ascii="Times New Roman" w:hAnsi="Times New Roman"/>
                <w:color w:val="000000" w:themeColor="text1"/>
                <w:kern w:val="0"/>
                <w14:textFill>
                  <w14:solidFill>
                    <w14:schemeClr w14:val="tx1"/>
                  </w14:solidFill>
                </w14:textFill>
              </w:rPr>
              <w:t>%</w:t>
            </w:r>
          </w:p>
        </w:tc>
        <w:tc>
          <w:tcPr>
            <w:tcW w:w="1030"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p>
        </w:tc>
        <w:tc>
          <w:tcPr>
            <w:tcW w:w="95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dxa"/>
            <w:tcBorders>
              <w:tl2br w:val="nil"/>
              <w:tr2bl w:val="nil"/>
            </w:tcBorders>
            <w:vAlign w:val="center"/>
          </w:tcPr>
          <w:p>
            <w:pPr>
              <w:widowControl/>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14:textFill>
                  <w14:solidFill>
                    <w14:schemeClr w14:val="tx1"/>
                  </w14:solidFill>
                </w14:textFill>
              </w:rPr>
              <w:t>PM</w:t>
            </w:r>
            <w:r>
              <w:rPr>
                <w:rFonts w:ascii="Times New Roman" w:hAnsi="Times New Roman"/>
                <w:color w:val="000000" w:themeColor="text1"/>
                <w:kern w:val="0"/>
                <w:position w:val="-2"/>
                <w:sz w:val="14"/>
                <w:szCs w:val="14"/>
                <w14:textFill>
                  <w14:solidFill>
                    <w14:schemeClr w14:val="tx1"/>
                  </w14:solidFill>
                </w14:textFill>
              </w:rPr>
              <w:t>2.5</w:t>
            </w:r>
          </w:p>
        </w:tc>
        <w:tc>
          <w:tcPr>
            <w:tcW w:w="2077"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年平均质量浓度</w:t>
            </w:r>
          </w:p>
        </w:tc>
        <w:tc>
          <w:tcPr>
            <w:tcW w:w="140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39</w:t>
            </w:r>
            <w:r>
              <w:rPr>
                <w:rFonts w:ascii="Times New Roman" w:hAnsi="Times New Roman"/>
                <w:color w:val="000000" w:themeColor="text1"/>
                <w:kern w:val="0"/>
                <w14:textFill>
                  <w14:solidFill>
                    <w14:schemeClr w14:val="tx1"/>
                  </w14:solidFill>
                </w14:textFill>
              </w:rPr>
              <w:t>μg/m³</w:t>
            </w:r>
          </w:p>
        </w:tc>
        <w:tc>
          <w:tcPr>
            <w:tcW w:w="137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35μg/m³</w:t>
            </w:r>
          </w:p>
        </w:tc>
        <w:tc>
          <w:tcPr>
            <w:tcW w:w="106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111.4</w:t>
            </w:r>
            <w:r>
              <w:rPr>
                <w:rFonts w:ascii="Times New Roman" w:hAnsi="Times New Roman"/>
                <w:color w:val="000000" w:themeColor="text1"/>
                <w:kern w:val="0"/>
                <w14:textFill>
                  <w14:solidFill>
                    <w14:schemeClr w14:val="tx1"/>
                  </w14:solidFill>
                </w14:textFill>
              </w:rPr>
              <w:t>%</w:t>
            </w:r>
          </w:p>
        </w:tc>
        <w:tc>
          <w:tcPr>
            <w:tcW w:w="1030"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0.114</w:t>
            </w:r>
          </w:p>
        </w:tc>
        <w:tc>
          <w:tcPr>
            <w:tcW w:w="95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超</w:t>
            </w:r>
            <w:r>
              <w:rPr>
                <w:rFonts w:ascii="Times New Roman" w:hAnsi="Times New Roman"/>
                <w:color w:val="000000" w:themeColor="text1"/>
                <w:kern w:val="0"/>
                <w14:textFill>
                  <w14:solidFill>
                    <w14:schemeClr w14:val="tx1"/>
                  </w14:solidFill>
                </w14:textFill>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92" w:type="dxa"/>
            <w:tcBorders>
              <w:tl2br w:val="nil"/>
              <w:tr2bl w:val="nil"/>
            </w:tcBorders>
            <w:vAlign w:val="center"/>
          </w:tcPr>
          <w:p>
            <w:pPr>
              <w:widowControl/>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14:textFill>
                  <w14:solidFill>
                    <w14:schemeClr w14:val="tx1"/>
                  </w14:solidFill>
                </w14:textFill>
              </w:rPr>
              <w:t>CO</w:t>
            </w:r>
          </w:p>
        </w:tc>
        <w:tc>
          <w:tcPr>
            <w:tcW w:w="2077"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第95百分位数</w:t>
            </w:r>
          </w:p>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日平均质量浓度</w:t>
            </w:r>
          </w:p>
        </w:tc>
        <w:tc>
          <w:tcPr>
            <w:tcW w:w="140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1.</w:t>
            </w:r>
            <w:r>
              <w:rPr>
                <w:rFonts w:hint="eastAsia" w:ascii="Times New Roman" w:hAnsi="Times New Roman"/>
                <w:color w:val="000000" w:themeColor="text1"/>
                <w:kern w:val="0"/>
                <w14:textFill>
                  <w14:solidFill>
                    <w14:schemeClr w14:val="tx1"/>
                  </w14:solidFill>
                </w14:textFill>
              </w:rPr>
              <w:t>2</w:t>
            </w:r>
            <w:r>
              <w:rPr>
                <w:rFonts w:ascii="Times New Roman" w:hAnsi="Times New Roman"/>
                <w:color w:val="000000" w:themeColor="text1"/>
                <w:kern w:val="0"/>
                <w14:textFill>
                  <w14:solidFill>
                    <w14:schemeClr w14:val="tx1"/>
                  </w14:solidFill>
                </w14:textFill>
              </w:rPr>
              <w:t>mg/m³</w:t>
            </w:r>
          </w:p>
        </w:tc>
        <w:tc>
          <w:tcPr>
            <w:tcW w:w="137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4mg/m³</w:t>
            </w:r>
          </w:p>
        </w:tc>
        <w:tc>
          <w:tcPr>
            <w:tcW w:w="106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30</w:t>
            </w:r>
            <w:r>
              <w:rPr>
                <w:rFonts w:ascii="Times New Roman" w:hAnsi="Times New Roman"/>
                <w:color w:val="000000" w:themeColor="text1"/>
                <w:kern w:val="0"/>
                <w14:textFill>
                  <w14:solidFill>
                    <w14:schemeClr w14:val="tx1"/>
                  </w14:solidFill>
                </w14:textFill>
              </w:rPr>
              <w:t>%</w:t>
            </w:r>
          </w:p>
        </w:tc>
        <w:tc>
          <w:tcPr>
            <w:tcW w:w="1030"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p>
        </w:tc>
        <w:tc>
          <w:tcPr>
            <w:tcW w:w="95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92"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O</w:t>
            </w:r>
            <w:r>
              <w:rPr>
                <w:rFonts w:ascii="Times New Roman" w:hAnsi="Times New Roman"/>
                <w:color w:val="000000" w:themeColor="text1"/>
                <w:kern w:val="0"/>
                <w:position w:val="-2"/>
                <w:sz w:val="14"/>
                <w:szCs w:val="14"/>
                <w14:textFill>
                  <w14:solidFill>
                    <w14:schemeClr w14:val="tx1"/>
                  </w14:solidFill>
                </w14:textFill>
              </w:rPr>
              <w:t>3</w:t>
            </w:r>
          </w:p>
        </w:tc>
        <w:tc>
          <w:tcPr>
            <w:tcW w:w="2077"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第90百分位数</w:t>
            </w:r>
          </w:p>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8h平均质量浓度</w:t>
            </w:r>
          </w:p>
        </w:tc>
        <w:tc>
          <w:tcPr>
            <w:tcW w:w="140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126</w:t>
            </w:r>
            <w:r>
              <w:rPr>
                <w:rFonts w:ascii="Times New Roman" w:hAnsi="Times New Roman"/>
                <w:color w:val="000000" w:themeColor="text1"/>
                <w:kern w:val="0"/>
                <w14:textFill>
                  <w14:solidFill>
                    <w14:schemeClr w14:val="tx1"/>
                  </w14:solidFill>
                </w14:textFill>
              </w:rPr>
              <w:t>μg/m³</w:t>
            </w:r>
          </w:p>
        </w:tc>
        <w:tc>
          <w:tcPr>
            <w:tcW w:w="137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160μg/m³</w:t>
            </w:r>
          </w:p>
        </w:tc>
        <w:tc>
          <w:tcPr>
            <w:tcW w:w="1064"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14:textFill>
                  <w14:solidFill>
                    <w14:schemeClr w14:val="tx1"/>
                  </w14:solidFill>
                </w14:textFill>
              </w:rPr>
              <w:t>78.7</w:t>
            </w:r>
            <w:r>
              <w:rPr>
                <w:rFonts w:ascii="Times New Roman" w:hAnsi="Times New Roman"/>
                <w:color w:val="000000" w:themeColor="text1"/>
                <w:kern w:val="0"/>
                <w14:textFill>
                  <w14:solidFill>
                    <w14:schemeClr w14:val="tx1"/>
                  </w14:solidFill>
                </w14:textFill>
              </w:rPr>
              <w:t>%</w:t>
            </w:r>
          </w:p>
        </w:tc>
        <w:tc>
          <w:tcPr>
            <w:tcW w:w="1030"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w:t>
            </w:r>
          </w:p>
        </w:tc>
        <w:tc>
          <w:tcPr>
            <w:tcW w:w="955" w:type="dxa"/>
            <w:tcBorders>
              <w:tl2br w:val="nil"/>
              <w:tr2bl w:val="nil"/>
            </w:tcBorders>
            <w:vAlign w:val="center"/>
          </w:tcPr>
          <w:p>
            <w:pPr>
              <w:widowControl/>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达标</w:t>
            </w:r>
          </w:p>
        </w:tc>
      </w:tr>
    </w:tbl>
    <w:p>
      <w:pPr>
        <w:pStyle w:val="428"/>
        <w:jc w:val="both"/>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由上表可知，项目所在区域环境空气中SO</w:t>
      </w:r>
      <w:r>
        <w:rPr>
          <w:rFonts w:hAnsi="Times New Roman"/>
          <w:color w:val="000000" w:themeColor="text1"/>
          <w:vertAlign w:val="subscript"/>
          <w14:textFill>
            <w14:solidFill>
              <w14:schemeClr w14:val="tx1"/>
            </w14:solidFill>
          </w14:textFill>
        </w:rPr>
        <w:t>2</w:t>
      </w:r>
      <w:r>
        <w:rPr>
          <w:rFonts w:hAnsi="Times New Roman"/>
          <w:color w:val="000000" w:themeColor="text1"/>
          <w14:textFill>
            <w14:solidFill>
              <w14:schemeClr w14:val="tx1"/>
            </w14:solidFill>
          </w14:textFill>
        </w:rPr>
        <w:t>、NO</w:t>
      </w:r>
      <w:r>
        <w:rPr>
          <w:rFonts w:hAnsi="Times New Roman"/>
          <w:color w:val="000000" w:themeColor="text1"/>
          <w:vertAlign w:val="subscript"/>
          <w14:textFill>
            <w14:solidFill>
              <w14:schemeClr w14:val="tx1"/>
            </w14:solidFill>
          </w14:textFill>
        </w:rPr>
        <w:t>2</w:t>
      </w:r>
      <w:r>
        <w:rPr>
          <w:rFonts w:hAnsi="Times New Roman"/>
          <w:color w:val="000000" w:themeColor="text1"/>
          <w14:textFill>
            <w14:solidFill>
              <w14:schemeClr w14:val="tx1"/>
            </w14:solidFill>
          </w14:textFill>
        </w:rPr>
        <w:t>、PM</w:t>
      </w:r>
      <w:r>
        <w:rPr>
          <w:rFonts w:hAnsi="Times New Roman"/>
          <w:color w:val="000000" w:themeColor="text1"/>
          <w:vertAlign w:val="subscript"/>
          <w14:textFill>
            <w14:solidFill>
              <w14:schemeClr w14:val="tx1"/>
            </w14:solidFill>
          </w14:textFill>
        </w:rPr>
        <w:t>10</w:t>
      </w:r>
      <w:r>
        <w:rPr>
          <w:rFonts w:hAnsi="Times New Roman"/>
          <w:color w:val="000000" w:themeColor="text1"/>
          <w14:textFill>
            <w14:solidFill>
              <w14:schemeClr w14:val="tx1"/>
            </w14:solidFill>
          </w14:textFill>
        </w:rPr>
        <w:t>、CO、O</w:t>
      </w:r>
      <w:r>
        <w:rPr>
          <w:rFonts w:hAnsi="Times New Roman"/>
          <w:color w:val="000000" w:themeColor="text1"/>
          <w:vertAlign w:val="subscript"/>
          <w14:textFill>
            <w14:solidFill>
              <w14:schemeClr w14:val="tx1"/>
            </w14:solidFill>
          </w14:textFill>
        </w:rPr>
        <w:t>3</w:t>
      </w:r>
      <w:r>
        <w:rPr>
          <w:rFonts w:hAnsi="Times New Roman"/>
          <w:color w:val="000000" w:themeColor="text1"/>
          <w14:textFill>
            <w14:solidFill>
              <w14:schemeClr w14:val="tx1"/>
            </w14:solidFill>
          </w14:textFill>
        </w:rPr>
        <w:t>的平均质量浓度满足《环境空气质量标准》（GB3095-2012）及其修改单表1中二级浓度限值的要求，PM</w:t>
      </w:r>
      <w:r>
        <w:rPr>
          <w:rFonts w:hAnsi="Times New Roman"/>
          <w:color w:val="000000" w:themeColor="text1"/>
          <w:vertAlign w:val="subscript"/>
          <w14:textFill>
            <w14:solidFill>
              <w14:schemeClr w14:val="tx1"/>
            </w14:solidFill>
          </w14:textFill>
        </w:rPr>
        <w:t>2.5</w:t>
      </w:r>
      <w:r>
        <w:rPr>
          <w:rFonts w:hint="eastAsia" w:hAnsi="Times New Roman"/>
          <w:color w:val="000000" w:themeColor="text1"/>
          <w14:textFill>
            <w14:solidFill>
              <w14:schemeClr w14:val="tx1"/>
            </w14:solidFill>
          </w14:textFill>
        </w:rPr>
        <w:t>平均质量浓度超标的，</w:t>
      </w:r>
      <w:r>
        <w:rPr>
          <w:rFonts w:hAnsi="Times New Roman"/>
          <w:color w:val="000000" w:themeColor="text1"/>
          <w14:textFill>
            <w14:solidFill>
              <w14:schemeClr w14:val="tx1"/>
            </w14:solidFill>
          </w14:textFill>
        </w:rPr>
        <w:t>故判定项目所在区域属于环境空气质量</w:t>
      </w:r>
      <w:r>
        <w:rPr>
          <w:rFonts w:hint="eastAsia" w:hAnsi="Times New Roman"/>
          <w:color w:val="000000" w:themeColor="text1"/>
          <w14:textFill>
            <w14:solidFill>
              <w14:schemeClr w14:val="tx1"/>
            </w14:solidFill>
          </w14:textFill>
        </w:rPr>
        <w:t>不</w:t>
      </w:r>
      <w:r>
        <w:rPr>
          <w:rFonts w:hAnsi="Times New Roman"/>
          <w:color w:val="000000" w:themeColor="text1"/>
          <w14:textFill>
            <w14:solidFill>
              <w14:schemeClr w14:val="tx1"/>
            </w14:solidFill>
          </w14:textFill>
        </w:rPr>
        <w:t>达标区。</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354" w:name="_Toc16389"/>
      <w:bookmarkStart w:id="355" w:name="_Toc13605"/>
      <w:r>
        <w:rPr>
          <w:rFonts w:hint="eastAsia" w:ascii="Times New Roman" w:hAnsi="Times New Roman" w:eastAsia="黑体"/>
          <w:b/>
          <w:color w:val="000000" w:themeColor="text1"/>
          <w:sz w:val="24"/>
          <w:szCs w:val="24"/>
          <w:lang w:val="en-US" w:eastAsia="zh-CN"/>
          <w14:textFill>
            <w14:solidFill>
              <w14:schemeClr w14:val="tx1"/>
            </w14:solidFill>
          </w14:textFill>
        </w:rPr>
        <w:t>5</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3</w:t>
      </w:r>
      <w:r>
        <w:rPr>
          <w:rFonts w:ascii="Times New Roman" w:hAnsi="Times New Roman" w:eastAsia="黑体"/>
          <w:b/>
          <w:color w:val="000000" w:themeColor="text1"/>
          <w:sz w:val="24"/>
          <w:szCs w:val="24"/>
          <w14:textFill>
            <w14:solidFill>
              <w14:schemeClr w14:val="tx1"/>
            </w14:solidFill>
          </w14:textFill>
        </w:rPr>
        <w:t>.1.</w:t>
      </w:r>
      <w:r>
        <w:rPr>
          <w:rFonts w:hint="eastAsia" w:ascii="Times New Roman" w:hAnsi="Times New Roman" w:eastAsia="黑体"/>
          <w:b/>
          <w:color w:val="000000" w:themeColor="text1"/>
          <w:sz w:val="24"/>
          <w:szCs w:val="24"/>
          <w14:textFill>
            <w14:solidFill>
              <w14:schemeClr w14:val="tx1"/>
            </w14:solidFill>
          </w14:textFill>
        </w:rPr>
        <w:t>2区域大气环境综合治理规划</w:t>
      </w:r>
      <w:bookmarkEnd w:id="354"/>
      <w:bookmarkEnd w:id="355"/>
    </w:p>
    <w:p>
      <w:pPr>
        <w:pStyle w:val="428"/>
        <w:jc w:val="both"/>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为改善区域环境空气质量，宜都市依据《大气污染防治行动计划》、《关于贯彻落实国务院大气污染防治行动计划的实施意见》、《宜昌市大气污染防治行动计划》、</w:t>
      </w:r>
    </w:p>
    <w:p>
      <w:pPr>
        <w:pStyle w:val="428"/>
        <w:jc w:val="both"/>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《宜昌市打赢蓝天保卫战2019年实施方案》（宜环委发〔2019〕7 号）、《宜昌市工业企业无组织排放整治实施方案》（宜市环发〔2019〕15 号）等文件要求，持续推动空气质量改善，坚决打赢</w:t>
      </w:r>
      <w:r>
        <w:rPr>
          <w:rFonts w:hint="eastAsia" w:hAnsi="Times New Roman"/>
          <w:color w:val="000000" w:themeColor="text1"/>
          <w14:textFill>
            <w14:solidFill>
              <w14:schemeClr w14:val="tx1"/>
            </w14:solidFill>
          </w14:textFill>
        </w:rPr>
        <w:t>“</w:t>
      </w:r>
      <w:r>
        <w:rPr>
          <w:rFonts w:hAnsi="Times New Roman"/>
          <w:color w:val="000000" w:themeColor="text1"/>
          <w14:textFill>
            <w14:solidFill>
              <w14:schemeClr w14:val="tx1"/>
            </w14:solidFill>
          </w14:textFill>
        </w:rPr>
        <w:t>蓝天保卫战</w:t>
      </w:r>
      <w:r>
        <w:rPr>
          <w:rFonts w:hint="eastAsia" w:hAnsi="Times New Roman"/>
          <w:color w:val="000000" w:themeColor="text1"/>
          <w14:textFill>
            <w14:solidFill>
              <w14:schemeClr w14:val="tx1"/>
            </w14:solidFill>
          </w14:textFill>
        </w:rPr>
        <w:t>”</w:t>
      </w:r>
      <w:r>
        <w:rPr>
          <w:rFonts w:hAnsi="Times New Roman"/>
          <w:color w:val="000000" w:themeColor="text1"/>
          <w14:textFill>
            <w14:solidFill>
              <w14:schemeClr w14:val="tx1"/>
            </w14:solidFill>
          </w14:textFill>
        </w:rPr>
        <w:t>，主要工作措施包括：</w:t>
      </w:r>
    </w:p>
    <w:p>
      <w:pPr>
        <w:pStyle w:val="428"/>
        <w:jc w:val="both"/>
        <w:rPr>
          <w:rFonts w:hAnsi="Times New Roman"/>
          <w:color w:val="000000" w:themeColor="text1"/>
          <w14:textFill>
            <w14:solidFill>
              <w14:schemeClr w14:val="tx1"/>
            </w14:solidFill>
          </w14:textFill>
        </w:rPr>
      </w:pPr>
      <w:r>
        <w:rPr>
          <w:rFonts w:hint="eastAsia" w:hAnsi="Times New Roman"/>
          <w:color w:val="000000" w:themeColor="text1"/>
          <w14:textFill>
            <w14:solidFill>
              <w14:schemeClr w14:val="tx1"/>
            </w14:solidFill>
          </w14:textFill>
        </w:rPr>
        <w:t>（1）</w:t>
      </w:r>
      <w:r>
        <w:rPr>
          <w:rFonts w:hAnsi="Times New Roman"/>
          <w:color w:val="000000" w:themeColor="text1"/>
          <w14:textFill>
            <w14:solidFill>
              <w14:schemeClr w14:val="tx1"/>
            </w14:solidFill>
          </w14:textFill>
        </w:rPr>
        <w:t>明确工作目标，将目标分解到每个季度，对标不断加强工作</w:t>
      </w:r>
      <w:r>
        <w:rPr>
          <w:rFonts w:hint="eastAsia" w:hAnsi="Times New Roman"/>
          <w:color w:val="000000" w:themeColor="text1"/>
          <w14:textFill>
            <w14:solidFill>
              <w14:schemeClr w14:val="tx1"/>
            </w14:solidFill>
          </w14:textFill>
        </w:rPr>
        <w:t>。</w:t>
      </w:r>
    </w:p>
    <w:p>
      <w:pPr>
        <w:pStyle w:val="428"/>
        <w:jc w:val="both"/>
        <w:rPr>
          <w:rFonts w:hAnsi="Times New Roman"/>
          <w:color w:val="000000" w:themeColor="text1"/>
          <w14:textFill>
            <w14:solidFill>
              <w14:schemeClr w14:val="tx1"/>
            </w14:solidFill>
          </w14:textFill>
        </w:rPr>
      </w:pPr>
      <w:r>
        <w:rPr>
          <w:rFonts w:hint="eastAsia" w:hAnsi="Times New Roman"/>
          <w:color w:val="000000" w:themeColor="text1"/>
          <w14:textFill>
            <w14:solidFill>
              <w14:schemeClr w14:val="tx1"/>
            </w14:solidFill>
          </w14:textFill>
        </w:rPr>
        <w:t>（2）</w:t>
      </w:r>
      <w:r>
        <w:rPr>
          <w:rFonts w:hAnsi="Times New Roman"/>
          <w:color w:val="000000" w:themeColor="text1"/>
          <w14:textFill>
            <w14:solidFill>
              <w14:schemeClr w14:val="tx1"/>
            </w14:solidFill>
          </w14:textFill>
        </w:rPr>
        <w:t>明确重点区域，以城区、园区为重点区域开展大气污染防治工作，并进一步强化乡镇大气污染防治工作。</w:t>
      </w:r>
    </w:p>
    <w:p>
      <w:pPr>
        <w:pStyle w:val="428"/>
        <w:jc w:val="both"/>
        <w:rPr>
          <w:rFonts w:hAnsi="Times New Roman"/>
          <w:color w:val="000000" w:themeColor="text1"/>
          <w14:textFill>
            <w14:solidFill>
              <w14:schemeClr w14:val="tx1"/>
            </w14:solidFill>
          </w14:textFill>
        </w:rPr>
      </w:pPr>
      <w:r>
        <w:rPr>
          <w:rFonts w:hint="eastAsia" w:hAnsi="Times New Roman"/>
          <w:color w:val="000000" w:themeColor="text1"/>
          <w14:textFill>
            <w14:solidFill>
              <w14:schemeClr w14:val="tx1"/>
            </w14:solidFill>
          </w14:textFill>
        </w:rPr>
        <w:t>（3）</w:t>
      </w:r>
      <w:r>
        <w:rPr>
          <w:rFonts w:hAnsi="Times New Roman"/>
          <w:color w:val="000000" w:themeColor="text1"/>
          <w14:textFill>
            <w14:solidFill>
              <w14:schemeClr w14:val="tx1"/>
            </w14:solidFill>
          </w14:textFill>
        </w:rPr>
        <w:t>明确重点任务，完成年度空气质量改善目标特别是优良天数，打好臭氧污染防治攻坚战，提高优良天数比例。</w:t>
      </w:r>
    </w:p>
    <w:p>
      <w:pPr>
        <w:pStyle w:val="428"/>
        <w:jc w:val="both"/>
        <w:rPr>
          <w:rFonts w:hAnsi="Times New Roman"/>
          <w:color w:val="000000" w:themeColor="text1"/>
          <w14:textFill>
            <w14:solidFill>
              <w14:schemeClr w14:val="tx1"/>
            </w14:solidFill>
          </w14:textFill>
        </w:rPr>
      </w:pPr>
      <w:r>
        <w:rPr>
          <w:rFonts w:hint="eastAsia" w:hAnsi="Times New Roman"/>
          <w:color w:val="000000" w:themeColor="text1"/>
          <w14:textFill>
            <w14:solidFill>
              <w14:schemeClr w14:val="tx1"/>
            </w14:solidFill>
          </w14:textFill>
        </w:rPr>
        <w:t>（4）</w:t>
      </w:r>
      <w:r>
        <w:rPr>
          <w:rFonts w:hAnsi="Times New Roman"/>
          <w:color w:val="000000" w:themeColor="text1"/>
          <w14:textFill>
            <w14:solidFill>
              <w14:schemeClr w14:val="tx1"/>
            </w14:solidFill>
          </w14:textFill>
        </w:rPr>
        <w:t>明确重点工作，抓好企业、油烟、燃煤、扬尘、禁烧、禁鞭全方位管控。</w:t>
      </w:r>
    </w:p>
    <w:p>
      <w:pPr>
        <w:pStyle w:val="428"/>
        <w:ind w:firstLine="476"/>
        <w:jc w:val="both"/>
        <w:rPr>
          <w:rFonts w:hAnsi="Times New Roman"/>
          <w:color w:val="000000" w:themeColor="text1"/>
          <w14:textFill>
            <w14:solidFill>
              <w14:schemeClr w14:val="tx1"/>
            </w14:solidFill>
          </w14:textFill>
        </w:rPr>
      </w:pPr>
      <w:r>
        <w:rPr>
          <w:rFonts w:hint="eastAsia"/>
          <w:color w:val="000000" w:themeColor="text1"/>
          <w:spacing w:val="-1"/>
          <w14:textFill>
            <w14:solidFill>
              <w14:schemeClr w14:val="tx1"/>
            </w14:solidFill>
          </w14:textFill>
        </w:rPr>
        <w:t>（5）</w:t>
      </w:r>
      <w:r>
        <w:rPr>
          <w:color w:val="000000" w:themeColor="text1"/>
          <w:spacing w:val="-1"/>
          <w14:textFill>
            <w14:solidFill>
              <w14:schemeClr w14:val="tx1"/>
            </w14:solidFill>
          </w14:textFill>
        </w:rPr>
        <w:t xml:space="preserve">继续引进第三方科学治污，精准分析调度，强化巡查督办，定期通报问题， </w:t>
      </w:r>
      <w:r>
        <w:rPr>
          <w:color w:val="000000" w:themeColor="text1"/>
          <w:spacing w:val="1"/>
          <w14:textFill>
            <w14:solidFill>
              <w14:schemeClr w14:val="tx1"/>
            </w14:solidFill>
          </w14:textFill>
        </w:rPr>
        <w:t xml:space="preserve">推动工作落实见效。在严格落实各项工作计划、方案、规划的情况下，预计到 </w:t>
      </w:r>
      <w:r>
        <w:rPr>
          <w:rFonts w:eastAsia="Times New Roman"/>
          <w:color w:val="000000" w:themeColor="text1"/>
          <w14:textFill>
            <w14:solidFill>
              <w14:schemeClr w14:val="tx1"/>
            </w14:solidFill>
          </w14:textFill>
        </w:rPr>
        <w:t xml:space="preserve">2020 </w:t>
      </w:r>
      <w:r>
        <w:rPr>
          <w:color w:val="000000" w:themeColor="text1"/>
          <w:spacing w:val="3"/>
          <w:position w:val="2"/>
          <w14:textFill>
            <w14:solidFill>
              <w14:schemeClr w14:val="tx1"/>
            </w14:solidFill>
          </w14:textFill>
        </w:rPr>
        <w:t>年，项目所在区域大气环境质量将显著改善；大气污染物排放总量大幅减少；</w:t>
      </w:r>
      <w:r>
        <w:rPr>
          <w:rFonts w:eastAsia="Times New Roman"/>
          <w:color w:val="000000" w:themeColor="text1"/>
          <w:position w:val="2"/>
          <w14:textFill>
            <w14:solidFill>
              <w14:schemeClr w14:val="tx1"/>
            </w14:solidFill>
          </w14:textFill>
        </w:rPr>
        <w:t>PM</w:t>
      </w:r>
      <w:r>
        <w:rPr>
          <w:rFonts w:eastAsia="Times New Roman"/>
          <w:color w:val="000000" w:themeColor="text1"/>
          <w:position w:val="2"/>
          <w:vertAlign w:val="subscript"/>
          <w14:textFill>
            <w14:solidFill>
              <w14:schemeClr w14:val="tx1"/>
            </w14:solidFill>
          </w14:textFill>
        </w:rPr>
        <w:t>2</w:t>
      </w:r>
      <w:r>
        <w:rPr>
          <w:rFonts w:eastAsia="Times New Roman"/>
          <w:color w:val="000000" w:themeColor="text1"/>
          <w:position w:val="2"/>
          <w14:textFill>
            <w14:solidFill>
              <w14:schemeClr w14:val="tx1"/>
            </w14:solidFill>
          </w14:textFill>
        </w:rPr>
        <w:t>.</w:t>
      </w:r>
      <w:r>
        <w:rPr>
          <w:rFonts w:eastAsia="Times New Roman"/>
          <w:color w:val="000000" w:themeColor="text1"/>
          <w:position w:val="2"/>
          <w:vertAlign w:val="subscript"/>
          <w14:textFill>
            <w14:solidFill>
              <w14:schemeClr w14:val="tx1"/>
            </w14:solidFill>
          </w14:textFill>
        </w:rPr>
        <w:t xml:space="preserve">5 </w:t>
      </w:r>
      <w:r>
        <w:rPr>
          <w:color w:val="000000" w:themeColor="text1"/>
          <w:position w:val="2"/>
          <w14:textFill>
            <w14:solidFill>
              <w14:schemeClr w14:val="tx1"/>
            </w14:solidFill>
          </w14:textFill>
        </w:rPr>
        <w:t>浓度明显降低，</w:t>
      </w:r>
      <w:r>
        <w:rPr>
          <w:rFonts w:eastAsia="Times New Roman"/>
          <w:color w:val="000000" w:themeColor="text1"/>
          <w:position w:val="2"/>
          <w14:textFill>
            <w14:solidFill>
              <w14:schemeClr w14:val="tx1"/>
            </w14:solidFill>
          </w14:textFill>
        </w:rPr>
        <w:t>PM</w:t>
      </w:r>
      <w:r>
        <w:rPr>
          <w:rFonts w:eastAsia="Times New Roman"/>
          <w:color w:val="000000" w:themeColor="text1"/>
          <w:position w:val="2"/>
          <w:vertAlign w:val="subscript"/>
          <w14:textFill>
            <w14:solidFill>
              <w14:schemeClr w14:val="tx1"/>
            </w14:solidFill>
          </w14:textFill>
        </w:rPr>
        <w:t>10</w:t>
      </w:r>
      <w:r>
        <w:rPr>
          <w:color w:val="000000" w:themeColor="text1"/>
          <w:position w:val="2"/>
          <w14:textFill>
            <w14:solidFill>
              <w14:schemeClr w14:val="tx1"/>
            </w14:solidFill>
          </w14:textFill>
        </w:rPr>
        <w:t>、二氧化硫（</w:t>
      </w:r>
      <w:r>
        <w:rPr>
          <w:rFonts w:eastAsia="Times New Roman"/>
          <w:color w:val="000000" w:themeColor="text1"/>
          <w:position w:val="2"/>
          <w14:textFill>
            <w14:solidFill>
              <w14:schemeClr w14:val="tx1"/>
            </w14:solidFill>
          </w14:textFill>
        </w:rPr>
        <w:t>SO</w:t>
      </w:r>
      <w:r>
        <w:rPr>
          <w:rFonts w:eastAsia="Times New Roman"/>
          <w:color w:val="000000" w:themeColor="text1"/>
          <w:position w:val="2"/>
          <w:vertAlign w:val="subscript"/>
          <w14:textFill>
            <w14:solidFill>
              <w14:schemeClr w14:val="tx1"/>
            </w14:solidFill>
          </w14:textFill>
        </w:rPr>
        <w:t>2</w:t>
      </w:r>
      <w:r>
        <w:rPr>
          <w:color w:val="000000" w:themeColor="text1"/>
          <w:position w:val="2"/>
          <w14:textFill>
            <w14:solidFill>
              <w14:schemeClr w14:val="tx1"/>
            </w14:solidFill>
          </w14:textFill>
        </w:rPr>
        <w:t>）、二氧化氮（</w:t>
      </w:r>
      <w:r>
        <w:rPr>
          <w:rFonts w:eastAsia="Times New Roman"/>
          <w:color w:val="000000" w:themeColor="text1"/>
          <w:position w:val="2"/>
          <w14:textFill>
            <w14:solidFill>
              <w14:schemeClr w14:val="tx1"/>
            </w14:solidFill>
          </w14:textFill>
        </w:rPr>
        <w:t>NO</w:t>
      </w:r>
      <w:r>
        <w:rPr>
          <w:rFonts w:eastAsia="Times New Roman"/>
          <w:color w:val="000000" w:themeColor="text1"/>
          <w:position w:val="2"/>
          <w:vertAlign w:val="subscript"/>
          <w14:textFill>
            <w14:solidFill>
              <w14:schemeClr w14:val="tx1"/>
            </w14:solidFill>
          </w14:textFill>
        </w:rPr>
        <w:t>2</w:t>
      </w:r>
      <w:r>
        <w:rPr>
          <w:color w:val="000000" w:themeColor="text1"/>
          <w:position w:val="2"/>
          <w14:textFill>
            <w14:solidFill>
              <w14:schemeClr w14:val="tx1"/>
            </w14:solidFill>
          </w14:textFill>
        </w:rPr>
        <w:t>）、一氧化碳（</w:t>
      </w:r>
      <w:r>
        <w:rPr>
          <w:rFonts w:eastAsia="Times New Roman"/>
          <w:color w:val="000000" w:themeColor="text1"/>
          <w:position w:val="2"/>
          <w14:textFill>
            <w14:solidFill>
              <w14:schemeClr w14:val="tx1"/>
            </w14:solidFill>
          </w14:textFill>
        </w:rPr>
        <w:t>CO</w:t>
      </w:r>
      <w:r>
        <w:rPr>
          <w:color w:val="000000" w:themeColor="text1"/>
          <w:position w:val="2"/>
          <w14:textFill>
            <w14:solidFill>
              <w14:schemeClr w14:val="tx1"/>
            </w14:solidFill>
          </w14:textFill>
        </w:rPr>
        <w:t>）、臭氧（</w:t>
      </w:r>
      <w:r>
        <w:rPr>
          <w:rFonts w:eastAsia="Times New Roman"/>
          <w:color w:val="000000" w:themeColor="text1"/>
          <w:position w:val="2"/>
          <w14:textFill>
            <w14:solidFill>
              <w14:schemeClr w14:val="tx1"/>
            </w14:solidFill>
          </w14:textFill>
        </w:rPr>
        <w:t>O</w:t>
      </w:r>
      <w:r>
        <w:rPr>
          <w:rFonts w:eastAsia="Times New Roman"/>
          <w:color w:val="000000" w:themeColor="text1"/>
          <w:position w:val="2"/>
          <w:vertAlign w:val="subscript"/>
          <w14:textFill>
            <w14:solidFill>
              <w14:schemeClr w14:val="tx1"/>
            </w14:solidFill>
          </w14:textFill>
        </w:rPr>
        <w:t>3</w:t>
      </w:r>
      <w:r>
        <w:rPr>
          <w:color w:val="000000" w:themeColor="text1"/>
          <w:position w:val="2"/>
          <w14:textFill>
            <w14:solidFill>
              <w14:schemeClr w14:val="tx1"/>
            </w14:solidFill>
          </w14:textFill>
        </w:rPr>
        <w:t>）浓度全部达标；优良天数比例稳步提升，基本消除重度污染天数</w:t>
      </w:r>
      <w:r>
        <w:rPr>
          <w:rFonts w:hint="eastAsia"/>
          <w:color w:val="000000" w:themeColor="text1"/>
          <w:position w:val="2"/>
          <w14:textFill>
            <w14:solidFill>
              <w14:schemeClr w14:val="tx1"/>
            </w14:solidFill>
          </w14:textFill>
        </w:rPr>
        <w:t>。</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4"/>
          <w:szCs w:val="24"/>
          <w14:textFill>
            <w14:solidFill>
              <w14:schemeClr w14:val="tx1"/>
            </w14:solidFill>
          </w14:textFill>
        </w:rPr>
      </w:pPr>
      <w:bookmarkStart w:id="356" w:name="_Toc3730"/>
      <w:bookmarkStart w:id="357" w:name="_Toc2670"/>
      <w:r>
        <w:rPr>
          <w:rFonts w:hint="eastAsia" w:ascii="Times New Roman" w:hAnsi="Times New Roman" w:eastAsia="黑体"/>
          <w:b/>
          <w:color w:val="000000" w:themeColor="text1"/>
          <w:sz w:val="24"/>
          <w:szCs w:val="24"/>
          <w:lang w:val="en-US" w:eastAsia="zh-CN"/>
          <w14:textFill>
            <w14:solidFill>
              <w14:schemeClr w14:val="tx1"/>
            </w14:solidFill>
          </w14:textFill>
        </w:rPr>
        <w:t>5</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3</w:t>
      </w:r>
      <w:r>
        <w:rPr>
          <w:rFonts w:ascii="Times New Roman" w:hAnsi="Times New Roman" w:eastAsia="黑体"/>
          <w:b/>
          <w:color w:val="000000" w:themeColor="text1"/>
          <w:sz w:val="24"/>
          <w:szCs w:val="24"/>
          <w14:textFill>
            <w14:solidFill>
              <w14:schemeClr w14:val="tx1"/>
            </w14:solidFill>
          </w14:textFill>
        </w:rPr>
        <w:t>.1.3</w:t>
      </w:r>
      <w:r>
        <w:rPr>
          <w:rFonts w:hint="eastAsia" w:ascii="黑体" w:hAnsi="黑体" w:eastAsia="黑体"/>
          <w:b/>
          <w:color w:val="000000" w:themeColor="text1"/>
          <w:sz w:val="24"/>
          <w:szCs w:val="24"/>
          <w14:textFill>
            <w14:solidFill>
              <w14:schemeClr w14:val="tx1"/>
            </w14:solidFill>
          </w14:textFill>
        </w:rPr>
        <w:t>环境空气质量补充监测</w:t>
      </w:r>
      <w:bookmarkEnd w:id="356"/>
      <w:bookmarkEnd w:id="357"/>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1</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监测布点</w:t>
      </w:r>
      <w:r>
        <w:rPr>
          <w:rFonts w:hint="eastAsia" w:ascii="Times New Roman" w:hAnsiTheme="minorEastAsia" w:eastAsiaTheme="minorEastAsia"/>
          <w:color w:val="000000" w:themeColor="text1"/>
          <w:sz w:val="24"/>
          <w:szCs w:val="24"/>
          <w14:textFill>
            <w14:solidFill>
              <w14:schemeClr w14:val="tx1"/>
            </w14:solidFill>
          </w14:textFill>
        </w:rPr>
        <w:t>及监测因子</w:t>
      </w:r>
    </w:p>
    <w:p>
      <w:pPr>
        <w:pStyle w:val="428"/>
        <w:jc w:val="both"/>
        <w:rPr>
          <w:rFonts w:hAnsiTheme="minorEastAsia" w:eastAsiaTheme="minorEastAsia"/>
          <w:color w:val="000000" w:themeColor="text1"/>
          <w:kern w:val="2"/>
          <w:lang w:bidi="ar-SA"/>
          <w14:textFill>
            <w14:solidFill>
              <w14:schemeClr w14:val="tx1"/>
            </w14:solidFill>
          </w14:textFill>
        </w:rPr>
      </w:pPr>
      <w:r>
        <w:rPr>
          <w:rFonts w:hAnsiTheme="minorEastAsia" w:eastAsiaTheme="minorEastAsia"/>
          <w:color w:val="000000" w:themeColor="text1"/>
          <w:kern w:val="2"/>
          <w:lang w:bidi="ar-SA"/>
          <w14:textFill>
            <w14:solidFill>
              <w14:schemeClr w14:val="tx1"/>
            </w14:solidFill>
          </w14:textFill>
        </w:rPr>
        <w:t>根据《环境影响评价技术导则-大气环境》（HJ2.2-2018）中的相关要求，为了解项目所在区域空气环境质量现状，</w:t>
      </w:r>
      <w:r>
        <w:rPr>
          <w:rFonts w:hint="eastAsia" w:hAnsiTheme="minorEastAsia" w:eastAsiaTheme="minorEastAsia"/>
          <w:color w:val="000000" w:themeColor="text1"/>
          <w:kern w:val="2"/>
          <w:lang w:bidi="ar-SA"/>
          <w14:textFill>
            <w14:solidFill>
              <w14:schemeClr w14:val="tx1"/>
            </w14:solidFill>
          </w14:textFill>
        </w:rPr>
        <w:t>湖北恒驰检测技术有限公司于2021年6月11日至6月17日</w:t>
      </w:r>
      <w:r>
        <w:rPr>
          <w:rFonts w:hAnsiTheme="minorEastAsia" w:eastAsiaTheme="minorEastAsia"/>
          <w:color w:val="000000" w:themeColor="text1"/>
          <w:kern w:val="2"/>
          <w:lang w:bidi="ar-SA"/>
          <w14:textFill>
            <w14:solidFill>
              <w14:schemeClr w14:val="tx1"/>
            </w14:solidFill>
          </w14:textFill>
        </w:rPr>
        <w:t>，连续</w:t>
      </w:r>
      <w:r>
        <w:rPr>
          <w:rFonts w:hint="eastAsia" w:hAnsiTheme="minorEastAsia" w:eastAsiaTheme="minorEastAsia"/>
          <w:color w:val="000000" w:themeColor="text1"/>
          <w:kern w:val="2"/>
          <w:lang w:bidi="ar-SA"/>
          <w14:textFill>
            <w14:solidFill>
              <w14:schemeClr w14:val="tx1"/>
            </w14:solidFill>
          </w14:textFill>
        </w:rPr>
        <w:t>7</w:t>
      </w:r>
      <w:r>
        <w:rPr>
          <w:rFonts w:hAnsiTheme="minorEastAsia" w:eastAsiaTheme="minorEastAsia"/>
          <w:color w:val="000000" w:themeColor="text1"/>
          <w:kern w:val="2"/>
          <w:lang w:bidi="ar-SA"/>
          <w14:textFill>
            <w14:solidFill>
              <w14:schemeClr w14:val="tx1"/>
            </w14:solidFill>
          </w14:textFill>
        </w:rPr>
        <w:t>天对该区域的环境空气（特征因子）进行监测，</w:t>
      </w:r>
      <w:r>
        <w:rPr>
          <w:rFonts w:hint="eastAsia" w:hAnsiTheme="minorEastAsia" w:eastAsiaTheme="minorEastAsia"/>
          <w:color w:val="000000" w:themeColor="text1"/>
          <w:kern w:val="2"/>
          <w:lang w:bidi="ar-SA"/>
          <w14:textFill>
            <w14:solidFill>
              <w14:schemeClr w14:val="tx1"/>
            </w14:solidFill>
          </w14:textFill>
        </w:rPr>
        <w:t>本次监测期间在拟建项目</w:t>
      </w:r>
      <w:r>
        <w:rPr>
          <w:rFonts w:hAnsiTheme="minorEastAsia" w:eastAsiaTheme="minorEastAsia"/>
          <w:color w:val="000000" w:themeColor="text1"/>
          <w:kern w:val="2"/>
          <w:lang w:bidi="ar-SA"/>
          <w14:textFill>
            <w14:solidFill>
              <w14:schemeClr w14:val="tx1"/>
            </w14:solidFill>
          </w14:textFill>
        </w:rPr>
        <w:t>厂区主导风下风向设置1个监测点。</w:t>
      </w:r>
    </w:p>
    <w:p>
      <w:pPr>
        <w:pStyle w:val="428"/>
        <w:jc w:val="both"/>
        <w:rPr>
          <w:rFonts w:hAnsiTheme="minorEastAsia" w:eastAsiaTheme="minorEastAsia"/>
          <w:color w:val="000000" w:themeColor="text1"/>
          <w:kern w:val="2"/>
          <w:lang w:bidi="ar-SA"/>
          <w14:textFill>
            <w14:solidFill>
              <w14:schemeClr w14:val="tx1"/>
            </w14:solidFill>
          </w14:textFill>
        </w:rPr>
      </w:pPr>
      <w:r>
        <w:rPr>
          <w:rFonts w:hAnsiTheme="minorEastAsia" w:eastAsiaTheme="minorEastAsia"/>
          <w:color w:val="000000" w:themeColor="text1"/>
          <w:kern w:val="2"/>
          <w:lang w:bidi="ar-SA"/>
          <w14:textFill>
            <w14:solidFill>
              <w14:schemeClr w14:val="tx1"/>
            </w14:solidFill>
          </w14:textFill>
        </w:rPr>
        <w:t>监测点位及监测因子见表</w:t>
      </w:r>
      <w:r>
        <w:rPr>
          <w:rFonts w:hint="eastAsia" w:hAnsiTheme="minorEastAsia" w:eastAsiaTheme="minorEastAsia"/>
          <w:color w:val="000000" w:themeColor="text1"/>
          <w:kern w:val="2"/>
          <w:lang w:val="en-US" w:eastAsia="zh-CN" w:bidi="ar-SA"/>
          <w14:textFill>
            <w14:solidFill>
              <w14:schemeClr w14:val="tx1"/>
            </w14:solidFill>
          </w14:textFill>
        </w:rPr>
        <w:t>5</w:t>
      </w:r>
      <w:r>
        <w:rPr>
          <w:rFonts w:hint="eastAsia" w:hAnsiTheme="minorEastAsia" w:eastAsiaTheme="minorEastAsia"/>
          <w:color w:val="000000" w:themeColor="text1"/>
          <w:kern w:val="2"/>
          <w:lang w:bidi="ar-SA"/>
          <w14:textFill>
            <w14:solidFill>
              <w14:schemeClr w14:val="tx1"/>
            </w14:solidFill>
          </w14:textFill>
        </w:rPr>
        <w:t>.3</w:t>
      </w:r>
      <w:r>
        <w:rPr>
          <w:rFonts w:hAnsiTheme="minorEastAsia" w:eastAsiaTheme="minorEastAsia"/>
          <w:color w:val="000000" w:themeColor="text1"/>
          <w:kern w:val="2"/>
          <w:lang w:bidi="ar-SA"/>
          <w14:textFill>
            <w14:solidFill>
              <w14:schemeClr w14:val="tx1"/>
            </w14:solidFill>
          </w14:textFill>
        </w:rPr>
        <w:t>-2。</w:t>
      </w:r>
    </w:p>
    <w:p>
      <w:pPr>
        <w:pStyle w:val="55"/>
        <w:tabs>
          <w:tab w:val="clear" w:pos="4153"/>
          <w:tab w:val="clear" w:pos="8306"/>
        </w:tabs>
        <w:adjustRightInd w:val="0"/>
        <w:spacing w:line="520" w:lineRule="exact"/>
        <w:ind w:right="0"/>
        <w:rPr>
          <w:rFonts w:ascii="Times New Roman" w:cs="Times New Roman" w:hAnsiTheme="minorEastAsia" w:eastAsiaTheme="minorEastAsia"/>
          <w:b/>
          <w:bCs/>
          <w:color w:val="000000" w:themeColor="text1"/>
          <w:kern w:val="0"/>
          <w:sz w:val="24"/>
          <w:szCs w:val="24"/>
          <w14:textFill>
            <w14:solidFill>
              <w14:schemeClr w14:val="tx1"/>
            </w14:solidFill>
          </w14:textFill>
        </w:rPr>
      </w:pPr>
      <w:r>
        <w:rPr>
          <w:rFonts w:ascii="Times New Roman" w:cs="Times New Roman" w:hAnsiTheme="minorEastAsia" w:eastAsiaTheme="minorEastAsia"/>
          <w:b/>
          <w:bCs/>
          <w:color w:val="000000" w:themeColor="text1"/>
          <w:kern w:val="0"/>
          <w:sz w:val="24"/>
          <w:szCs w:val="24"/>
          <w14:textFill>
            <w14:solidFill>
              <w14:schemeClr w14:val="tx1"/>
            </w14:solidFill>
          </w14:textFill>
        </w:rPr>
        <w:t>表</w:t>
      </w:r>
      <w:r>
        <w:rPr>
          <w:rFonts w:hint="eastAsia" w:ascii="Times New Roman" w:cs="Times New Roman" w:hAnsiTheme="minorEastAsia" w:eastAsiaTheme="minorEastAsia"/>
          <w:b/>
          <w:bCs/>
          <w:color w:val="000000" w:themeColor="text1"/>
          <w:kern w:val="0"/>
          <w:sz w:val="24"/>
          <w:szCs w:val="24"/>
          <w:lang w:val="en-US" w:eastAsia="zh-CN"/>
          <w14:textFill>
            <w14:solidFill>
              <w14:schemeClr w14:val="tx1"/>
            </w14:solidFill>
          </w14:textFill>
        </w:rPr>
        <w:t>5</w:t>
      </w:r>
      <w:r>
        <w:rPr>
          <w:rFonts w:hint="eastAsia" w:ascii="Times New Roman" w:cs="Times New Roman" w:hAnsiTheme="minorEastAsia" w:eastAsiaTheme="minorEastAsia"/>
          <w:b/>
          <w:bCs/>
          <w:color w:val="000000" w:themeColor="text1"/>
          <w:kern w:val="0"/>
          <w:sz w:val="24"/>
          <w:szCs w:val="24"/>
          <w14:textFill>
            <w14:solidFill>
              <w14:schemeClr w14:val="tx1"/>
            </w14:solidFill>
          </w14:textFill>
        </w:rPr>
        <w:t>.3</w:t>
      </w:r>
      <w:r>
        <w:rPr>
          <w:rFonts w:ascii="Times New Roman" w:cs="Times New Roman" w:hAnsiTheme="minorEastAsia" w:eastAsiaTheme="minorEastAsia"/>
          <w:b/>
          <w:bCs/>
          <w:color w:val="000000" w:themeColor="text1"/>
          <w:kern w:val="0"/>
          <w:sz w:val="24"/>
          <w:szCs w:val="24"/>
          <w14:textFill>
            <w14:solidFill>
              <w14:schemeClr w14:val="tx1"/>
            </w14:solidFill>
          </w14:textFill>
        </w:rPr>
        <w:t>-2 环境空气监测点位及监测因子</w:t>
      </w:r>
    </w:p>
    <w:tbl>
      <w:tblPr>
        <w:tblStyle w:val="87"/>
        <w:tblW w:w="92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418"/>
        <w:gridCol w:w="3260"/>
        <w:gridCol w:w="1559"/>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0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监测位置</w:t>
            </w:r>
          </w:p>
        </w:tc>
        <w:tc>
          <w:tcPr>
            <w:tcW w:w="14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监测点位</w:t>
            </w:r>
          </w:p>
        </w:tc>
        <w:tc>
          <w:tcPr>
            <w:tcW w:w="326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监测因子</w:t>
            </w:r>
          </w:p>
        </w:tc>
        <w:tc>
          <w:tcPr>
            <w:tcW w:w="155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检测频次</w:t>
            </w:r>
          </w:p>
        </w:tc>
        <w:tc>
          <w:tcPr>
            <w:tcW w:w="12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相对位置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0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A1(E 111.533782°</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30.243889°)</w:t>
            </w:r>
          </w:p>
        </w:tc>
        <w:tc>
          <w:tcPr>
            <w:tcW w:w="14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项目</w:t>
            </w:r>
            <w:r>
              <w:rPr>
                <w:rFonts w:ascii="Times New Roman" w:hAnsi="Times New Roman"/>
                <w:color w:val="000000" w:themeColor="text1"/>
                <w:sz w:val="18"/>
                <w:szCs w:val="18"/>
                <w14:textFill>
                  <w14:solidFill>
                    <w14:schemeClr w14:val="tx1"/>
                  </w14:solidFill>
                </w14:textFill>
              </w:rPr>
              <w:t>区下风向</w:t>
            </w:r>
          </w:p>
        </w:tc>
        <w:tc>
          <w:tcPr>
            <w:tcW w:w="326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氟化物</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氯化氢</w:t>
            </w:r>
          </w:p>
        </w:tc>
        <w:tc>
          <w:tcPr>
            <w:tcW w:w="155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4次/天×7天</w:t>
            </w:r>
          </w:p>
        </w:tc>
        <w:tc>
          <w:tcPr>
            <w:tcW w:w="12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厂区东北侧</w:t>
            </w:r>
          </w:p>
        </w:tc>
      </w:tr>
    </w:tbl>
    <w:p>
      <w:pPr>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zh-CN"/>
          <w14:textFill>
            <w14:solidFill>
              <w14:schemeClr w14:val="tx1"/>
            </w14:solidFill>
          </w14:textFill>
        </w:rPr>
        <w:t>（2）</w:t>
      </w:r>
      <w:r>
        <w:rPr>
          <w:rFonts w:ascii="Times New Roman" w:hAnsiTheme="minorEastAsia" w:eastAsiaTheme="minorEastAsia"/>
          <w:color w:val="000000" w:themeColor="text1"/>
          <w:sz w:val="24"/>
          <w:szCs w:val="24"/>
          <w:lang w:val="zh-CN"/>
          <w14:textFill>
            <w14:solidFill>
              <w14:schemeClr w14:val="tx1"/>
            </w14:solidFill>
          </w14:textFill>
        </w:rPr>
        <w:t>评价方法</w:t>
      </w:r>
    </w:p>
    <w:p>
      <w:pPr>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采用最大占标率进行评价，计算公式为：</w:t>
      </w:r>
    </w:p>
    <w:p>
      <w:pPr>
        <w:adjustRightInd w:val="0"/>
        <w:snapToGrid w:val="0"/>
        <w:spacing w:before="120" w:beforeLines="50" w:after="120" w:afterLines="50" w:line="480" w:lineRule="auto"/>
        <w:jc w:val="center"/>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position w:val="-30"/>
          <w:sz w:val="24"/>
          <w:szCs w:val="24"/>
          <w14:textFill>
            <w14:solidFill>
              <w14:schemeClr w14:val="tx1"/>
            </w14:solidFill>
          </w14:textFill>
        </w:rPr>
        <w:pict>
          <v:shape id="对象 993" o:spid="_x0000_s1103" o:spt="75" type="#_x0000_t75" style="position:absolute;left:0pt;margin-left:172.35pt;margin-top:-5.4pt;height:41.25pt;width:57.55pt;z-index:251698176;mso-width-relative:page;mso-height-relative:page;" o:ole="t" filled="f" o:preferrelative="t" stroked="f" coordsize="21600,21600">
            <v:path/>
            <v:fill on="f" focussize="0,0"/>
            <v:stroke on="f" joinstyle="miter"/>
            <v:imagedata r:id="rId17" o:title=""/>
            <o:lock v:ext="edit" aspectratio="t"/>
          </v:shape>
          <o:OLEObject Type="Embed" ProgID="Equation.3" ShapeID="对象 993" DrawAspect="Content" ObjectID="_1468075725" r:id="rId16">
            <o:LockedField>false</o:LockedField>
          </o:OLEObject>
        </w:pict>
      </w:r>
    </w:p>
    <w:p>
      <w:pPr>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其中：</w:t>
      </w:r>
      <w:r>
        <w:rPr>
          <w:rFonts w:ascii="Times New Roman" w:hAnsi="Times New Roman" w:eastAsiaTheme="minorEastAsia"/>
          <w:color w:val="000000" w:themeColor="text1"/>
          <w:sz w:val="24"/>
          <w:szCs w:val="24"/>
          <w14:textFill>
            <w14:solidFill>
              <w14:schemeClr w14:val="tx1"/>
            </w14:solidFill>
          </w14:textFill>
        </w:rPr>
        <w:t>C</w:t>
      </w:r>
      <w:r>
        <w:rPr>
          <w:rFonts w:ascii="Times New Roman" w:hAnsi="Times New Roman" w:eastAsiaTheme="minorEastAsia"/>
          <w:color w:val="000000" w:themeColor="text1"/>
          <w:sz w:val="24"/>
          <w:szCs w:val="24"/>
          <w:vertAlign w:val="subscript"/>
          <w14:textFill>
            <w14:solidFill>
              <w14:schemeClr w14:val="tx1"/>
            </w14:solidFill>
          </w14:textFill>
        </w:rPr>
        <w:t>i</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heme="minorEastAsia" w:eastAsiaTheme="minorEastAsia"/>
          <w:color w:val="000000" w:themeColor="text1"/>
          <w:sz w:val="24"/>
          <w:szCs w:val="24"/>
          <w14:textFill>
            <w14:solidFill>
              <w14:schemeClr w14:val="tx1"/>
            </w14:solidFill>
          </w14:textFill>
        </w:rPr>
        <w:t>第</w:t>
      </w:r>
      <w:r>
        <w:rPr>
          <w:rFonts w:ascii="Times New Roman" w:hAnsi="Times New Roman" w:eastAsiaTheme="minorEastAsia"/>
          <w:color w:val="000000" w:themeColor="text1"/>
          <w:sz w:val="24"/>
          <w:szCs w:val="24"/>
          <w14:textFill>
            <w14:solidFill>
              <w14:schemeClr w14:val="tx1"/>
            </w14:solidFill>
          </w14:textFill>
        </w:rPr>
        <w:t>i</w:t>
      </w:r>
      <w:r>
        <w:rPr>
          <w:rFonts w:ascii="Times New Roman" w:hAnsiTheme="minorEastAsia" w:eastAsiaTheme="minorEastAsia"/>
          <w:color w:val="000000" w:themeColor="text1"/>
          <w:sz w:val="24"/>
          <w:szCs w:val="24"/>
          <w14:textFill>
            <w14:solidFill>
              <w14:schemeClr w14:val="tx1"/>
            </w14:solidFill>
          </w14:textFill>
        </w:rPr>
        <w:t>种污染物的最大实测浓度，</w:t>
      </w:r>
      <w:r>
        <w:rPr>
          <w:rFonts w:ascii="Times New Roman" w:hAnsi="Times New Roman" w:eastAsiaTheme="minorEastAsia"/>
          <w:color w:val="000000" w:themeColor="text1"/>
          <w:sz w:val="24"/>
          <w:szCs w:val="24"/>
          <w14:textFill>
            <w14:solidFill>
              <w14:schemeClr w14:val="tx1"/>
            </w14:solidFill>
          </w14:textFill>
        </w:rPr>
        <w:t>mg/m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p>
    <w:p>
      <w:pPr>
        <w:adjustRightInd w:val="0"/>
        <w:snapToGrid w:val="0"/>
        <w:spacing w:line="520" w:lineRule="exact"/>
        <w:ind w:firstLine="1200" w:firstLineChars="5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C</w:t>
      </w:r>
      <w:r>
        <w:rPr>
          <w:rFonts w:ascii="Times New Roman" w:hAnsi="Times New Roman" w:eastAsiaTheme="minorEastAsia"/>
          <w:color w:val="000000" w:themeColor="text1"/>
          <w:sz w:val="24"/>
          <w:szCs w:val="24"/>
          <w:vertAlign w:val="subscript"/>
          <w14:textFill>
            <w14:solidFill>
              <w14:schemeClr w14:val="tx1"/>
            </w14:solidFill>
          </w14:textFill>
        </w:rPr>
        <w:t>0i</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heme="minorEastAsia" w:eastAsiaTheme="minorEastAsia"/>
          <w:color w:val="000000" w:themeColor="text1"/>
          <w:sz w:val="24"/>
          <w:szCs w:val="24"/>
          <w14:textFill>
            <w14:solidFill>
              <w14:schemeClr w14:val="tx1"/>
            </w14:solidFill>
          </w14:textFill>
        </w:rPr>
        <w:t>第</w:t>
      </w:r>
      <w:r>
        <w:rPr>
          <w:rFonts w:ascii="Times New Roman" w:hAnsi="Times New Roman" w:eastAsiaTheme="minorEastAsia"/>
          <w:color w:val="000000" w:themeColor="text1"/>
          <w:sz w:val="24"/>
          <w:szCs w:val="24"/>
          <w14:textFill>
            <w14:solidFill>
              <w14:schemeClr w14:val="tx1"/>
            </w14:solidFill>
          </w14:textFill>
        </w:rPr>
        <w:t>i</w:t>
      </w:r>
      <w:r>
        <w:rPr>
          <w:rFonts w:ascii="Times New Roman" w:hAnsiTheme="minorEastAsia" w:eastAsiaTheme="minorEastAsia"/>
          <w:color w:val="000000" w:themeColor="text1"/>
          <w:sz w:val="24"/>
          <w:szCs w:val="24"/>
          <w14:textFill>
            <w14:solidFill>
              <w14:schemeClr w14:val="tx1"/>
            </w14:solidFill>
          </w14:textFill>
        </w:rPr>
        <w:t>种污染物的浓度标准值，</w:t>
      </w:r>
      <w:r>
        <w:rPr>
          <w:rFonts w:ascii="Times New Roman" w:hAnsi="Times New Roman" w:eastAsiaTheme="minorEastAsia"/>
          <w:color w:val="000000" w:themeColor="text1"/>
          <w:sz w:val="24"/>
          <w:szCs w:val="24"/>
          <w14:textFill>
            <w14:solidFill>
              <w14:schemeClr w14:val="tx1"/>
            </w14:solidFill>
          </w14:textFill>
        </w:rPr>
        <w:t>mg/m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p>
    <w:p>
      <w:pPr>
        <w:adjustRightInd w:val="0"/>
        <w:snapToGrid w:val="0"/>
        <w:spacing w:line="520" w:lineRule="exact"/>
        <w:ind w:firstLine="1200" w:firstLineChars="500"/>
        <w:jc w:val="left"/>
        <w:rPr>
          <w:rFonts w:ascii="Times New Roman" w:hAnsiTheme="minorEastAsia"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P</w:t>
      </w:r>
      <w:r>
        <w:rPr>
          <w:rFonts w:ascii="Times New Roman" w:hAnsi="Times New Roman" w:eastAsiaTheme="minorEastAsia"/>
          <w:color w:val="000000" w:themeColor="text1"/>
          <w:sz w:val="24"/>
          <w:szCs w:val="24"/>
          <w:vertAlign w:val="subscript"/>
          <w14:textFill>
            <w14:solidFill>
              <w14:schemeClr w14:val="tx1"/>
            </w14:solidFill>
          </w14:textFill>
        </w:rPr>
        <w:t>imax</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第</w:t>
      </w:r>
      <w:r>
        <w:rPr>
          <w:rFonts w:ascii="Times New Roman" w:hAnsi="Times New Roman" w:eastAsiaTheme="minorEastAsia"/>
          <w:color w:val="000000" w:themeColor="text1"/>
          <w:sz w:val="24"/>
          <w:szCs w:val="24"/>
          <w14:textFill>
            <w14:solidFill>
              <w14:schemeClr w14:val="tx1"/>
            </w14:solidFill>
          </w14:textFill>
        </w:rPr>
        <w:t>i</w:t>
      </w:r>
      <w:r>
        <w:rPr>
          <w:rFonts w:ascii="Times New Roman" w:hAnsiTheme="minorEastAsia" w:eastAsiaTheme="minorEastAsia"/>
          <w:color w:val="000000" w:themeColor="text1"/>
          <w:sz w:val="24"/>
          <w:szCs w:val="24"/>
          <w14:textFill>
            <w14:solidFill>
              <w14:schemeClr w14:val="tx1"/>
            </w14:solidFill>
          </w14:textFill>
        </w:rPr>
        <w:t>种污染物在监测取值时间内最大质量浓度值占相应标准质量浓度</w:t>
      </w:r>
    </w:p>
    <w:p>
      <w:pPr>
        <w:adjustRightInd w:val="0"/>
        <w:snapToGrid w:val="0"/>
        <w:spacing w:line="520" w:lineRule="exact"/>
        <w:ind w:firstLine="1920" w:firstLineChars="800"/>
        <w:jc w:val="left"/>
        <w:rPr>
          <w:rFonts w:ascii="Times New Roman" w:hAnsi="Times New Roman" w:eastAsiaTheme="minorEastAsia"/>
          <w:snapToGrid w:val="0"/>
          <w:color w:val="000000" w:themeColor="text1"/>
          <w:kern w:val="0"/>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限值的百分比。</w:t>
      </w:r>
    </w:p>
    <w:p>
      <w:pPr>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szCs w:val="24"/>
          <w:lang w:val="zh-CN"/>
          <w14:textFill>
            <w14:solidFill>
              <w14:schemeClr w14:val="tx1"/>
            </w14:solidFill>
          </w14:textFill>
        </w:rPr>
      </w:pPr>
      <w:r>
        <w:rPr>
          <w:rFonts w:ascii="Times New Roman" w:hAnsi="Times New Roman" w:eastAsiaTheme="minorEastAsia"/>
          <w:color w:val="000000" w:themeColor="text1"/>
          <w:sz w:val="24"/>
          <w:szCs w:val="24"/>
          <w:lang w:val="zh-CN"/>
          <w14:textFill>
            <w14:solidFill>
              <w14:schemeClr w14:val="tx1"/>
            </w14:solidFill>
          </w14:textFill>
        </w:rPr>
        <w:t xml:space="preserve"> </w:t>
      </w:r>
      <w:r>
        <w:rPr>
          <w:rFonts w:hint="eastAsia" w:ascii="Times New Roman" w:hAnsi="Times New Roman" w:eastAsiaTheme="minorEastAsia"/>
          <w:color w:val="000000" w:themeColor="text1"/>
          <w:sz w:val="24"/>
          <w:szCs w:val="24"/>
          <w:lang w:val="zh-CN"/>
          <w14:textFill>
            <w14:solidFill>
              <w14:schemeClr w14:val="tx1"/>
            </w14:solidFill>
          </w14:textFill>
        </w:rPr>
        <w:t>（3）评价</w:t>
      </w:r>
      <w:r>
        <w:rPr>
          <w:rFonts w:ascii="Times New Roman" w:hAnsi="Times New Roman" w:eastAsiaTheme="minorEastAsia"/>
          <w:color w:val="000000" w:themeColor="text1"/>
          <w:sz w:val="24"/>
          <w:szCs w:val="24"/>
          <w:lang w:val="zh-CN"/>
          <w14:textFill>
            <w14:solidFill>
              <w14:schemeClr w14:val="tx1"/>
            </w14:solidFill>
          </w14:textFill>
        </w:rPr>
        <w:t>结果</w:t>
      </w:r>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经对监测资料统计分析，其结果列于表</w:t>
      </w:r>
      <w:r>
        <w:rPr>
          <w:rFonts w:hint="eastAsia" w:ascii="Times New Roman" w:hAnsi="Times New Roman"/>
          <w:color w:val="000000" w:themeColor="text1"/>
          <w:sz w:val="24"/>
          <w:szCs w:val="24"/>
          <w:lang w:val="en-US" w:eastAsia="zh-CN"/>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w:t>
      </w:r>
    </w:p>
    <w:p>
      <w:pPr>
        <w:pStyle w:val="55"/>
        <w:tabs>
          <w:tab w:val="clear" w:pos="4153"/>
          <w:tab w:val="clear" w:pos="8306"/>
        </w:tabs>
        <w:adjustRightInd w:val="0"/>
        <w:spacing w:line="520" w:lineRule="exact"/>
        <w:ind w:right="0"/>
        <w:rPr>
          <w:rFonts w:ascii="Times New Roman" w:cs="Times New Roman" w:hAnsiTheme="minorEastAsia" w:eastAsiaTheme="minorEastAsia"/>
          <w:b/>
          <w:bCs/>
          <w:color w:val="000000" w:themeColor="text1"/>
          <w:kern w:val="0"/>
          <w:sz w:val="24"/>
          <w:szCs w:val="24"/>
          <w14:textFill>
            <w14:solidFill>
              <w14:schemeClr w14:val="tx1"/>
            </w14:solidFill>
          </w14:textFill>
        </w:rPr>
      </w:pPr>
      <w:r>
        <w:rPr>
          <w:rFonts w:hint="eastAsia" w:ascii="Times New Roman" w:cs="Times New Roman" w:hAnsiTheme="minorEastAsia" w:eastAsiaTheme="minorEastAsia"/>
          <w:b/>
          <w:bCs/>
          <w:color w:val="000000" w:themeColor="text1"/>
          <w:kern w:val="0"/>
          <w:sz w:val="24"/>
          <w:szCs w:val="24"/>
          <w14:textFill>
            <w14:solidFill>
              <w14:schemeClr w14:val="tx1"/>
            </w14:solidFill>
          </w14:textFill>
        </w:rPr>
        <w:t>表</w:t>
      </w:r>
      <w:r>
        <w:rPr>
          <w:rFonts w:ascii="Times New Roman" w:cs="Times New Roman" w:hAnsiTheme="minorEastAsia" w:eastAsiaTheme="minorEastAsia"/>
          <w:b/>
          <w:bCs/>
          <w:color w:val="000000" w:themeColor="text1"/>
          <w:kern w:val="0"/>
          <w:sz w:val="24"/>
          <w:szCs w:val="24"/>
          <w14:textFill>
            <w14:solidFill>
              <w14:schemeClr w14:val="tx1"/>
            </w14:solidFill>
          </w14:textFill>
        </w:rPr>
        <w:t xml:space="preserve"> </w:t>
      </w:r>
      <w:r>
        <w:rPr>
          <w:rFonts w:hint="eastAsia" w:ascii="Times New Roman" w:cs="Times New Roman" w:hAnsiTheme="minorEastAsia" w:eastAsiaTheme="minorEastAsia"/>
          <w:b/>
          <w:bCs/>
          <w:color w:val="000000" w:themeColor="text1"/>
          <w:kern w:val="0"/>
          <w:sz w:val="24"/>
          <w:szCs w:val="24"/>
          <w:lang w:val="en-US" w:eastAsia="zh-CN"/>
          <w14:textFill>
            <w14:solidFill>
              <w14:schemeClr w14:val="tx1"/>
            </w14:solidFill>
          </w14:textFill>
        </w:rPr>
        <w:t>5</w:t>
      </w:r>
      <w:r>
        <w:rPr>
          <w:rFonts w:hint="eastAsia" w:ascii="Times New Roman" w:cs="Times New Roman" w:hAnsiTheme="minorEastAsia" w:eastAsiaTheme="minorEastAsia"/>
          <w:b/>
          <w:bCs/>
          <w:color w:val="000000" w:themeColor="text1"/>
          <w:kern w:val="0"/>
          <w:sz w:val="24"/>
          <w:szCs w:val="24"/>
          <w14:textFill>
            <w14:solidFill>
              <w14:schemeClr w14:val="tx1"/>
            </w14:solidFill>
          </w14:textFill>
        </w:rPr>
        <w:t>.3-3 环境空气监测结果评价一览表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006"/>
        <w:gridCol w:w="1134"/>
        <w:gridCol w:w="1417"/>
        <w:gridCol w:w="1418"/>
        <w:gridCol w:w="1842"/>
        <w:gridCol w:w="1276"/>
        <w:gridCol w:w="10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00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点位</w:t>
            </w:r>
          </w:p>
        </w:tc>
        <w:tc>
          <w:tcPr>
            <w:tcW w:w="113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监测项目</w:t>
            </w:r>
          </w:p>
        </w:tc>
        <w:tc>
          <w:tcPr>
            <w:tcW w:w="14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最小值（</w:t>
            </w:r>
            <w:r>
              <w:rPr>
                <w:rFonts w:ascii="Times New Roman" w:hAnsi="Times New Roman"/>
                <w:color w:val="000000" w:themeColor="text1"/>
                <w:kern w:val="0"/>
                <w:sz w:val="18"/>
                <w:szCs w:val="18"/>
                <w14:textFill>
                  <w14:solidFill>
                    <w14:schemeClr w14:val="tx1"/>
                  </w14:solidFill>
                </w14:textFill>
              </w:rPr>
              <w:t>μg/m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w:t>
            </w:r>
          </w:p>
        </w:tc>
        <w:tc>
          <w:tcPr>
            <w:tcW w:w="14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最大值（</w:t>
            </w:r>
            <w:r>
              <w:rPr>
                <w:rFonts w:ascii="Times New Roman" w:hAnsi="Times New Roman"/>
                <w:color w:val="000000" w:themeColor="text1"/>
                <w:kern w:val="0"/>
                <w:sz w:val="18"/>
                <w:szCs w:val="18"/>
                <w14:textFill>
                  <w14:solidFill>
                    <w14:schemeClr w14:val="tx1"/>
                  </w14:solidFill>
                </w14:textFill>
              </w:rPr>
              <w:t>μg/m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w:t>
            </w:r>
          </w:p>
        </w:tc>
        <w:tc>
          <w:tcPr>
            <w:tcW w:w="184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最大浓度占标率（</w:t>
            </w:r>
            <w:r>
              <w:rPr>
                <w:rFonts w:ascii="Times New Roman" w:hAnsi="Times New Roman"/>
                <w:color w:val="000000" w:themeColor="text1"/>
                <w:kern w:val="0"/>
                <w:sz w:val="18"/>
                <w:szCs w:val="18"/>
                <w14:textFill>
                  <w14:solidFill>
                    <w14:schemeClr w14:val="tx1"/>
                  </w14:solidFill>
                </w14:textFill>
              </w:rPr>
              <w:t>%</w:t>
            </w:r>
            <w:r>
              <w:rPr>
                <w:rFonts w:ascii="Times New Roman" w:hAnsi="宋体"/>
                <w:color w:val="000000" w:themeColor="text1"/>
                <w:kern w:val="0"/>
                <w:sz w:val="18"/>
                <w:szCs w:val="18"/>
                <w14:textFill>
                  <w14:solidFill>
                    <w14:schemeClr w14:val="tx1"/>
                  </w14:solidFill>
                </w14:textFill>
              </w:rPr>
              <w:t>）</w:t>
            </w:r>
          </w:p>
        </w:tc>
        <w:tc>
          <w:tcPr>
            <w:tcW w:w="127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标准值（</w:t>
            </w:r>
            <w:r>
              <w:rPr>
                <w:rFonts w:ascii="Times New Roman" w:hAnsi="Times New Roman"/>
                <w:color w:val="000000" w:themeColor="text1"/>
                <w:kern w:val="0"/>
                <w:sz w:val="18"/>
                <w:szCs w:val="18"/>
                <w14:textFill>
                  <w14:solidFill>
                    <w14:schemeClr w14:val="tx1"/>
                  </w14:solidFill>
                </w14:textFill>
              </w:rPr>
              <w:t>μg/m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w:t>
            </w:r>
          </w:p>
        </w:tc>
        <w:tc>
          <w:tcPr>
            <w:tcW w:w="100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超标率（</w:t>
            </w:r>
            <w:r>
              <w:rPr>
                <w:rFonts w:ascii="Times New Roman" w:hAnsi="Times New Roman"/>
                <w:color w:val="000000" w:themeColor="text1"/>
                <w:kern w:val="0"/>
                <w:sz w:val="18"/>
                <w:szCs w:val="18"/>
                <w14:textFill>
                  <w14:solidFill>
                    <w14:schemeClr w14:val="tx1"/>
                  </w14:solidFill>
                </w14:textFill>
              </w:rPr>
              <w:t>%</w:t>
            </w:r>
            <w:r>
              <w:rPr>
                <w:rFonts w:ascii="Times New Roman" w:hAnsi="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06"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厂区下风向</w:t>
            </w:r>
          </w:p>
        </w:tc>
        <w:tc>
          <w:tcPr>
            <w:tcW w:w="113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氟化物</w:t>
            </w:r>
          </w:p>
        </w:tc>
        <w:tc>
          <w:tcPr>
            <w:tcW w:w="141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w:t>
            </w:r>
          </w:p>
        </w:tc>
        <w:tc>
          <w:tcPr>
            <w:tcW w:w="141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w:t>
            </w:r>
          </w:p>
        </w:tc>
        <w:tc>
          <w:tcPr>
            <w:tcW w:w="184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w:t>
            </w:r>
          </w:p>
        </w:tc>
        <w:tc>
          <w:tcPr>
            <w:tcW w:w="12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w:t>
            </w:r>
          </w:p>
        </w:tc>
        <w:tc>
          <w:tcPr>
            <w:tcW w:w="100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006"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13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氯</w:t>
            </w:r>
            <w:r>
              <w:rPr>
                <w:rFonts w:ascii="Times New Roman" w:hAnsi="Times New Roman"/>
                <w:color w:val="000000" w:themeColor="text1"/>
                <w:kern w:val="0"/>
                <w:sz w:val="18"/>
                <w:szCs w:val="18"/>
                <w14:textFill>
                  <w14:solidFill>
                    <w14:schemeClr w14:val="tx1"/>
                  </w14:solidFill>
                </w14:textFill>
              </w:rPr>
              <w:t>化氢</w:t>
            </w:r>
          </w:p>
        </w:tc>
        <w:tc>
          <w:tcPr>
            <w:tcW w:w="141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41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w:t>
            </w:r>
          </w:p>
        </w:tc>
        <w:tc>
          <w:tcPr>
            <w:tcW w:w="184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40</w:t>
            </w:r>
          </w:p>
        </w:tc>
        <w:tc>
          <w:tcPr>
            <w:tcW w:w="12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w:t>
            </w:r>
          </w:p>
        </w:tc>
        <w:tc>
          <w:tcPr>
            <w:tcW w:w="100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p>
        </w:tc>
      </w:tr>
    </w:tbl>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监测结果表明：监测期间项目所在区域环境空气中</w:t>
      </w:r>
      <w:r>
        <w:rPr>
          <w:rFonts w:hint="eastAsia" w:ascii="Times New Roman" w:hAnsiTheme="minorEastAsia" w:eastAsiaTheme="minorEastAsia"/>
          <w:color w:val="000000" w:themeColor="text1"/>
          <w:sz w:val="24"/>
          <w:szCs w:val="24"/>
          <w14:textFill>
            <w14:solidFill>
              <w14:schemeClr w14:val="tx1"/>
            </w14:solidFill>
          </w14:textFill>
        </w:rPr>
        <w:t>氟化物最大质量浓度能够满足《环境空气质量标准》（GB3095-2012）附录A参考浓度限值二级标准限值、氯化氢最大质量浓度能够满足《环境影响评价技术导则 大气环境》（HJ2.2-2018）附录D中限值要求。</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58" w:name="_Toc2049"/>
      <w:bookmarkStart w:id="359" w:name="_Toc17609"/>
      <w:bookmarkStart w:id="360" w:name="_Toc4789"/>
      <w:bookmarkStart w:id="361" w:name="_Toc25589"/>
      <w:bookmarkStart w:id="362" w:name="_Toc31261"/>
      <w:bookmarkStart w:id="363" w:name="_Toc27826"/>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.3.2地表水环境质量现状评价</w:t>
      </w:r>
      <w:bookmarkEnd w:id="358"/>
      <w:bookmarkEnd w:id="359"/>
      <w:bookmarkEnd w:id="360"/>
      <w:bookmarkEnd w:id="361"/>
      <w:bookmarkEnd w:id="362"/>
      <w:bookmarkEnd w:id="363"/>
    </w:p>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根据《环境影响评价技术导则</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地表水环境》（HJ2.3-2018），确定</w:t>
      </w:r>
      <w:r>
        <w:rPr>
          <w:rFonts w:hint="eastAsia" w:ascii="Times New Roman" w:hAnsiTheme="minorEastAsia" w:eastAsiaTheme="minorEastAsia"/>
          <w:color w:val="000000" w:themeColor="text1"/>
          <w:sz w:val="24"/>
          <w:szCs w:val="24"/>
          <w14:textFill>
            <w14:solidFill>
              <w14:schemeClr w14:val="tx1"/>
            </w14:solidFill>
          </w14:textFill>
        </w:rPr>
        <w:t>本项目地表水环境</w:t>
      </w:r>
      <w:r>
        <w:rPr>
          <w:rFonts w:ascii="Times New Roman" w:hAnsiTheme="minorEastAsia" w:eastAsiaTheme="minorEastAsia"/>
          <w:color w:val="000000" w:themeColor="text1"/>
          <w:sz w:val="24"/>
          <w:szCs w:val="24"/>
          <w14:textFill>
            <w14:solidFill>
              <w14:schemeClr w14:val="tx1"/>
            </w14:solidFill>
          </w14:textFill>
        </w:rPr>
        <w:t>现状调查范围为：三板湖污水处理厂入长江排污口上游500m至下游约2.5km范围水域。</w:t>
      </w:r>
    </w:p>
    <w:p>
      <w:pPr>
        <w:adjustRightInd w:val="0"/>
        <w:snapToGrid w:val="0"/>
        <w:spacing w:line="520" w:lineRule="exact"/>
        <w:ind w:firstLine="480" w:firstLineChars="200"/>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（1）监测数据来源</w:t>
      </w:r>
    </w:p>
    <w:p>
      <w:pPr>
        <w:adjustRightInd w:val="0"/>
        <w:snapToGrid w:val="0"/>
        <w:spacing w:line="520" w:lineRule="exact"/>
        <w:ind w:firstLine="480" w:firstLineChars="200"/>
        <w:rPr>
          <w:rFonts w:ascii="Times New Roman" w:hAnsiTheme="minorEastAsia" w:eastAsiaTheme="minorEastAsia"/>
          <w:color w:val="000000" w:themeColor="text1"/>
          <w:sz w:val="24"/>
          <w:szCs w:val="24"/>
          <w:highlight w:val="yellow"/>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本</w:t>
      </w:r>
      <w:r>
        <w:rPr>
          <w:rFonts w:ascii="Times New Roman" w:hAnsi="Times New Roman" w:eastAsiaTheme="minorEastAsia"/>
          <w:color w:val="000000" w:themeColor="text1"/>
          <w:sz w:val="24"/>
          <w:szCs w:val="24"/>
          <w14:textFill>
            <w14:solidFill>
              <w14:schemeClr w14:val="tx1"/>
            </w14:solidFill>
          </w14:textFill>
        </w:rPr>
        <w:t>项目位于宜昌化工园宜都园区内，本次</w:t>
      </w:r>
      <w:r>
        <w:rPr>
          <w:rFonts w:hint="eastAsia" w:ascii="Times New Roman" w:hAnsi="Times New Roman" w:eastAsiaTheme="minorEastAsia"/>
          <w:color w:val="000000" w:themeColor="text1"/>
          <w:sz w:val="24"/>
          <w:szCs w:val="24"/>
          <w14:textFill>
            <w14:solidFill>
              <w14:schemeClr w14:val="tx1"/>
            </w14:solidFill>
          </w14:textFill>
        </w:rPr>
        <w:t>评价</w:t>
      </w:r>
      <w:r>
        <w:rPr>
          <w:rFonts w:ascii="Times New Roman" w:hAnsi="Times New Roman" w:eastAsiaTheme="minorEastAsia"/>
          <w:color w:val="000000" w:themeColor="text1"/>
          <w:sz w:val="24"/>
          <w:szCs w:val="24"/>
          <w14:textFill>
            <w14:solidFill>
              <w14:schemeClr w14:val="tx1"/>
            </w14:solidFill>
          </w14:textFill>
        </w:rPr>
        <w:t>引用《湖北宜都化工园区总体规划（2020-2035年）环境影响报告书》中</w:t>
      </w:r>
      <w:r>
        <w:rPr>
          <w:rFonts w:hint="eastAsia" w:ascii="Times New Roman" w:hAnsi="Times New Roman" w:eastAsiaTheme="minorEastAsia"/>
          <w:color w:val="000000" w:themeColor="text1"/>
          <w:sz w:val="24"/>
          <w:szCs w:val="24"/>
          <w14:textFill>
            <w14:solidFill>
              <w14:schemeClr w14:val="tx1"/>
            </w14:solidFill>
          </w14:textFill>
        </w:rPr>
        <w:t>地表水环境质量监测数据。湖北迅捷检测有限公司于2020年12月10日至12月12日在园区上游、中部、下游和园区主要排污口处设置监测断面，水质监测项目为pH值、高锰酸盐指数、化学需氧量、五日生化需氧量、氨氮、总氮、总磷、氟化物、硫化物、挥发酚、氰化物、六价铬、总铬、总镍、总铜、总银、砷、石油类、粪大肠菌群、二氯甲烷、甲苯等。连续采样三天，每天1次。本次评价利用其监测成果进行评价，引用</w:t>
      </w:r>
      <w:r>
        <w:rPr>
          <w:rFonts w:ascii="Times New Roman" w:hAnsi="Times New Roman" w:eastAsiaTheme="minorEastAsia"/>
          <w:color w:val="000000" w:themeColor="text1"/>
          <w:sz w:val="24"/>
          <w:szCs w:val="24"/>
          <w14:textFill>
            <w14:solidFill>
              <w14:schemeClr w14:val="tx1"/>
            </w14:solidFill>
          </w14:textFill>
        </w:rPr>
        <w:t>数据</w:t>
      </w:r>
      <w:r>
        <w:rPr>
          <w:rFonts w:hint="eastAsia" w:ascii="Times New Roman" w:hAnsi="Times New Roman" w:eastAsiaTheme="minorEastAsia"/>
          <w:color w:val="000000" w:themeColor="text1"/>
          <w:sz w:val="24"/>
          <w:szCs w:val="24"/>
          <w14:textFill>
            <w14:solidFill>
              <w14:schemeClr w14:val="tx1"/>
            </w14:solidFill>
          </w14:textFill>
        </w:rPr>
        <w:t>可行</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引用</w:t>
      </w:r>
      <w:r>
        <w:rPr>
          <w:rFonts w:ascii="Times New Roman" w:hAnsi="Times New Roman" w:eastAsiaTheme="minorEastAsia"/>
          <w:color w:val="000000" w:themeColor="text1"/>
          <w:sz w:val="24"/>
          <w:szCs w:val="24"/>
          <w14:textFill>
            <w14:solidFill>
              <w14:schemeClr w14:val="tx1"/>
            </w14:solidFill>
          </w14:textFill>
        </w:rPr>
        <w:t>断面具体位置见表</w:t>
      </w:r>
      <w:r>
        <w:rPr>
          <w:rFonts w:hint="eastAsia" w:ascii="Times New Roman" w:hAnsi="Times New Roman" w:eastAsiaTheme="minorEastAsia"/>
          <w:color w:val="000000" w:themeColor="text1"/>
          <w:sz w:val="24"/>
          <w:szCs w:val="24"/>
          <w:lang w:val="en-US" w:eastAsia="zh-CN"/>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lang w:val="en-US" w:eastAsia="zh-CN"/>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4</w:t>
      </w:r>
      <w:r>
        <w:rPr>
          <w:rFonts w:ascii="Times New Roman" w:hAnsi="Times New Roman" w:eastAsiaTheme="minorEastAsia"/>
          <w:color w:val="000000" w:themeColor="text1"/>
          <w:sz w:val="24"/>
          <w:szCs w:val="24"/>
          <w14:textFill>
            <w14:solidFill>
              <w14:schemeClr w14:val="tx1"/>
            </w14:solidFill>
          </w14:textFill>
        </w:rPr>
        <w:t>。</w:t>
      </w:r>
    </w:p>
    <w:p>
      <w:pPr>
        <w:tabs>
          <w:tab w:val="left" w:pos="898"/>
        </w:tabs>
        <w:adjustRightInd w:val="0"/>
        <w:snapToGrid w:val="0"/>
        <w:spacing w:line="520" w:lineRule="exact"/>
        <w:rPr>
          <w:rFonts w:ascii="Times New Roman" w:hAnsiTheme="minorEastAsia" w:eastAsiaTheme="minorEastAsia"/>
          <w:color w:val="000000" w:themeColor="text1"/>
          <w:sz w:val="24"/>
          <w:szCs w:val="24"/>
          <w14:textFill>
            <w14:solidFill>
              <w14:schemeClr w14:val="tx1"/>
            </w14:solidFill>
          </w14:textFill>
        </w:rPr>
      </w:pPr>
    </w:p>
    <w:p>
      <w:pPr>
        <w:pStyle w:val="107"/>
        <w:rPr>
          <w:rFonts w:ascii="Times New Roman" w:cs="Times New Roman" w:hAnsiTheme="minorEastAsia" w:eastAsiaTheme="minorEastAsia"/>
          <w:color w:val="000000" w:themeColor="text1"/>
          <w14:textFill>
            <w14:solidFill>
              <w14:schemeClr w14:val="tx1"/>
            </w14:solidFill>
          </w14:textFill>
        </w:rPr>
      </w:pPr>
    </w:p>
    <w:p>
      <w:pPr>
        <w:ind w:firstLine="2409" w:firstLineChars="1000"/>
        <w:rPr>
          <w:rFonts w:ascii="Times New Roman" w:hAnsi="Times New Roman" w:eastAsiaTheme="minorEastAsia"/>
          <w:b/>
          <w:bCs/>
          <w:color w:val="000000" w:themeColor="text1"/>
          <w:sz w:val="24"/>
          <w:szCs w:val="24"/>
          <w14:textFill>
            <w14:solidFill>
              <w14:schemeClr w14:val="tx1"/>
            </w14:solidFill>
          </w14:textFill>
        </w:rPr>
      </w:pPr>
    </w:p>
    <w:p>
      <w:pPr>
        <w:ind w:firstLine="2409" w:firstLineChars="1000"/>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表</w:t>
      </w: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5</w:t>
      </w:r>
      <w:r>
        <w:rPr>
          <w:rFonts w:ascii="Times New Roman" w:hAnsi="Times New Roman" w:eastAsiaTheme="minorEastAsia"/>
          <w:b/>
          <w:bCs/>
          <w:color w:val="000000" w:themeColor="text1"/>
          <w:sz w:val="24"/>
          <w:szCs w:val="24"/>
          <w14:textFill>
            <w14:solidFill>
              <w14:schemeClr w14:val="tx1"/>
            </w14:solidFill>
          </w14:textFill>
        </w:rPr>
        <w:t>.</w:t>
      </w:r>
      <w:r>
        <w:rPr>
          <w:rFonts w:hint="eastAsia" w:ascii="Times New Roman" w:hAnsi="Times New Roman" w:eastAsiaTheme="minorEastAsia"/>
          <w:b/>
          <w:bCs/>
          <w:color w:val="000000" w:themeColor="text1"/>
          <w:sz w:val="24"/>
          <w:szCs w:val="24"/>
          <w14:textFill>
            <w14:solidFill>
              <w14:schemeClr w14:val="tx1"/>
            </w14:solidFill>
          </w14:textFill>
        </w:rPr>
        <w:t>3</w:t>
      </w:r>
      <w:r>
        <w:rPr>
          <w:rFonts w:ascii="Times New Roman" w:hAnsi="Times New Roman" w:eastAsiaTheme="minorEastAsia"/>
          <w:b/>
          <w:bCs/>
          <w:color w:val="000000" w:themeColor="text1"/>
          <w:sz w:val="24"/>
          <w:szCs w:val="24"/>
          <w14:textFill>
            <w14:solidFill>
              <w14:schemeClr w14:val="tx1"/>
            </w14:solidFill>
          </w14:textFill>
        </w:rPr>
        <w:t>-</w:t>
      </w:r>
      <w:r>
        <w:rPr>
          <w:rFonts w:hint="eastAsia" w:ascii="Times New Roman" w:hAnsi="Times New Roman" w:eastAsiaTheme="minorEastAsia"/>
          <w:b/>
          <w:bCs/>
          <w:color w:val="000000" w:themeColor="text1"/>
          <w:sz w:val="24"/>
          <w:szCs w:val="24"/>
          <w14:textFill>
            <w14:solidFill>
              <w14:schemeClr w14:val="tx1"/>
            </w14:solidFill>
          </w14:textFill>
        </w:rPr>
        <w:t xml:space="preserve">4  </w:t>
      </w:r>
      <w:r>
        <w:rPr>
          <w:rFonts w:ascii="Times New Roman" w:hAnsi="Times New Roman" w:eastAsiaTheme="minorEastAsia"/>
          <w:b/>
          <w:bCs/>
          <w:color w:val="000000" w:themeColor="text1"/>
          <w:sz w:val="24"/>
          <w:szCs w:val="24"/>
          <w14:textFill>
            <w14:solidFill>
              <w14:schemeClr w14:val="tx1"/>
            </w14:solidFill>
          </w14:textFill>
        </w:rPr>
        <w:t>水质监测断面布设说明一览表</w:t>
      </w:r>
    </w:p>
    <w:tbl>
      <w:tblPr>
        <w:tblStyle w:val="87"/>
        <w:tblW w:w="9237" w:type="dxa"/>
        <w:tblInd w:w="12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72"/>
        <w:gridCol w:w="3385"/>
        <w:gridCol w:w="1407"/>
        <w:gridCol w:w="17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0" w:hRule="atLeast"/>
        </w:trPr>
        <w:tc>
          <w:tcPr>
            <w:tcW w:w="2672" w:type="dxa"/>
            <w:tcBorders>
              <w:tl2br w:val="nil"/>
              <w:tr2bl w:val="nil"/>
            </w:tcBorders>
          </w:tcPr>
          <w:p>
            <w:pPr>
              <w:pStyle w:val="383"/>
              <w:spacing w:before="2"/>
              <w:ind w:left="218"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监测断面编号</w:t>
            </w:r>
          </w:p>
          <w:p>
            <w:pPr>
              <w:pStyle w:val="383"/>
              <w:spacing w:before="2" w:line="212" w:lineRule="exact"/>
              <w:ind w:left="218"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（同检测报告中断面序号）</w:t>
            </w:r>
          </w:p>
        </w:tc>
        <w:tc>
          <w:tcPr>
            <w:tcW w:w="3385"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监测断面位置</w:t>
            </w:r>
          </w:p>
        </w:tc>
        <w:tc>
          <w:tcPr>
            <w:tcW w:w="1407"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功能区划</w:t>
            </w:r>
          </w:p>
        </w:tc>
        <w:tc>
          <w:tcPr>
            <w:tcW w:w="1773"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672"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w:t>
            </w:r>
          </w:p>
        </w:tc>
        <w:tc>
          <w:tcPr>
            <w:tcW w:w="3385"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color w:val="000000" w:themeColor="text1"/>
                <w:sz w:val="18"/>
                <w14:textFill>
                  <w14:solidFill>
                    <w14:schemeClr w14:val="tx1"/>
                  </w14:solidFill>
                </w14:textFill>
              </w:rPr>
              <w:t>长江枝城长江大桥处</w:t>
            </w:r>
          </w:p>
        </w:tc>
        <w:tc>
          <w:tcPr>
            <w:tcW w:w="1407"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 类</w:t>
            </w:r>
          </w:p>
        </w:tc>
        <w:tc>
          <w:tcPr>
            <w:tcW w:w="1773"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对照断面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09" w:hRule="atLeast"/>
        </w:trPr>
        <w:tc>
          <w:tcPr>
            <w:tcW w:w="2672"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w:t>
            </w:r>
          </w:p>
        </w:tc>
        <w:tc>
          <w:tcPr>
            <w:tcW w:w="3385"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长江三板湖污水处理厂下游 1000m</w:t>
            </w:r>
          </w:p>
        </w:tc>
        <w:tc>
          <w:tcPr>
            <w:tcW w:w="1407"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III 类</w:t>
            </w:r>
          </w:p>
        </w:tc>
        <w:tc>
          <w:tcPr>
            <w:tcW w:w="1773"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控制断面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2" w:hRule="atLeast"/>
        </w:trPr>
        <w:tc>
          <w:tcPr>
            <w:tcW w:w="2672"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11#</w:t>
            </w:r>
          </w:p>
        </w:tc>
        <w:tc>
          <w:tcPr>
            <w:tcW w:w="3385"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长江洋溪下游 1000m</w:t>
            </w:r>
          </w:p>
        </w:tc>
        <w:tc>
          <w:tcPr>
            <w:tcW w:w="1407"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III 类</w:t>
            </w:r>
          </w:p>
        </w:tc>
        <w:tc>
          <w:tcPr>
            <w:tcW w:w="1773"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color w:val="000000" w:themeColor="text1"/>
                <w:sz w:val="18"/>
                <w14:textFill>
                  <w14:solidFill>
                    <w14:schemeClr w14:val="tx1"/>
                  </w14:solidFill>
                </w14:textFill>
              </w:rPr>
              <w:t>削减断面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02" w:hRule="atLeast"/>
        </w:trPr>
        <w:tc>
          <w:tcPr>
            <w:tcW w:w="9237" w:type="dxa"/>
            <w:gridSpan w:val="4"/>
            <w:tcBorders>
              <w:tl2br w:val="nil"/>
              <w:tr2bl w:val="nil"/>
            </w:tcBorders>
          </w:tcPr>
          <w:p>
            <w:pPr>
              <w:pStyle w:val="383"/>
              <w:spacing w:before="55"/>
              <w:ind w:left="1249" w:right="124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长江为特大河，每监测断面各设距岸（左、右）边 50m 取样垂线、河中取样线。</w:t>
            </w:r>
          </w:p>
        </w:tc>
      </w:tr>
    </w:tbl>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采样及分析方法、监测频次均按国家有关规定进行。监测项目及采样、分析方法详见表</w:t>
      </w:r>
      <w:r>
        <w:rPr>
          <w:rFonts w:hint="eastAsia" w:ascii="Times New Roman" w:hAnsiTheme="minorEastAsia" w:eastAsiaTheme="minorEastAsia"/>
          <w:color w:val="000000" w:themeColor="text1"/>
          <w:sz w:val="24"/>
          <w:szCs w:val="24"/>
          <w:lang w:val="en-US" w:eastAsia="zh-CN"/>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w:t>
      </w:r>
    </w:p>
    <w:p>
      <w:pPr>
        <w:rPr>
          <w:color w:val="000000" w:themeColor="text1"/>
          <w14:textFill>
            <w14:solidFill>
              <w14:schemeClr w14:val="tx1"/>
            </w14:solidFill>
          </w14:textFill>
        </w:rPr>
      </w:pPr>
    </w:p>
    <w:p>
      <w:pPr>
        <w:ind w:firstLine="2409" w:firstLineChars="1000"/>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5</w:t>
      </w:r>
      <w:r>
        <w:rPr>
          <w:rFonts w:ascii="Times New Roman" w:hAnsi="Times New Roman" w:eastAsiaTheme="minorEastAsia"/>
          <w:b/>
          <w:bCs/>
          <w:color w:val="000000" w:themeColor="text1"/>
          <w:sz w:val="24"/>
          <w:szCs w:val="24"/>
          <w14:textFill>
            <w14:solidFill>
              <w14:schemeClr w14:val="tx1"/>
            </w14:solidFill>
          </w14:textFill>
        </w:rPr>
        <w:t>.</w:t>
      </w:r>
      <w:r>
        <w:rPr>
          <w:rFonts w:hint="eastAsia" w:ascii="Times New Roman" w:hAnsi="Times New Roman" w:eastAsiaTheme="minorEastAsia"/>
          <w:b/>
          <w:bCs/>
          <w:color w:val="000000" w:themeColor="text1"/>
          <w:sz w:val="24"/>
          <w:szCs w:val="24"/>
          <w14:textFill>
            <w14:solidFill>
              <w14:schemeClr w14:val="tx1"/>
            </w14:solidFill>
          </w14:textFill>
        </w:rPr>
        <w:t>3</w:t>
      </w:r>
      <w:r>
        <w:rPr>
          <w:rFonts w:ascii="Times New Roman" w:hAnsi="Times New Roman" w:eastAsiaTheme="minorEastAsia"/>
          <w:b/>
          <w:bCs/>
          <w:color w:val="000000" w:themeColor="text1"/>
          <w:sz w:val="24"/>
          <w:szCs w:val="24"/>
          <w14:textFill>
            <w14:solidFill>
              <w14:schemeClr w14:val="tx1"/>
            </w14:solidFill>
          </w14:textFill>
        </w:rPr>
        <w:t>-</w:t>
      </w: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5</w:t>
      </w:r>
      <w:r>
        <w:rPr>
          <w:rFonts w:hint="eastAsia"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imes New Roman" w:eastAsia="Times New Roman"/>
          <w:b/>
          <w:color w:val="000000" w:themeColor="text1"/>
          <w:sz w:val="24"/>
          <w:szCs w:val="24"/>
          <w14:textFill>
            <w14:solidFill>
              <w14:schemeClr w14:val="tx1"/>
            </w14:solidFill>
          </w14:textFill>
        </w:rPr>
        <w:tab/>
      </w:r>
      <w:r>
        <w:rPr>
          <w:rFonts w:hint="eastAsia" w:ascii="Times New Roman" w:hAnsi="Times New Roman"/>
          <w:b/>
          <w:color w:val="000000" w:themeColor="text1"/>
          <w:sz w:val="24"/>
          <w:szCs w:val="24"/>
          <w14:textFill>
            <w14:solidFill>
              <w14:schemeClr w14:val="tx1"/>
            </w14:solidFill>
          </w14:textFill>
        </w:rPr>
        <w:t>地表水</w:t>
      </w:r>
      <w:r>
        <w:rPr>
          <w:rFonts w:ascii="Times New Roman" w:hAnsi="Times New Roman" w:eastAsiaTheme="minorEastAsia"/>
          <w:b/>
          <w:bCs/>
          <w:color w:val="000000" w:themeColor="text1"/>
          <w:sz w:val="24"/>
          <w:szCs w:val="24"/>
          <w14:textFill>
            <w14:solidFill>
              <w14:schemeClr w14:val="tx1"/>
            </w14:solidFill>
          </w14:textFill>
        </w:rPr>
        <w:t>水质</w:t>
      </w:r>
      <w:r>
        <w:rPr>
          <w:rFonts w:hint="eastAsia" w:ascii="Times New Roman" w:hAnsi="Times New Roman" w:eastAsiaTheme="minorEastAsia"/>
          <w:b/>
          <w:bCs/>
          <w:color w:val="000000" w:themeColor="text1"/>
          <w:sz w:val="24"/>
          <w:szCs w:val="24"/>
          <w14:textFill>
            <w14:solidFill>
              <w14:schemeClr w14:val="tx1"/>
            </w14:solidFill>
          </w14:textFill>
        </w:rPr>
        <w:t>监测项目及分析方法一览表</w:t>
      </w:r>
    </w:p>
    <w:tbl>
      <w:tblPr>
        <w:tblStyle w:val="87"/>
        <w:tblW w:w="9117" w:type="dxa"/>
        <w:tblInd w:w="12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0" w:type="dxa"/>
          <w:bottom w:w="0" w:type="dxa"/>
          <w:right w:w="0" w:type="dxa"/>
        </w:tblCellMar>
      </w:tblPr>
      <w:tblGrid>
        <w:gridCol w:w="912"/>
        <w:gridCol w:w="982"/>
        <w:gridCol w:w="2567"/>
        <w:gridCol w:w="1901"/>
        <w:gridCol w:w="1342"/>
        <w:gridCol w:w="14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PrEx>
        <w:trPr>
          <w:trHeight w:val="467" w:hRule="atLeast"/>
        </w:trPr>
        <w:tc>
          <w:tcPr>
            <w:tcW w:w="912"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检测</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类别</w:t>
            </w:r>
          </w:p>
        </w:tc>
        <w:tc>
          <w:tcPr>
            <w:tcW w:w="982"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检测</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项目</w:t>
            </w:r>
          </w:p>
        </w:tc>
        <w:tc>
          <w:tcPr>
            <w:tcW w:w="2567"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检测方法</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监测仪器</w:t>
            </w:r>
          </w:p>
        </w:tc>
        <w:tc>
          <w:tcPr>
            <w:tcW w:w="1342"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仪器编号</w:t>
            </w:r>
          </w:p>
        </w:tc>
        <w:tc>
          <w:tcPr>
            <w:tcW w:w="1413"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方法检出限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6" w:hRule="atLeast"/>
        </w:trPr>
        <w:tc>
          <w:tcPr>
            <w:tcW w:w="912" w:type="dxa"/>
            <w:vMerge w:val="restart"/>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地表水</w:t>
            </w:r>
          </w:p>
        </w:tc>
        <w:tc>
          <w:tcPr>
            <w:tcW w:w="982" w:type="dxa"/>
            <w:tcBorders>
              <w:tl2br w:val="nil"/>
              <w:tr2bl w:val="nil"/>
            </w:tcBorders>
          </w:tcPr>
          <w:p>
            <w:pPr>
              <w:pStyle w:val="383"/>
              <w:spacing w:before="117"/>
              <w:ind w:left="21"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pH 值</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 xml:space="preserve">水质 </w:t>
            </w:r>
            <w:r>
              <w:rPr>
                <w:rFonts w:ascii="Times New Roman" w:hAnsi="Times New Roman"/>
                <w:color w:val="000000" w:themeColor="text1"/>
                <w:kern w:val="0"/>
                <w:sz w:val="18"/>
                <w:szCs w:val="18"/>
                <w14:textFill>
                  <w14:solidFill>
                    <w14:schemeClr w14:val="tx1"/>
                  </w14:solidFill>
                </w14:textFill>
              </w:rPr>
              <w:t xml:space="preserve">pH </w:t>
            </w:r>
            <w:r>
              <w:rPr>
                <w:rFonts w:hint="eastAsia" w:ascii="Times New Roman" w:hAnsi="Times New Roman"/>
                <w:color w:val="000000" w:themeColor="text1"/>
                <w:kern w:val="0"/>
                <w:sz w:val="18"/>
                <w:szCs w:val="18"/>
                <w14:textFill>
                  <w14:solidFill>
                    <w14:schemeClr w14:val="tx1"/>
                  </w14:solidFill>
                </w14:textFill>
              </w:rPr>
              <w:t xml:space="preserve">的测定玻璃电极法 </w:t>
            </w:r>
            <w:r>
              <w:rPr>
                <w:rFonts w:ascii="Times New Roman" w:hAnsi="Times New Roman"/>
                <w:color w:val="000000" w:themeColor="text1"/>
                <w:kern w:val="0"/>
                <w:sz w:val="18"/>
                <w:szCs w:val="18"/>
                <w14:textFill>
                  <w14:solidFill>
                    <w14:schemeClr w14:val="tx1"/>
                  </w14:solidFill>
                </w14:textFill>
              </w:rPr>
              <w:t>GB 6920-86</w:t>
            </w:r>
          </w:p>
        </w:tc>
        <w:tc>
          <w:tcPr>
            <w:tcW w:w="1901"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DZS-708-A型多参数分</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析仪</w:t>
            </w:r>
          </w:p>
        </w:tc>
        <w:tc>
          <w:tcPr>
            <w:tcW w:w="1342"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XJFX003-01</w:t>
            </w:r>
          </w:p>
        </w:tc>
        <w:tc>
          <w:tcPr>
            <w:tcW w:w="1413" w:type="dxa"/>
            <w:tcBorders>
              <w:tl2br w:val="nil"/>
              <w:tr2bl w:val="nil"/>
            </w:tcBorders>
          </w:tcPr>
          <w:p>
            <w:pPr>
              <w:pStyle w:val="383"/>
              <w:spacing w:before="117"/>
              <w:ind w:left="235" w:right="231"/>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0.01pH 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621"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77" w:line="242" w:lineRule="auto"/>
              <w:ind w:left="401" w:right="33" w:hanging="360"/>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高锰酸盐指数</w:t>
            </w:r>
          </w:p>
        </w:tc>
        <w:tc>
          <w:tcPr>
            <w:tcW w:w="2567"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水质高锰酸盐指数的测定</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GB 11892-89</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HH-6型数显恒温水浴锅</w:t>
            </w:r>
          </w:p>
        </w:tc>
        <w:tc>
          <w:tcPr>
            <w:tcW w:w="1342"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XJFZ003-01 XJFZ003-02</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XJFZ003-03</w:t>
            </w:r>
          </w:p>
        </w:tc>
        <w:tc>
          <w:tcPr>
            <w:tcW w:w="1413" w:type="dxa"/>
            <w:tcBorders>
              <w:tl2br w:val="nil"/>
              <w:tr2bl w:val="nil"/>
            </w:tcBorders>
          </w:tcPr>
          <w:p>
            <w:pPr>
              <w:pStyle w:val="383"/>
              <w:spacing w:before="12"/>
              <w:jc w:val="center"/>
              <w:rPr>
                <w:rFonts w:ascii="Times New Roman" w:hAnsi="Times New Roman" w:cs="Times New Roman"/>
                <w:b/>
                <w:color w:val="000000" w:themeColor="text1"/>
                <w:sz w:val="18"/>
                <w:szCs w:val="18"/>
                <w14:textFill>
                  <w14:solidFill>
                    <w14:schemeClr w14:val="tx1"/>
                  </w14:solidFill>
                </w14:textFill>
              </w:rPr>
            </w:pPr>
          </w:p>
          <w:p>
            <w:pPr>
              <w:pStyle w:val="383"/>
              <w:ind w:left="235" w:right="231"/>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620"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77" w:line="242" w:lineRule="auto"/>
              <w:ind w:left="221" w:right="213" w:firstLine="88"/>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化学需氧量</w:t>
            </w:r>
          </w:p>
        </w:tc>
        <w:tc>
          <w:tcPr>
            <w:tcW w:w="2567"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 xml:space="preserve">水质化学需氧量的测定重铬酸钾法 </w:t>
            </w:r>
            <w:r>
              <w:rPr>
                <w:rFonts w:ascii="Times New Roman" w:hAnsi="Times New Roman"/>
                <w:color w:val="000000" w:themeColor="text1"/>
                <w:kern w:val="0"/>
                <w:sz w:val="18"/>
                <w:szCs w:val="18"/>
                <w14:textFill>
                  <w14:solidFill>
                    <w14:schemeClr w14:val="tx1"/>
                  </w14:solidFill>
                </w14:textFill>
              </w:rPr>
              <w:t>HJ 828-2017</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HCA-108 型</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标准消解器</w:t>
            </w:r>
          </w:p>
        </w:tc>
        <w:tc>
          <w:tcPr>
            <w:tcW w:w="1342"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XJFZ007-01 XJFZ007-02 XJFZ007-03</w:t>
            </w:r>
          </w:p>
        </w:tc>
        <w:tc>
          <w:tcPr>
            <w:tcW w:w="1413" w:type="dxa"/>
            <w:tcBorders>
              <w:tl2br w:val="nil"/>
              <w:tr2bl w:val="nil"/>
            </w:tcBorders>
          </w:tcPr>
          <w:p>
            <w:pPr>
              <w:pStyle w:val="383"/>
              <w:spacing w:before="12"/>
              <w:jc w:val="center"/>
              <w:rPr>
                <w:rFonts w:ascii="Times New Roman" w:hAnsi="Times New Roman" w:cs="Times New Roman"/>
                <w:b/>
                <w:color w:val="000000" w:themeColor="text1"/>
                <w:sz w:val="18"/>
                <w:szCs w:val="18"/>
                <w14:textFill>
                  <w14:solidFill>
                    <w14:schemeClr w14:val="tx1"/>
                  </w14:solidFill>
                </w14:textFill>
              </w:rPr>
            </w:pPr>
          </w:p>
          <w:p>
            <w:pPr>
              <w:pStyle w:val="383"/>
              <w:ind w:left="235" w:right="231"/>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6"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五日生化需氧量</w:t>
            </w:r>
          </w:p>
        </w:tc>
        <w:tc>
          <w:tcPr>
            <w:tcW w:w="2567"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水质五日生化需氧量（</w:t>
            </w:r>
            <w:r>
              <w:rPr>
                <w:rFonts w:ascii="Times New Roman" w:hAnsi="Times New Roman"/>
                <w:color w:val="000000" w:themeColor="text1"/>
                <w:kern w:val="0"/>
                <w:sz w:val="18"/>
                <w:szCs w:val="18"/>
                <w14:textFill>
                  <w14:solidFill>
                    <w14:schemeClr w14:val="tx1"/>
                  </w14:solidFill>
                </w14:textFill>
              </w:rPr>
              <w:t>BOD5</w:t>
            </w:r>
            <w:r>
              <w:rPr>
                <w:rFonts w:hint="eastAsia" w:ascii="Times New Roman" w:hAnsi="Times New Roman"/>
                <w:color w:val="000000" w:themeColor="text1"/>
                <w:kern w:val="0"/>
                <w:sz w:val="18"/>
                <w:szCs w:val="18"/>
                <w14:textFill>
                  <w14:solidFill>
                    <w14:schemeClr w14:val="tx1"/>
                  </w14:solidFill>
                </w14:textFill>
              </w:rPr>
              <w:t>）的测定稀释与培种法</w:t>
            </w:r>
            <w:r>
              <w:rPr>
                <w:rFonts w:ascii="Times New Roman" w:hAnsi="Times New Roman"/>
                <w:color w:val="000000" w:themeColor="text1"/>
                <w:kern w:val="0"/>
                <w:sz w:val="18"/>
                <w:szCs w:val="18"/>
                <w14:textFill>
                  <w14:solidFill>
                    <w14:schemeClr w14:val="tx1"/>
                  </w14:solidFill>
                </w14:textFill>
              </w:rPr>
              <w:t>HJ 505-2009</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SPX-100B-Z 型生化培养箱</w:t>
            </w:r>
          </w:p>
        </w:tc>
        <w:tc>
          <w:tcPr>
            <w:tcW w:w="1342" w:type="dxa"/>
            <w:tcBorders>
              <w:tl2br w:val="nil"/>
              <w:tr2bl w:val="nil"/>
            </w:tcBorders>
          </w:tcPr>
          <w:p>
            <w:pPr>
              <w:pStyle w:val="383"/>
              <w:spacing w:before="128"/>
              <w:ind w:left="180" w:right="17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XJFX006-01</w:t>
            </w:r>
          </w:p>
        </w:tc>
        <w:tc>
          <w:tcPr>
            <w:tcW w:w="1413" w:type="dxa"/>
            <w:tcBorders>
              <w:tl2br w:val="nil"/>
              <w:tr2bl w:val="nil"/>
            </w:tcBorders>
          </w:tcPr>
          <w:p>
            <w:pPr>
              <w:pStyle w:val="383"/>
              <w:spacing w:before="128"/>
              <w:ind w:left="235" w:right="231"/>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7"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18"/>
              <w:ind w:left="18"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氨氮</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水质氨氮的测定纳氏试剂光度法</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HJ 535-2009</w:t>
            </w:r>
          </w:p>
        </w:tc>
        <w:tc>
          <w:tcPr>
            <w:tcW w:w="1901"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V-1200 型可见分光光度计</w:t>
            </w:r>
          </w:p>
        </w:tc>
        <w:tc>
          <w:tcPr>
            <w:tcW w:w="1342" w:type="dxa"/>
            <w:tcBorders>
              <w:tl2br w:val="nil"/>
              <w:tr2bl w:val="nil"/>
            </w:tcBorders>
          </w:tcPr>
          <w:p>
            <w:pPr>
              <w:pStyle w:val="383"/>
              <w:spacing w:before="130"/>
              <w:ind w:left="179" w:right="174"/>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XJFX005-02</w:t>
            </w:r>
          </w:p>
        </w:tc>
        <w:tc>
          <w:tcPr>
            <w:tcW w:w="1413" w:type="dxa"/>
            <w:tcBorders>
              <w:tl2br w:val="nil"/>
              <w:tr2bl w:val="nil"/>
            </w:tcBorders>
          </w:tcPr>
          <w:p>
            <w:pPr>
              <w:pStyle w:val="383"/>
              <w:spacing w:before="130"/>
              <w:ind w:left="234" w:right="23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0.025mg/L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6"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19"/>
              <w:ind w:left="18"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总氮</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水质总氮的测定碱性过硫酸钾消</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 xml:space="preserve">解紫外分光光度法 </w:t>
            </w:r>
            <w:r>
              <w:rPr>
                <w:rFonts w:ascii="Times New Roman" w:hAnsi="Times New Roman"/>
                <w:color w:val="000000" w:themeColor="text1"/>
                <w:kern w:val="0"/>
                <w:sz w:val="18"/>
                <w:szCs w:val="18"/>
                <w14:textFill>
                  <w14:solidFill>
                    <w14:schemeClr w14:val="tx1"/>
                  </w14:solidFill>
                </w14:textFill>
              </w:rPr>
              <w:t>HJ636-2012</w:t>
            </w:r>
          </w:p>
        </w:tc>
        <w:tc>
          <w:tcPr>
            <w:tcW w:w="1901"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TU-1901 型紫外可见分</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光光度计</w:t>
            </w:r>
          </w:p>
        </w:tc>
        <w:tc>
          <w:tcPr>
            <w:tcW w:w="1342" w:type="dxa"/>
            <w:tcBorders>
              <w:tl2br w:val="nil"/>
              <w:tr2bl w:val="nil"/>
            </w:tcBorders>
          </w:tcPr>
          <w:p>
            <w:pPr>
              <w:pStyle w:val="383"/>
              <w:spacing w:before="128"/>
              <w:ind w:left="180" w:right="17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XJFX005-01</w:t>
            </w:r>
          </w:p>
        </w:tc>
        <w:tc>
          <w:tcPr>
            <w:tcW w:w="1413" w:type="dxa"/>
            <w:tcBorders>
              <w:tl2br w:val="nil"/>
              <w:tr2bl w:val="nil"/>
            </w:tcBorders>
          </w:tcPr>
          <w:p>
            <w:pPr>
              <w:pStyle w:val="383"/>
              <w:spacing w:before="128"/>
              <w:ind w:left="235" w:right="231"/>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7"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17"/>
              <w:ind w:left="18"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总磷</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 xml:space="preserve">水质总磷的测定钼酸铵分光光度法 </w:t>
            </w:r>
            <w:r>
              <w:rPr>
                <w:rFonts w:ascii="Times New Roman" w:hAnsi="Times New Roman"/>
                <w:color w:val="000000" w:themeColor="text1"/>
                <w:kern w:val="0"/>
                <w:sz w:val="18"/>
                <w:szCs w:val="18"/>
                <w14:textFill>
                  <w14:solidFill>
                    <w14:schemeClr w14:val="tx1"/>
                  </w14:solidFill>
                </w14:textFill>
              </w:rPr>
              <w:t>GB 11893-89</w:t>
            </w:r>
          </w:p>
        </w:tc>
        <w:tc>
          <w:tcPr>
            <w:tcW w:w="1901"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TU-1901 型紫外可见分光光度计</w:t>
            </w:r>
          </w:p>
        </w:tc>
        <w:tc>
          <w:tcPr>
            <w:tcW w:w="1342" w:type="dxa"/>
            <w:tcBorders>
              <w:tl2br w:val="nil"/>
              <w:tr2bl w:val="nil"/>
            </w:tcBorders>
          </w:tcPr>
          <w:p>
            <w:pPr>
              <w:pStyle w:val="383"/>
              <w:spacing w:before="129"/>
              <w:ind w:left="180" w:right="17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XJFX005-01</w:t>
            </w:r>
          </w:p>
        </w:tc>
        <w:tc>
          <w:tcPr>
            <w:tcW w:w="1413" w:type="dxa"/>
            <w:tcBorders>
              <w:tl2br w:val="nil"/>
              <w:tr2bl w:val="nil"/>
            </w:tcBorders>
          </w:tcPr>
          <w:p>
            <w:pPr>
              <w:pStyle w:val="383"/>
              <w:spacing w:before="129"/>
              <w:ind w:left="235" w:right="231"/>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694"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jc w:val="center"/>
              <w:rPr>
                <w:rFonts w:ascii="Times New Roman" w:hAnsi="Times New Roman" w:cs="Times New Roman"/>
                <w:b/>
                <w:color w:val="000000" w:themeColor="text1"/>
                <w:sz w:val="18"/>
                <w:szCs w:val="18"/>
                <w14:textFill>
                  <w14:solidFill>
                    <w14:schemeClr w14:val="tx1"/>
                  </w14:solidFill>
                </w14:textFill>
              </w:rPr>
            </w:pPr>
          </w:p>
          <w:p>
            <w:pPr>
              <w:pStyle w:val="383"/>
              <w:spacing w:before="120"/>
              <w:ind w:left="21"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氟化物</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水质无机阴离子（</w:t>
            </w:r>
            <w:r>
              <w:rPr>
                <w:rFonts w:ascii="Times New Roman" w:hAnsi="Times New Roman"/>
                <w:color w:val="000000" w:themeColor="text1"/>
                <w:kern w:val="0"/>
                <w:sz w:val="18"/>
                <w:szCs w:val="18"/>
                <w14:textFill>
                  <w14:solidFill>
                    <w14:schemeClr w14:val="tx1"/>
                  </w14:solidFill>
                </w14:textFill>
              </w:rPr>
              <w:t>F-</w:t>
            </w:r>
            <w:r>
              <w:rPr>
                <w:rFonts w:hint="eastAsia" w:ascii="Times New Roman" w:hAnsi="Times New Roman"/>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Cl-</w:t>
            </w:r>
            <w:r>
              <w:rPr>
                <w:rFonts w:hint="eastAsia" w:ascii="Times New Roman" w:hAnsi="Times New Roman"/>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NO</w:t>
            </w:r>
            <w:r>
              <w:rPr>
                <w:rFonts w:ascii="Times New Roman" w:hAnsi="Times New Roman"/>
                <w:color w:val="000000" w:themeColor="text1"/>
                <w:kern w:val="0"/>
                <w:sz w:val="18"/>
                <w:szCs w:val="18"/>
                <w:vertAlign w:val="superscript"/>
                <w14:textFill>
                  <w14:solidFill>
                    <w14:schemeClr w14:val="tx1"/>
                  </w14:solidFill>
                </w14:textFill>
              </w:rPr>
              <w:t>2-</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Br</w:t>
            </w:r>
            <w:r>
              <w:rPr>
                <w:rFonts w:ascii="Times New Roman" w:hAnsi="Times New Roman"/>
                <w:color w:val="000000" w:themeColor="text1"/>
                <w:kern w:val="0"/>
                <w:sz w:val="18"/>
                <w:szCs w:val="18"/>
                <w:vertAlign w:val="superscript"/>
                <w14:textFill>
                  <w14:solidFill>
                    <w14:schemeClr w14:val="tx1"/>
                  </w14:solidFill>
                </w14:textFill>
              </w:rPr>
              <w:t>-</w:t>
            </w:r>
            <w:r>
              <w:rPr>
                <w:rFonts w:hint="eastAsia" w:ascii="Times New Roman" w:hAnsi="Times New Roman"/>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NO</w:t>
            </w:r>
            <w:r>
              <w:rPr>
                <w:rFonts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PO</w:t>
            </w:r>
            <w:r>
              <w:rPr>
                <w:rFonts w:ascii="Times New Roman" w:hAnsi="Times New Roman"/>
                <w:color w:val="000000" w:themeColor="text1"/>
                <w:kern w:val="0"/>
                <w:sz w:val="18"/>
                <w:szCs w:val="18"/>
                <w:vertAlign w:val="subscript"/>
                <w14:textFill>
                  <w14:solidFill>
                    <w14:schemeClr w14:val="tx1"/>
                  </w14:solidFill>
                </w14:textFill>
              </w:rPr>
              <w:t>4</w:t>
            </w:r>
            <w:r>
              <w:rPr>
                <w:rFonts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SO</w:t>
            </w:r>
            <w:r>
              <w:rPr>
                <w:rFonts w:ascii="Times New Roman" w:hAnsi="Times New Roman"/>
                <w:color w:val="000000" w:themeColor="text1"/>
                <w:kern w:val="0"/>
                <w:sz w:val="18"/>
                <w:szCs w:val="18"/>
                <w:vertAlign w:val="subscript"/>
                <w14:textFill>
                  <w14:solidFill>
                    <w14:schemeClr w14:val="tx1"/>
                  </w14:solidFill>
                </w14:textFill>
              </w:rPr>
              <w:t>3</w:t>
            </w:r>
            <w:r>
              <w:rPr>
                <w:rFonts w:ascii="Times New Roman" w:hAnsi="Times New Roman"/>
                <w:color w:val="000000" w:themeColor="text1"/>
                <w:kern w:val="0"/>
                <w:sz w:val="18"/>
                <w:szCs w:val="18"/>
                <w:vertAlign w:val="superscript"/>
                <w14:textFill>
                  <w14:solidFill>
                    <w14:schemeClr w14:val="tx1"/>
                  </w14:solidFill>
                </w14:textFill>
              </w:rPr>
              <w:t>2-</w:t>
            </w:r>
            <w:r>
              <w:rPr>
                <w:rFonts w:hint="eastAsia" w:ascii="Times New Roman" w:hAnsi="Times New Roman"/>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SO</w:t>
            </w:r>
            <w:r>
              <w:rPr>
                <w:rFonts w:ascii="Times New Roman" w:hAnsi="Times New Roman"/>
                <w:color w:val="000000" w:themeColor="text1"/>
                <w:kern w:val="0"/>
                <w:sz w:val="18"/>
                <w:szCs w:val="18"/>
                <w:vertAlign w:val="subscript"/>
                <w14:textFill>
                  <w14:solidFill>
                    <w14:schemeClr w14:val="tx1"/>
                  </w14:solidFill>
                </w14:textFill>
              </w:rPr>
              <w:t>4</w:t>
            </w:r>
            <w:r>
              <w:rPr>
                <w:rFonts w:ascii="Times New Roman" w:hAnsi="Times New Roman"/>
                <w:color w:val="000000" w:themeColor="text1"/>
                <w:kern w:val="0"/>
                <w:sz w:val="18"/>
                <w:szCs w:val="18"/>
                <w:vertAlign w:val="superscript"/>
                <w14:textFill>
                  <w14:solidFill>
                    <w14:schemeClr w14:val="tx1"/>
                  </w14:solidFill>
                </w14:textFill>
              </w:rPr>
              <w:t>2-</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 xml:space="preserve">的测定离子色谱法 </w:t>
            </w:r>
            <w:r>
              <w:rPr>
                <w:rFonts w:ascii="Times New Roman" w:hAnsi="Times New Roman"/>
                <w:color w:val="000000" w:themeColor="text1"/>
                <w:kern w:val="0"/>
                <w:sz w:val="18"/>
                <w:szCs w:val="18"/>
                <w14:textFill>
                  <w14:solidFill>
                    <w14:schemeClr w14:val="tx1"/>
                  </w14:solidFill>
                </w14:textFill>
              </w:rPr>
              <w:t>HJ 84-2016</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YC7000型离子色谱仪</w:t>
            </w:r>
          </w:p>
        </w:tc>
        <w:tc>
          <w:tcPr>
            <w:tcW w:w="1342" w:type="dxa"/>
            <w:tcBorders>
              <w:tl2br w:val="nil"/>
              <w:tr2bl w:val="nil"/>
            </w:tcBorders>
          </w:tcPr>
          <w:p>
            <w:pPr>
              <w:pStyle w:val="383"/>
              <w:spacing w:before="4"/>
              <w:jc w:val="center"/>
              <w:rPr>
                <w:rFonts w:ascii="Times New Roman" w:hAnsi="Times New Roman" w:cs="Times New Roman"/>
                <w:b/>
                <w:color w:val="000000" w:themeColor="text1"/>
                <w:sz w:val="18"/>
                <w:szCs w:val="18"/>
                <w14:textFill>
                  <w14:solidFill>
                    <w14:schemeClr w14:val="tx1"/>
                  </w14:solidFill>
                </w14:textFill>
              </w:rPr>
            </w:pPr>
          </w:p>
          <w:p>
            <w:pPr>
              <w:pStyle w:val="383"/>
              <w:ind w:left="180" w:right="17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XJFX007-01</w:t>
            </w:r>
          </w:p>
        </w:tc>
        <w:tc>
          <w:tcPr>
            <w:tcW w:w="1413" w:type="dxa"/>
            <w:tcBorders>
              <w:tl2br w:val="nil"/>
              <w:tr2bl w:val="nil"/>
            </w:tcBorders>
          </w:tcPr>
          <w:p>
            <w:pPr>
              <w:pStyle w:val="383"/>
              <w:spacing w:before="4"/>
              <w:jc w:val="center"/>
              <w:rPr>
                <w:rFonts w:ascii="Times New Roman" w:hAnsi="Times New Roman" w:cs="Times New Roman"/>
                <w:b/>
                <w:color w:val="000000" w:themeColor="text1"/>
                <w:sz w:val="18"/>
                <w:szCs w:val="18"/>
                <w14:textFill>
                  <w14:solidFill>
                    <w14:schemeClr w14:val="tx1"/>
                  </w14:solidFill>
                </w14:textFill>
              </w:rPr>
            </w:pPr>
          </w:p>
          <w:p>
            <w:pPr>
              <w:pStyle w:val="383"/>
              <w:ind w:left="234" w:right="23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0.007mg/L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673"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spacing w:before="1"/>
              <w:ind w:left="21"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硫化物</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水质硫化物的测定亚甲基蓝分光光度法</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GB/T 16489-1996</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TU-1901型紫外可见分光光度计</w:t>
            </w:r>
          </w:p>
        </w:tc>
        <w:tc>
          <w:tcPr>
            <w:tcW w:w="1342"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180" w:right="17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XJFX005-01</w:t>
            </w:r>
          </w:p>
        </w:tc>
        <w:tc>
          <w:tcPr>
            <w:tcW w:w="1413"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34" w:right="23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673"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3"/>
              <w:jc w:val="center"/>
              <w:rPr>
                <w:rFonts w:ascii="Times New Roman" w:hAnsi="Times New Roman" w:cs="Times New Roman"/>
                <w:b/>
                <w:color w:val="000000" w:themeColor="text1"/>
                <w:sz w:val="18"/>
                <w:szCs w:val="18"/>
                <w14:textFill>
                  <w14:solidFill>
                    <w14:schemeClr w14:val="tx1"/>
                  </w14:solidFill>
                </w14:textFill>
              </w:rPr>
            </w:pPr>
          </w:p>
          <w:p>
            <w:pPr>
              <w:pStyle w:val="383"/>
              <w:ind w:left="21"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挥发酚</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 xml:space="preserve">水质挥发酚的测定 </w:t>
            </w:r>
            <w:r>
              <w:rPr>
                <w:rFonts w:ascii="Times New Roman" w:hAnsi="Times New Roman"/>
                <w:color w:val="000000" w:themeColor="text1"/>
                <w:kern w:val="0"/>
                <w:sz w:val="18"/>
                <w:szCs w:val="18"/>
                <w14:textFill>
                  <w14:solidFill>
                    <w14:schemeClr w14:val="tx1"/>
                  </w14:solidFill>
                </w14:textFill>
              </w:rPr>
              <w:t>4-</w:t>
            </w:r>
            <w:r>
              <w:rPr>
                <w:rFonts w:hint="eastAsia" w:ascii="Times New Roman" w:hAnsi="Times New Roman"/>
                <w:color w:val="000000" w:themeColor="text1"/>
                <w:kern w:val="0"/>
                <w:sz w:val="18"/>
                <w:szCs w:val="18"/>
                <w14:textFill>
                  <w14:solidFill>
                    <w14:schemeClr w14:val="tx1"/>
                  </w14:solidFill>
                </w14:textFill>
              </w:rPr>
              <w:t>氨基安替比林分光光度法</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HJ 503-2009</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TU-1901型紫外可见分光光度计</w:t>
            </w:r>
          </w:p>
        </w:tc>
        <w:tc>
          <w:tcPr>
            <w:tcW w:w="1342"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180" w:right="17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XJFX005-01</w:t>
            </w:r>
          </w:p>
        </w:tc>
        <w:tc>
          <w:tcPr>
            <w:tcW w:w="1413"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35" w:right="231"/>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0.0003mg/L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19"/>
              <w:ind w:left="21"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六价铬</w:t>
            </w:r>
          </w:p>
        </w:tc>
        <w:tc>
          <w:tcPr>
            <w:tcW w:w="2567"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水质六价铬的测定二苯碳酰二肼</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分光光度法GB7467-87</w:t>
            </w:r>
          </w:p>
        </w:tc>
        <w:tc>
          <w:tcPr>
            <w:tcW w:w="1901" w:type="dxa"/>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TU-1901型紫外可见分</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光光度计</w:t>
            </w:r>
          </w:p>
        </w:tc>
        <w:tc>
          <w:tcPr>
            <w:tcW w:w="1342" w:type="dxa"/>
            <w:tcBorders>
              <w:tl2br w:val="nil"/>
              <w:tr2bl w:val="nil"/>
            </w:tcBorders>
          </w:tcPr>
          <w:p>
            <w:pPr>
              <w:pStyle w:val="383"/>
              <w:spacing w:before="128"/>
              <w:ind w:left="180" w:right="17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XJFX005-01</w:t>
            </w:r>
          </w:p>
        </w:tc>
        <w:tc>
          <w:tcPr>
            <w:tcW w:w="1413" w:type="dxa"/>
            <w:tcBorders>
              <w:tl2br w:val="nil"/>
              <w:tr2bl w:val="nil"/>
            </w:tcBorders>
          </w:tcPr>
          <w:p>
            <w:pPr>
              <w:pStyle w:val="383"/>
              <w:spacing w:before="128"/>
              <w:ind w:left="234" w:right="233"/>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氰化物</w:t>
            </w:r>
          </w:p>
        </w:tc>
        <w:tc>
          <w:tcPr>
            <w:tcW w:w="2567"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水质氰化物的测定容量法和分光光度法</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HJ 484-2009</w:t>
            </w:r>
          </w:p>
        </w:tc>
        <w:tc>
          <w:tcPr>
            <w:tcW w:w="1901"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TU-1901型紫外可见分光光度计</w:t>
            </w:r>
          </w:p>
        </w:tc>
        <w:tc>
          <w:tcPr>
            <w:tcW w:w="1342" w:type="dxa"/>
            <w:tcBorders>
              <w:tl2br w:val="nil"/>
              <w:tr2bl w:val="nil"/>
            </w:tcBorders>
          </w:tcPr>
          <w:p>
            <w:pPr>
              <w:pStyle w:val="383"/>
              <w:spacing w:before="1"/>
              <w:jc w:val="left"/>
              <w:rPr>
                <w:rFonts w:ascii="Times New Roman" w:hAnsi="Times New Roman" w:cs="Times New Roman"/>
                <w:b/>
                <w:color w:val="000000" w:themeColor="text1"/>
                <w:sz w:val="18"/>
                <w:szCs w:val="18"/>
                <w14:textFill>
                  <w14:solidFill>
                    <w14:schemeClr w14:val="tx1"/>
                  </w14:solidFill>
                </w14:textFill>
              </w:rPr>
            </w:pPr>
          </w:p>
          <w:p>
            <w:pPr>
              <w:pStyle w:val="383"/>
              <w:ind w:left="180" w:right="17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XJFX005-01</w:t>
            </w:r>
          </w:p>
        </w:tc>
        <w:tc>
          <w:tcPr>
            <w:tcW w:w="1413" w:type="dxa"/>
            <w:tcBorders>
              <w:tl2br w:val="nil"/>
              <w:tr2bl w:val="nil"/>
            </w:tcBorders>
          </w:tcPr>
          <w:p>
            <w:pPr>
              <w:pStyle w:val="383"/>
              <w:spacing w:before="1"/>
              <w:jc w:val="left"/>
              <w:rPr>
                <w:rFonts w:ascii="Times New Roman" w:hAnsi="Times New Roman" w:cs="Times New Roman"/>
                <w:b/>
                <w:color w:val="000000" w:themeColor="text1"/>
                <w:sz w:val="18"/>
                <w:szCs w:val="18"/>
                <w14:textFill>
                  <w14:solidFill>
                    <w14:schemeClr w14:val="tx1"/>
                  </w14:solidFill>
                </w14:textFill>
              </w:rPr>
            </w:pPr>
          </w:p>
          <w:p>
            <w:pPr>
              <w:pStyle w:val="383"/>
              <w:ind w:left="307"/>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铬</w:t>
            </w:r>
          </w:p>
        </w:tc>
        <w:tc>
          <w:tcPr>
            <w:tcW w:w="2567" w:type="dxa"/>
            <w:tcBorders>
              <w:tl2br w:val="nil"/>
              <w:tr2bl w:val="nil"/>
            </w:tcBorders>
          </w:tcPr>
          <w:p>
            <w:pPr>
              <w:pStyle w:val="383"/>
              <w:spacing w:before="2" w:line="242" w:lineRule="auto"/>
              <w:ind w:left="45" w:right="3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水质65种元素的测定电感耦合等离子体质谱法</w:t>
            </w:r>
          </w:p>
          <w:p>
            <w:pPr>
              <w:pStyle w:val="383"/>
              <w:spacing w:line="186" w:lineRule="exact"/>
              <w:ind w:left="20"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HJ 700-2014</w:t>
            </w:r>
          </w:p>
        </w:tc>
        <w:tc>
          <w:tcPr>
            <w:tcW w:w="1901" w:type="dxa"/>
            <w:tcBorders>
              <w:tl2br w:val="nil"/>
              <w:tr2bl w:val="nil"/>
            </w:tcBorders>
          </w:tcPr>
          <w:p>
            <w:pPr>
              <w:pStyle w:val="383"/>
              <w:spacing w:before="103" w:line="244" w:lineRule="auto"/>
              <w:ind w:left="409" w:right="-15" w:hanging="406"/>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ICP-MS7800</w:t>
            </w:r>
            <w:r>
              <w:rPr>
                <w:rFonts w:ascii="Times New Roman" w:hAnsi="Times New Roman" w:cs="Times New Roman"/>
                <w:color w:val="000000" w:themeColor="text1"/>
                <w:spacing w:val="-14"/>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电感耦合等离子体质谱仪</w:t>
            </w:r>
          </w:p>
        </w:tc>
        <w:tc>
          <w:tcPr>
            <w:tcW w:w="1342" w:type="dxa"/>
            <w:tcBorders>
              <w:tl2br w:val="nil"/>
              <w:tr2bl w:val="nil"/>
            </w:tcBorders>
          </w:tcPr>
          <w:p>
            <w:pPr>
              <w:pStyle w:val="383"/>
              <w:spacing w:before="1"/>
              <w:jc w:val="center"/>
              <w:rPr>
                <w:rFonts w:ascii="Times New Roman" w:hAnsi="Times New Roman" w:cs="Times New Roman"/>
                <w:b/>
                <w:color w:val="000000" w:themeColor="text1"/>
                <w:sz w:val="18"/>
                <w14:textFill>
                  <w14:solidFill>
                    <w14:schemeClr w14:val="tx1"/>
                  </w14:solidFill>
                </w14:textFill>
              </w:rPr>
            </w:pPr>
          </w:p>
          <w:p>
            <w:pPr>
              <w:pStyle w:val="383"/>
              <w:spacing w:before="1"/>
              <w:ind w:left="180" w:right="17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XJFX011-01</w:t>
            </w:r>
          </w:p>
        </w:tc>
        <w:tc>
          <w:tcPr>
            <w:tcW w:w="1413"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0.11μg/L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spacing w:before="1"/>
              <w:ind w:left="6"/>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镍</w:t>
            </w:r>
          </w:p>
        </w:tc>
        <w:tc>
          <w:tcPr>
            <w:tcW w:w="2567" w:type="dxa"/>
            <w:tcBorders>
              <w:tl2br w:val="nil"/>
              <w:tr2bl w:val="nil"/>
            </w:tcBorders>
          </w:tcPr>
          <w:p>
            <w:pPr>
              <w:pStyle w:val="383"/>
              <w:spacing w:line="244" w:lineRule="auto"/>
              <w:ind w:left="45" w:right="39"/>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水质65种元素的测定电感耦合等离子体质谱法HJ 700-2014</w:t>
            </w:r>
          </w:p>
        </w:tc>
        <w:tc>
          <w:tcPr>
            <w:tcW w:w="1901" w:type="dxa"/>
            <w:tcBorders>
              <w:tl2br w:val="nil"/>
              <w:tr2bl w:val="nil"/>
            </w:tcBorders>
          </w:tcPr>
          <w:p>
            <w:pPr>
              <w:pStyle w:val="383"/>
              <w:spacing w:before="103" w:line="242" w:lineRule="auto"/>
              <w:ind w:left="409" w:right="-15" w:hanging="406"/>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ICP-MS7800</w:t>
            </w:r>
            <w:r>
              <w:rPr>
                <w:rFonts w:ascii="Times New Roman" w:hAnsi="Times New Roman" w:cs="Times New Roman"/>
                <w:color w:val="000000" w:themeColor="text1"/>
                <w:spacing w:val="-14"/>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电感耦合等离子体质谱仪</w:t>
            </w:r>
          </w:p>
        </w:tc>
        <w:tc>
          <w:tcPr>
            <w:tcW w:w="1342" w:type="dxa"/>
            <w:tcBorders>
              <w:tl2br w:val="nil"/>
              <w:tr2bl w:val="nil"/>
            </w:tcBorders>
          </w:tcPr>
          <w:p>
            <w:pPr>
              <w:pStyle w:val="383"/>
              <w:spacing w:before="2"/>
              <w:jc w:val="left"/>
              <w:rPr>
                <w:rFonts w:ascii="Times New Roman" w:hAnsi="Times New Roman" w:cs="Times New Roman"/>
                <w:b/>
                <w:color w:val="000000" w:themeColor="text1"/>
                <w:sz w:val="18"/>
                <w:szCs w:val="18"/>
                <w14:textFill>
                  <w14:solidFill>
                    <w14:schemeClr w14:val="tx1"/>
                  </w14:solidFill>
                </w14:textFill>
              </w:rPr>
            </w:pPr>
          </w:p>
          <w:p>
            <w:pPr>
              <w:pStyle w:val="383"/>
              <w:ind w:left="180" w:right="17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XJFX011-01</w:t>
            </w:r>
          </w:p>
        </w:tc>
        <w:tc>
          <w:tcPr>
            <w:tcW w:w="1413" w:type="dxa"/>
            <w:tcBorders>
              <w:tl2br w:val="nil"/>
              <w:tr2bl w:val="nil"/>
            </w:tcBorders>
          </w:tcPr>
          <w:p>
            <w:pPr>
              <w:pStyle w:val="383"/>
              <w:spacing w:before="2"/>
              <w:jc w:val="left"/>
              <w:rPr>
                <w:rFonts w:ascii="Times New Roman" w:hAnsi="Times New Roman" w:cs="Times New Roman"/>
                <w:b/>
                <w:color w:val="000000" w:themeColor="text1"/>
                <w:sz w:val="18"/>
                <w:szCs w:val="18"/>
                <w14:textFill>
                  <w14:solidFill>
                    <w14:schemeClr w14:val="tx1"/>
                  </w14:solidFill>
                </w14:textFill>
              </w:rPr>
            </w:pPr>
          </w:p>
          <w:p>
            <w:pPr>
              <w:pStyle w:val="383"/>
              <w:ind w:left="375"/>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0.06μg/L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3"/>
              <w:jc w:val="center"/>
              <w:rPr>
                <w:rFonts w:ascii="Times New Roman" w:hAnsi="Times New Roman" w:cs="Times New Roman"/>
                <w:b/>
                <w:color w:val="000000" w:themeColor="text1"/>
                <w:sz w:val="18"/>
                <w:szCs w:val="18"/>
                <w14:textFill>
                  <w14:solidFill>
                    <w14:schemeClr w14:val="tx1"/>
                  </w14:solidFill>
                </w14:textFill>
              </w:rPr>
            </w:pPr>
          </w:p>
          <w:p>
            <w:pPr>
              <w:pStyle w:val="383"/>
              <w:ind w:left="6"/>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铜</w:t>
            </w:r>
          </w:p>
        </w:tc>
        <w:tc>
          <w:tcPr>
            <w:tcW w:w="2567" w:type="dxa"/>
            <w:tcBorders>
              <w:tl2br w:val="nil"/>
              <w:tr2bl w:val="nil"/>
            </w:tcBorders>
          </w:tcPr>
          <w:p>
            <w:pPr>
              <w:pStyle w:val="383"/>
              <w:spacing w:line="242" w:lineRule="auto"/>
              <w:ind w:left="45" w:right="39"/>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水质65种元素的测定电感耦合等离子体质谱法HJ 700-2014</w:t>
            </w:r>
          </w:p>
        </w:tc>
        <w:tc>
          <w:tcPr>
            <w:tcW w:w="1901" w:type="dxa"/>
            <w:tcBorders>
              <w:tl2br w:val="nil"/>
              <w:tr2bl w:val="nil"/>
            </w:tcBorders>
          </w:tcPr>
          <w:p>
            <w:pPr>
              <w:pStyle w:val="383"/>
              <w:spacing w:before="103" w:line="242" w:lineRule="auto"/>
              <w:ind w:left="409" w:right="-15" w:hanging="406"/>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ICP-MS7800</w:t>
            </w:r>
            <w:r>
              <w:rPr>
                <w:rFonts w:ascii="Times New Roman" w:hAnsi="Times New Roman" w:cs="Times New Roman"/>
                <w:color w:val="000000" w:themeColor="text1"/>
                <w:spacing w:val="-14"/>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电感耦合等离子体质谱仪</w:t>
            </w:r>
          </w:p>
        </w:tc>
        <w:tc>
          <w:tcPr>
            <w:tcW w:w="1342" w:type="dxa"/>
            <w:tcBorders>
              <w:tl2br w:val="nil"/>
              <w:tr2bl w:val="nil"/>
            </w:tcBorders>
          </w:tcPr>
          <w:p>
            <w:pPr>
              <w:pStyle w:val="383"/>
              <w:spacing w:before="2"/>
              <w:jc w:val="left"/>
              <w:rPr>
                <w:rFonts w:ascii="Times New Roman" w:hAnsi="Times New Roman" w:cs="Times New Roman"/>
                <w:b/>
                <w:color w:val="000000" w:themeColor="text1"/>
                <w:sz w:val="18"/>
                <w:szCs w:val="18"/>
                <w14:textFill>
                  <w14:solidFill>
                    <w14:schemeClr w14:val="tx1"/>
                  </w14:solidFill>
                </w14:textFill>
              </w:rPr>
            </w:pPr>
          </w:p>
          <w:p>
            <w:pPr>
              <w:pStyle w:val="383"/>
              <w:ind w:left="180" w:right="17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XJFX011-01</w:t>
            </w:r>
          </w:p>
        </w:tc>
        <w:tc>
          <w:tcPr>
            <w:tcW w:w="1413" w:type="dxa"/>
            <w:tcBorders>
              <w:tl2br w:val="nil"/>
              <w:tr2bl w:val="nil"/>
            </w:tcBorders>
          </w:tcPr>
          <w:p>
            <w:pPr>
              <w:pStyle w:val="383"/>
              <w:spacing w:before="2"/>
              <w:jc w:val="left"/>
              <w:rPr>
                <w:rFonts w:ascii="Times New Roman" w:hAnsi="Times New Roman" w:cs="Times New Roman"/>
                <w:b/>
                <w:color w:val="000000" w:themeColor="text1"/>
                <w:sz w:val="18"/>
                <w:szCs w:val="18"/>
                <w14:textFill>
                  <w14:solidFill>
                    <w14:schemeClr w14:val="tx1"/>
                  </w14:solidFill>
                </w14:textFill>
              </w:rPr>
            </w:pPr>
          </w:p>
          <w:p>
            <w:pPr>
              <w:pStyle w:val="383"/>
              <w:ind w:left="375"/>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0.08μg/L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4"/>
              <w:jc w:val="center"/>
              <w:rPr>
                <w:rFonts w:ascii="Times New Roman" w:hAnsi="Times New Roman" w:cs="Times New Roman"/>
                <w:b/>
                <w:color w:val="000000" w:themeColor="text1"/>
                <w:sz w:val="18"/>
                <w:szCs w:val="18"/>
                <w14:textFill>
                  <w14:solidFill>
                    <w14:schemeClr w14:val="tx1"/>
                  </w14:solidFill>
                </w14:textFill>
              </w:rPr>
            </w:pPr>
          </w:p>
          <w:p>
            <w:pPr>
              <w:pStyle w:val="383"/>
              <w:ind w:left="6"/>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砷</w:t>
            </w:r>
          </w:p>
        </w:tc>
        <w:tc>
          <w:tcPr>
            <w:tcW w:w="2567" w:type="dxa"/>
            <w:tcBorders>
              <w:tl2br w:val="nil"/>
              <w:tr2bl w:val="nil"/>
            </w:tcBorders>
          </w:tcPr>
          <w:p>
            <w:pPr>
              <w:pStyle w:val="383"/>
              <w:spacing w:before="1" w:line="242" w:lineRule="auto"/>
              <w:ind w:left="45" w:right="39"/>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水质65种元素的测定电感耦合等离子体质谱法HJ 700-2014</w:t>
            </w:r>
          </w:p>
        </w:tc>
        <w:tc>
          <w:tcPr>
            <w:tcW w:w="1901" w:type="dxa"/>
            <w:tcBorders>
              <w:tl2br w:val="nil"/>
              <w:tr2bl w:val="nil"/>
            </w:tcBorders>
          </w:tcPr>
          <w:p>
            <w:pPr>
              <w:pStyle w:val="383"/>
              <w:spacing w:before="104" w:line="242" w:lineRule="auto"/>
              <w:ind w:left="409" w:right="-15" w:hanging="406"/>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ICP-MS7800</w:t>
            </w:r>
            <w:r>
              <w:rPr>
                <w:rFonts w:ascii="Times New Roman" w:hAnsi="Times New Roman" w:cs="Times New Roman"/>
                <w:color w:val="000000" w:themeColor="text1"/>
                <w:spacing w:val="-14"/>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电感耦合等离子体质谱仪</w:t>
            </w:r>
          </w:p>
        </w:tc>
        <w:tc>
          <w:tcPr>
            <w:tcW w:w="1342" w:type="dxa"/>
            <w:tcBorders>
              <w:tl2br w:val="nil"/>
              <w:tr2bl w:val="nil"/>
            </w:tcBorders>
          </w:tcPr>
          <w:p>
            <w:pPr>
              <w:pStyle w:val="383"/>
              <w:spacing w:before="3"/>
              <w:jc w:val="left"/>
              <w:rPr>
                <w:rFonts w:ascii="Times New Roman" w:hAnsi="Times New Roman" w:cs="Times New Roman"/>
                <w:b/>
                <w:color w:val="000000" w:themeColor="text1"/>
                <w:sz w:val="18"/>
                <w:szCs w:val="18"/>
                <w14:textFill>
                  <w14:solidFill>
                    <w14:schemeClr w14:val="tx1"/>
                  </w14:solidFill>
                </w14:textFill>
              </w:rPr>
            </w:pPr>
          </w:p>
          <w:p>
            <w:pPr>
              <w:pStyle w:val="383"/>
              <w:ind w:left="180" w:right="17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XJFX011-01</w:t>
            </w:r>
          </w:p>
        </w:tc>
        <w:tc>
          <w:tcPr>
            <w:tcW w:w="1413" w:type="dxa"/>
            <w:tcBorders>
              <w:tl2br w:val="nil"/>
              <w:tr2bl w:val="nil"/>
            </w:tcBorders>
          </w:tcPr>
          <w:p>
            <w:pPr>
              <w:pStyle w:val="383"/>
              <w:spacing w:before="3"/>
              <w:jc w:val="left"/>
              <w:rPr>
                <w:rFonts w:ascii="Times New Roman" w:hAnsi="Times New Roman" w:cs="Times New Roman"/>
                <w:b/>
                <w:color w:val="000000" w:themeColor="text1"/>
                <w:sz w:val="18"/>
                <w:szCs w:val="18"/>
                <w14:textFill>
                  <w14:solidFill>
                    <w14:schemeClr w14:val="tx1"/>
                  </w14:solidFill>
                </w14:textFill>
              </w:rPr>
            </w:pPr>
          </w:p>
          <w:p>
            <w:pPr>
              <w:pStyle w:val="383"/>
              <w:ind w:left="375"/>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0.12μg/L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6"/>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银</w:t>
            </w:r>
          </w:p>
        </w:tc>
        <w:tc>
          <w:tcPr>
            <w:tcW w:w="2567" w:type="dxa"/>
            <w:tcBorders>
              <w:tl2br w:val="nil"/>
              <w:tr2bl w:val="nil"/>
            </w:tcBorders>
          </w:tcPr>
          <w:p>
            <w:pPr>
              <w:pStyle w:val="383"/>
              <w:spacing w:before="1" w:line="242" w:lineRule="auto"/>
              <w:ind w:left="45" w:right="39"/>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水质65种元素的测定电感耦合等离子体质谱法HJ 700-2014</w:t>
            </w:r>
          </w:p>
        </w:tc>
        <w:tc>
          <w:tcPr>
            <w:tcW w:w="1901" w:type="dxa"/>
            <w:tcBorders>
              <w:tl2br w:val="nil"/>
              <w:tr2bl w:val="nil"/>
            </w:tcBorders>
          </w:tcPr>
          <w:p>
            <w:pPr>
              <w:pStyle w:val="383"/>
              <w:spacing w:before="104" w:line="242" w:lineRule="auto"/>
              <w:ind w:left="409" w:right="-15" w:hanging="406"/>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ICP-MS7800</w:t>
            </w:r>
            <w:r>
              <w:rPr>
                <w:rFonts w:ascii="Times New Roman" w:hAnsi="Times New Roman" w:cs="Times New Roman"/>
                <w:color w:val="000000" w:themeColor="text1"/>
                <w:spacing w:val="-14"/>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电感耦合等离子体质谱仪</w:t>
            </w:r>
          </w:p>
        </w:tc>
        <w:tc>
          <w:tcPr>
            <w:tcW w:w="1342" w:type="dxa"/>
            <w:tcBorders>
              <w:tl2br w:val="nil"/>
              <w:tr2bl w:val="nil"/>
            </w:tcBorders>
          </w:tcPr>
          <w:p>
            <w:pPr>
              <w:pStyle w:val="383"/>
              <w:spacing w:before="1"/>
              <w:jc w:val="left"/>
              <w:rPr>
                <w:rFonts w:ascii="Times New Roman" w:hAnsi="Times New Roman" w:cs="Times New Roman"/>
                <w:b/>
                <w:color w:val="000000" w:themeColor="text1"/>
                <w:sz w:val="18"/>
                <w:szCs w:val="18"/>
                <w14:textFill>
                  <w14:solidFill>
                    <w14:schemeClr w14:val="tx1"/>
                  </w14:solidFill>
                </w14:textFill>
              </w:rPr>
            </w:pPr>
          </w:p>
          <w:p>
            <w:pPr>
              <w:pStyle w:val="383"/>
              <w:ind w:left="180" w:right="17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XJFX011-01</w:t>
            </w:r>
          </w:p>
        </w:tc>
        <w:tc>
          <w:tcPr>
            <w:tcW w:w="1413" w:type="dxa"/>
            <w:tcBorders>
              <w:tl2br w:val="nil"/>
              <w:tr2bl w:val="nil"/>
            </w:tcBorders>
          </w:tcPr>
          <w:p>
            <w:pPr>
              <w:pStyle w:val="383"/>
              <w:spacing w:before="1"/>
              <w:jc w:val="left"/>
              <w:rPr>
                <w:rFonts w:ascii="Times New Roman" w:hAnsi="Times New Roman" w:cs="Times New Roman"/>
                <w:b/>
                <w:color w:val="000000" w:themeColor="text1"/>
                <w:sz w:val="18"/>
                <w:szCs w:val="18"/>
                <w14:textFill>
                  <w14:solidFill>
                    <w14:schemeClr w14:val="tx1"/>
                  </w14:solidFill>
                </w14:textFill>
              </w:rPr>
            </w:pPr>
          </w:p>
          <w:p>
            <w:pPr>
              <w:pStyle w:val="383"/>
              <w:ind w:left="375"/>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0.04μg/L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17"/>
              <w:ind w:left="21"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石油类</w:t>
            </w:r>
          </w:p>
        </w:tc>
        <w:tc>
          <w:tcPr>
            <w:tcW w:w="2567" w:type="dxa"/>
            <w:tcBorders>
              <w:tl2br w:val="nil"/>
              <w:tr2bl w:val="nil"/>
            </w:tcBorders>
          </w:tcPr>
          <w:p>
            <w:pPr>
              <w:pStyle w:val="383"/>
              <w:spacing w:before="1"/>
              <w:ind w:left="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水质石油类的测定紫外分光光度</w:t>
            </w:r>
          </w:p>
          <w:p>
            <w:pPr>
              <w:pStyle w:val="383"/>
              <w:spacing w:before="3" w:line="212" w:lineRule="exact"/>
              <w:ind w:left="20" w:right="1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法 HJ 970-2018</w:t>
            </w:r>
          </w:p>
        </w:tc>
        <w:tc>
          <w:tcPr>
            <w:tcW w:w="1901" w:type="dxa"/>
            <w:tcBorders>
              <w:tl2br w:val="nil"/>
              <w:tr2bl w:val="nil"/>
            </w:tcBorders>
          </w:tcPr>
          <w:p>
            <w:pPr>
              <w:pStyle w:val="383"/>
              <w:spacing w:before="1"/>
              <w:ind w:left="26" w:right="22"/>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TU-1901 型双光束紫外</w:t>
            </w:r>
          </w:p>
          <w:p>
            <w:pPr>
              <w:pStyle w:val="383"/>
              <w:spacing w:before="3" w:line="212" w:lineRule="exact"/>
              <w:ind w:left="27" w:right="22"/>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可见分光光度计</w:t>
            </w:r>
          </w:p>
        </w:tc>
        <w:tc>
          <w:tcPr>
            <w:tcW w:w="1342" w:type="dxa"/>
            <w:tcBorders>
              <w:tl2br w:val="nil"/>
              <w:tr2bl w:val="nil"/>
            </w:tcBorders>
          </w:tcPr>
          <w:p>
            <w:pPr>
              <w:pStyle w:val="383"/>
              <w:spacing w:before="129"/>
              <w:ind w:left="180" w:right="17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XJFX005-01</w:t>
            </w:r>
          </w:p>
        </w:tc>
        <w:tc>
          <w:tcPr>
            <w:tcW w:w="1413" w:type="dxa"/>
            <w:tcBorders>
              <w:tl2br w:val="nil"/>
              <w:tr2bl w:val="nil"/>
            </w:tcBorders>
          </w:tcPr>
          <w:p>
            <w:pPr>
              <w:pStyle w:val="383"/>
              <w:spacing w:before="129"/>
              <w:ind w:left="353"/>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05" w:line="242" w:lineRule="auto"/>
              <w:ind w:left="310" w:right="213" w:hanging="89"/>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粪大肠菌群</w:t>
            </w:r>
          </w:p>
        </w:tc>
        <w:tc>
          <w:tcPr>
            <w:tcW w:w="2567" w:type="dxa"/>
            <w:tcBorders>
              <w:tl2br w:val="nil"/>
              <w:tr2bl w:val="nil"/>
            </w:tcBorders>
          </w:tcPr>
          <w:p>
            <w:pPr>
              <w:pStyle w:val="383"/>
              <w:spacing w:before="2" w:line="242" w:lineRule="auto"/>
              <w:ind w:left="113" w:right="10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水质总大肠菌群和粪大肠菌群的测定纸片快速法</w:t>
            </w:r>
          </w:p>
          <w:p>
            <w:pPr>
              <w:pStyle w:val="383"/>
              <w:spacing w:before="2" w:line="242" w:lineRule="auto"/>
              <w:ind w:left="113" w:right="10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HJ755-2015</w:t>
            </w:r>
          </w:p>
        </w:tc>
        <w:tc>
          <w:tcPr>
            <w:tcW w:w="1901" w:type="dxa"/>
            <w:tcBorders>
              <w:tl2br w:val="nil"/>
              <w:tr2bl w:val="nil"/>
            </w:tcBorders>
          </w:tcPr>
          <w:p>
            <w:pPr>
              <w:pStyle w:val="383"/>
              <w:spacing w:before="105" w:line="242" w:lineRule="auto"/>
              <w:ind w:left="680" w:right="150" w:hanging="524"/>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303-3SB 型电热恒温培养箱</w:t>
            </w:r>
          </w:p>
        </w:tc>
        <w:tc>
          <w:tcPr>
            <w:tcW w:w="1342" w:type="dxa"/>
            <w:tcBorders>
              <w:tl2br w:val="nil"/>
              <w:tr2bl w:val="nil"/>
            </w:tcBorders>
          </w:tcPr>
          <w:p>
            <w:pPr>
              <w:pStyle w:val="383"/>
              <w:spacing w:before="2"/>
              <w:jc w:val="left"/>
              <w:rPr>
                <w:rFonts w:ascii="Times New Roman" w:hAnsi="Times New Roman" w:cs="Times New Roman"/>
                <w:b/>
                <w:color w:val="000000" w:themeColor="text1"/>
                <w:sz w:val="18"/>
                <w:szCs w:val="18"/>
                <w14:textFill>
                  <w14:solidFill>
                    <w14:schemeClr w14:val="tx1"/>
                  </w14:solidFill>
                </w14:textFill>
              </w:rPr>
            </w:pPr>
          </w:p>
          <w:p>
            <w:pPr>
              <w:pStyle w:val="383"/>
              <w:ind w:left="180" w:right="17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XJFZ006-02</w:t>
            </w:r>
          </w:p>
        </w:tc>
        <w:tc>
          <w:tcPr>
            <w:tcW w:w="1413" w:type="dxa"/>
            <w:tcBorders>
              <w:tl2br w:val="nil"/>
              <w:tr2bl w:val="nil"/>
            </w:tcBorders>
          </w:tcPr>
          <w:p>
            <w:pPr>
              <w:pStyle w:val="383"/>
              <w:spacing w:before="2"/>
              <w:jc w:val="left"/>
              <w:rPr>
                <w:rFonts w:ascii="Times New Roman" w:hAnsi="Times New Roman" w:cs="Times New Roman"/>
                <w:b/>
                <w:color w:val="000000" w:themeColor="text1"/>
                <w:sz w:val="18"/>
                <w:szCs w:val="18"/>
                <w14:textFill>
                  <w14:solidFill>
                    <w14:schemeClr w14:val="tx1"/>
                  </w14:solidFill>
                </w14:textFill>
              </w:rPr>
            </w:pPr>
          </w:p>
          <w:p>
            <w:pPr>
              <w:pStyle w:val="383"/>
              <w:ind w:left="130" w:right="233" w:firstLine="360" w:firstLineChars="200"/>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18"/>
              <w:ind w:left="18"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二氯甲烷</w:t>
            </w:r>
          </w:p>
        </w:tc>
        <w:tc>
          <w:tcPr>
            <w:tcW w:w="2567" w:type="dxa"/>
            <w:tcBorders>
              <w:tl2br w:val="nil"/>
              <w:tr2bl w:val="nil"/>
            </w:tcBorders>
          </w:tcPr>
          <w:p>
            <w:pPr>
              <w:pStyle w:val="383"/>
              <w:ind w:left="21"/>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水质挥发性有机物的测定吹扫捕</w:t>
            </w:r>
          </w:p>
          <w:p>
            <w:pPr>
              <w:pStyle w:val="383"/>
              <w:spacing w:before="2" w:line="214" w:lineRule="exact"/>
              <w:ind w:left="45"/>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集气相色谱</w:t>
            </w:r>
            <w:r>
              <w:rPr>
                <w:rFonts w:ascii="Times New Roman" w:hAnsi="Times New Roman" w:cs="Times New Roman"/>
                <w:color w:val="000000" w:themeColor="text1"/>
                <w:spacing w:val="-3"/>
                <w:sz w:val="18"/>
                <w:szCs w:val="18"/>
                <w14:textFill>
                  <w14:solidFill>
                    <w14:schemeClr w14:val="tx1"/>
                  </w14:solidFill>
                </w14:textFill>
              </w:rPr>
              <w:t>-</w:t>
            </w:r>
            <w:r>
              <w:rPr>
                <w:rFonts w:ascii="Times New Roman" w:hAnsi="Times New Roman" w:cs="Times New Roman"/>
                <w:color w:val="000000" w:themeColor="text1"/>
                <w:spacing w:val="-12"/>
                <w:sz w:val="18"/>
                <w:szCs w:val="18"/>
                <w14:textFill>
                  <w14:solidFill>
                    <w14:schemeClr w14:val="tx1"/>
                  </w14:solidFill>
                </w14:textFill>
              </w:rPr>
              <w:t xml:space="preserve">质谱法 </w:t>
            </w:r>
            <w:r>
              <w:rPr>
                <w:rFonts w:ascii="Times New Roman" w:hAnsi="Times New Roman" w:cs="Times New Roman"/>
                <w:color w:val="000000" w:themeColor="text1"/>
                <w:sz w:val="18"/>
                <w:szCs w:val="18"/>
                <w14:textFill>
                  <w14:solidFill>
                    <w14:schemeClr w14:val="tx1"/>
                  </w14:solidFill>
                </w14:textFill>
              </w:rPr>
              <w:t>HJ</w:t>
            </w:r>
            <w:r>
              <w:rPr>
                <w:rFonts w:ascii="Times New Roman" w:hAnsi="Times New Roman" w:cs="Times New Roman"/>
                <w:color w:val="000000" w:themeColor="text1"/>
                <w:spacing w:val="-2"/>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639-2012</w:t>
            </w:r>
          </w:p>
        </w:tc>
        <w:tc>
          <w:tcPr>
            <w:tcW w:w="1901" w:type="dxa"/>
            <w:tcBorders>
              <w:tl2br w:val="nil"/>
              <w:tr2bl w:val="nil"/>
            </w:tcBorders>
          </w:tcPr>
          <w:p>
            <w:pPr>
              <w:pStyle w:val="383"/>
              <w:spacing w:before="10"/>
              <w:ind w:left="375"/>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GC8860-5977B</w:t>
            </w:r>
          </w:p>
          <w:p>
            <w:pPr>
              <w:pStyle w:val="383"/>
              <w:spacing w:before="1" w:line="228" w:lineRule="exact"/>
              <w:ind w:left="291"/>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气相色谱-质谱仪</w:t>
            </w:r>
          </w:p>
        </w:tc>
        <w:tc>
          <w:tcPr>
            <w:tcW w:w="1342" w:type="dxa"/>
            <w:tcBorders>
              <w:tl2br w:val="nil"/>
              <w:tr2bl w:val="nil"/>
            </w:tcBorders>
          </w:tcPr>
          <w:p>
            <w:pPr>
              <w:pStyle w:val="383"/>
              <w:spacing w:before="127"/>
              <w:ind w:left="179" w:right="17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XJFX010-01</w:t>
            </w:r>
          </w:p>
        </w:tc>
        <w:tc>
          <w:tcPr>
            <w:tcW w:w="1413" w:type="dxa"/>
            <w:tcBorders>
              <w:tl2br w:val="nil"/>
              <w:tr2bl w:val="nil"/>
            </w:tcBorders>
          </w:tcPr>
          <w:p>
            <w:pPr>
              <w:pStyle w:val="383"/>
              <w:spacing w:before="127"/>
              <w:ind w:left="420"/>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0.5μg/L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465" w:hRule="atLeast"/>
        </w:trPr>
        <w:tc>
          <w:tcPr>
            <w:tcW w:w="912" w:type="dxa"/>
            <w:vMerge w:val="continue"/>
            <w:tcBorders>
              <w:tl2br w:val="nil"/>
              <w:tr2bl w:val="nil"/>
            </w:tcBorders>
          </w:tcPr>
          <w:p>
            <w:pPr>
              <w:widowControl/>
              <w:jc w:val="center"/>
              <w:rPr>
                <w:rFonts w:ascii="Times New Roman" w:hAnsi="Times New Roman"/>
                <w:color w:val="000000" w:themeColor="text1"/>
                <w:kern w:val="0"/>
                <w:sz w:val="18"/>
                <w:szCs w:val="18"/>
                <w14:textFill>
                  <w14:solidFill>
                    <w14:schemeClr w14:val="tx1"/>
                  </w14:solidFill>
                </w14:textFill>
              </w:rPr>
            </w:pPr>
          </w:p>
        </w:tc>
        <w:tc>
          <w:tcPr>
            <w:tcW w:w="982" w:type="dxa"/>
            <w:tcBorders>
              <w:tl2br w:val="nil"/>
              <w:tr2bl w:val="nil"/>
            </w:tcBorders>
          </w:tcPr>
          <w:p>
            <w:pPr>
              <w:pStyle w:val="383"/>
              <w:spacing w:before="116"/>
              <w:ind w:left="18" w:right="15"/>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甲苯</w:t>
            </w:r>
          </w:p>
        </w:tc>
        <w:tc>
          <w:tcPr>
            <w:tcW w:w="2567" w:type="dxa"/>
            <w:tcBorders>
              <w:tl2br w:val="nil"/>
              <w:tr2bl w:val="nil"/>
            </w:tcBorders>
          </w:tcPr>
          <w:p>
            <w:pPr>
              <w:pStyle w:val="383"/>
              <w:spacing w:before="1"/>
              <w:ind w:left="21"/>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水质挥发性有机物的测定吹扫捕</w:t>
            </w:r>
          </w:p>
          <w:p>
            <w:pPr>
              <w:pStyle w:val="383"/>
              <w:spacing w:before="2" w:line="213" w:lineRule="exact"/>
              <w:ind w:left="45"/>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集气相色谱</w:t>
            </w:r>
            <w:r>
              <w:rPr>
                <w:rFonts w:ascii="Times New Roman" w:hAnsi="Times New Roman" w:cs="Times New Roman"/>
                <w:color w:val="000000" w:themeColor="text1"/>
                <w:spacing w:val="-3"/>
                <w:sz w:val="18"/>
                <w:szCs w:val="18"/>
                <w14:textFill>
                  <w14:solidFill>
                    <w14:schemeClr w14:val="tx1"/>
                  </w14:solidFill>
                </w14:textFill>
              </w:rPr>
              <w:t>-</w:t>
            </w:r>
            <w:r>
              <w:rPr>
                <w:rFonts w:ascii="Times New Roman" w:hAnsi="Times New Roman" w:cs="Times New Roman"/>
                <w:color w:val="000000" w:themeColor="text1"/>
                <w:spacing w:val="-12"/>
                <w:sz w:val="18"/>
                <w:szCs w:val="18"/>
                <w14:textFill>
                  <w14:solidFill>
                    <w14:schemeClr w14:val="tx1"/>
                  </w14:solidFill>
                </w14:textFill>
              </w:rPr>
              <w:t xml:space="preserve">质谱法 </w:t>
            </w:r>
            <w:r>
              <w:rPr>
                <w:rFonts w:ascii="Times New Roman" w:hAnsi="Times New Roman" w:cs="Times New Roman"/>
                <w:color w:val="000000" w:themeColor="text1"/>
                <w:sz w:val="18"/>
                <w:szCs w:val="18"/>
                <w14:textFill>
                  <w14:solidFill>
                    <w14:schemeClr w14:val="tx1"/>
                  </w14:solidFill>
                </w14:textFill>
              </w:rPr>
              <w:t>HJ</w:t>
            </w:r>
            <w:r>
              <w:rPr>
                <w:rFonts w:ascii="Times New Roman" w:hAnsi="Times New Roman" w:cs="Times New Roman"/>
                <w:color w:val="000000" w:themeColor="text1"/>
                <w:spacing w:val="-2"/>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639-2012</w:t>
            </w:r>
          </w:p>
        </w:tc>
        <w:tc>
          <w:tcPr>
            <w:tcW w:w="1901" w:type="dxa"/>
            <w:tcBorders>
              <w:tl2br w:val="nil"/>
              <w:tr2bl w:val="nil"/>
            </w:tcBorders>
          </w:tcPr>
          <w:p>
            <w:pPr>
              <w:pStyle w:val="383"/>
              <w:spacing w:before="10"/>
              <w:ind w:left="375"/>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GC8860-5977B</w:t>
            </w:r>
          </w:p>
          <w:p>
            <w:pPr>
              <w:pStyle w:val="383"/>
              <w:spacing w:before="2" w:line="228" w:lineRule="exact"/>
              <w:ind w:left="291"/>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气相色谱-质谱仪</w:t>
            </w:r>
          </w:p>
        </w:tc>
        <w:tc>
          <w:tcPr>
            <w:tcW w:w="1342" w:type="dxa"/>
            <w:tcBorders>
              <w:tl2br w:val="nil"/>
              <w:tr2bl w:val="nil"/>
            </w:tcBorders>
          </w:tcPr>
          <w:p>
            <w:pPr>
              <w:pStyle w:val="383"/>
              <w:spacing w:before="128"/>
              <w:ind w:left="179" w:right="17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XJFX010-01</w:t>
            </w:r>
          </w:p>
        </w:tc>
        <w:tc>
          <w:tcPr>
            <w:tcW w:w="1413" w:type="dxa"/>
            <w:tcBorders>
              <w:tl2br w:val="nil"/>
              <w:tr2bl w:val="nil"/>
            </w:tcBorders>
          </w:tcPr>
          <w:p>
            <w:pPr>
              <w:pStyle w:val="383"/>
              <w:spacing w:before="128"/>
              <w:ind w:left="420"/>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0.3μg/L</w:t>
            </w:r>
          </w:p>
        </w:tc>
      </w:tr>
    </w:tbl>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地表水环境质量现状评价方法采用单项标准指数法，除pH值外，其他水质参数的</w:t>
      </w:r>
    </w:p>
    <w:p>
      <w:pPr>
        <w:adjustRightInd w:val="0"/>
        <w:snapToGrid w:val="0"/>
        <w:spacing w:line="520" w:lineRule="exact"/>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单项标准指数Si为：</w:t>
      </w:r>
    </w:p>
    <w:p>
      <w:pPr>
        <w:pStyle w:val="2"/>
        <w:spacing w:before="26"/>
        <w:ind w:left="708" w:firstLine="2400" w:firstLineChars="100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position w:val="2"/>
          <w:sz w:val="24"/>
          <w:szCs w:val="24"/>
          <w14:textFill>
            <w14:solidFill>
              <w14:schemeClr w14:val="tx1"/>
            </w14:solidFill>
          </w14:textFill>
        </w:rPr>
        <w:t>S</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i</w:t>
      </w:r>
      <w:r>
        <w:rPr>
          <w:rFonts w:ascii="Times New Roman" w:hAnsi="Times New Roman" w:cs="Times New Roman"/>
          <w:color w:val="000000" w:themeColor="text1"/>
          <w:position w:val="2"/>
          <w:sz w:val="24"/>
          <w:szCs w:val="24"/>
          <w14:textFill>
            <w14:solidFill>
              <w14:schemeClr w14:val="tx1"/>
            </w14:solidFill>
          </w14:textFill>
        </w:rPr>
        <w:t>＝</w:t>
      </w:r>
      <w:r>
        <w:rPr>
          <w:rFonts w:ascii="Times New Roman" w:hAnsi="Times New Roman" w:eastAsia="Times New Roman" w:cs="Times New Roman"/>
          <w:color w:val="000000" w:themeColor="text1"/>
          <w:position w:val="2"/>
          <w:sz w:val="24"/>
          <w:szCs w:val="24"/>
          <w14:textFill>
            <w14:solidFill>
              <w14:schemeClr w14:val="tx1"/>
            </w14:solidFill>
          </w14:textFill>
        </w:rPr>
        <w:t>C</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i</w:t>
      </w:r>
      <w:r>
        <w:rPr>
          <w:rFonts w:ascii="Times New Roman" w:hAnsi="Times New Roman" w:eastAsia="Times New Roman" w:cs="Times New Roman"/>
          <w:color w:val="000000" w:themeColor="text1"/>
          <w:position w:val="2"/>
          <w:sz w:val="24"/>
          <w:szCs w:val="24"/>
          <w14:textFill>
            <w14:solidFill>
              <w14:schemeClr w14:val="tx1"/>
            </w14:solidFill>
          </w14:textFill>
        </w:rPr>
        <w:t>/C</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oi</w:t>
      </w:r>
    </w:p>
    <w:p>
      <w:pPr>
        <w:pStyle w:val="2"/>
        <w:spacing w:before="154" w:line="520" w:lineRule="exact"/>
        <w:ind w:left="70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position w:val="2"/>
          <w:sz w:val="24"/>
          <w:szCs w:val="24"/>
          <w14:textFill>
            <w14:solidFill>
              <w14:schemeClr w14:val="tx1"/>
            </w14:solidFill>
          </w14:textFill>
        </w:rPr>
        <w:t>式中：</w:t>
      </w:r>
      <w:r>
        <w:rPr>
          <w:rFonts w:ascii="Times New Roman" w:hAnsi="Times New Roman" w:eastAsia="Times New Roman" w:cs="Times New Roman"/>
          <w:color w:val="000000" w:themeColor="text1"/>
          <w:position w:val="2"/>
          <w:sz w:val="24"/>
          <w:szCs w:val="24"/>
          <w14:textFill>
            <w14:solidFill>
              <w14:schemeClr w14:val="tx1"/>
            </w14:solidFill>
          </w14:textFill>
        </w:rPr>
        <w:t>C</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i</w:t>
      </w:r>
      <w:r>
        <w:rPr>
          <w:rFonts w:ascii="Times New Roman" w:hAnsi="Times New Roman" w:eastAsia="Times New Roman" w:cs="Times New Roman"/>
          <w:color w:val="000000" w:themeColor="text1"/>
          <w:position w:val="2"/>
          <w:sz w:val="24"/>
          <w:szCs w:val="24"/>
          <w14:textFill>
            <w14:solidFill>
              <w14:schemeClr w14:val="tx1"/>
            </w14:solidFill>
          </w14:textFill>
        </w:rPr>
        <w:t>—</w:t>
      </w:r>
      <w:r>
        <w:rPr>
          <w:rFonts w:ascii="Times New Roman" w:hAnsi="Times New Roman" w:cs="Times New Roman"/>
          <w:color w:val="000000" w:themeColor="text1"/>
          <w:position w:val="2"/>
          <w:sz w:val="24"/>
          <w:szCs w:val="24"/>
          <w14:textFill>
            <w14:solidFill>
              <w14:schemeClr w14:val="tx1"/>
            </w14:solidFill>
          </w14:textFill>
        </w:rPr>
        <w:t>第</w:t>
      </w:r>
      <w:r>
        <w:rPr>
          <w:rFonts w:ascii="Times New Roman" w:hAnsi="Times New Roman" w:eastAsia="Times New Roman" w:cs="Times New Roman"/>
          <w:color w:val="000000" w:themeColor="text1"/>
          <w:position w:val="2"/>
          <w:sz w:val="24"/>
          <w:szCs w:val="24"/>
          <w14:textFill>
            <w14:solidFill>
              <w14:schemeClr w14:val="tx1"/>
            </w14:solidFill>
          </w14:textFill>
        </w:rPr>
        <w:t>i</w:t>
      </w:r>
      <w:r>
        <w:rPr>
          <w:rFonts w:ascii="Times New Roman" w:hAnsi="Times New Roman" w:cs="Times New Roman"/>
          <w:color w:val="000000" w:themeColor="text1"/>
          <w:position w:val="2"/>
          <w:sz w:val="24"/>
          <w:szCs w:val="24"/>
          <w14:textFill>
            <w14:solidFill>
              <w14:schemeClr w14:val="tx1"/>
            </w14:solidFill>
          </w14:textFill>
        </w:rPr>
        <w:t>种污染物实测浓度值，</w:t>
      </w:r>
      <w:r>
        <w:rPr>
          <w:rFonts w:ascii="Times New Roman" w:hAnsi="Times New Roman" w:eastAsia="Times New Roman" w:cs="Times New Roman"/>
          <w:color w:val="000000" w:themeColor="text1"/>
          <w:position w:val="2"/>
          <w:sz w:val="24"/>
          <w:szCs w:val="24"/>
          <w14:textFill>
            <w14:solidFill>
              <w14:schemeClr w14:val="tx1"/>
            </w14:solidFill>
          </w14:textFill>
        </w:rPr>
        <w:t>mg/l</w:t>
      </w:r>
      <w:r>
        <w:rPr>
          <w:rFonts w:ascii="Times New Roman" w:hAnsi="Times New Roman" w:cs="Times New Roman"/>
          <w:color w:val="000000" w:themeColor="text1"/>
          <w:position w:val="2"/>
          <w:sz w:val="24"/>
          <w:szCs w:val="24"/>
          <w14:textFill>
            <w14:solidFill>
              <w14:schemeClr w14:val="tx1"/>
            </w14:solidFill>
          </w14:textFill>
        </w:rPr>
        <w:t>；</w:t>
      </w:r>
    </w:p>
    <w:p>
      <w:pPr>
        <w:pStyle w:val="2"/>
        <w:spacing w:before="156" w:line="520" w:lineRule="exact"/>
        <w:ind w:left="708" w:right="1876" w:firstLine="720"/>
        <w:rPr>
          <w:rFonts w:ascii="Times New Roman" w:hAnsi="Times New Roman" w:cs="Times New Roman"/>
          <w:color w:val="000000" w:themeColor="text1"/>
          <w:spacing w:val="-17"/>
          <w:position w:val="2"/>
          <w:sz w:val="24"/>
          <w:szCs w:val="24"/>
          <w14:textFill>
            <w14:solidFill>
              <w14:schemeClr w14:val="tx1"/>
            </w14:solidFill>
          </w14:textFill>
        </w:rPr>
      </w:pPr>
      <w:r>
        <w:rPr>
          <w:rFonts w:ascii="Times New Roman" w:hAnsi="Times New Roman" w:eastAsia="Times New Roman" w:cs="Times New Roman"/>
          <w:color w:val="000000" w:themeColor="text1"/>
          <w:position w:val="2"/>
          <w:sz w:val="24"/>
          <w:szCs w:val="24"/>
          <w14:textFill>
            <w14:solidFill>
              <w14:schemeClr w14:val="tx1"/>
            </w14:solidFill>
          </w14:textFill>
        </w:rPr>
        <w:t>C</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0i</w:t>
      </w:r>
      <w:r>
        <w:rPr>
          <w:rFonts w:ascii="Times New Roman" w:hAnsi="Times New Roman" w:eastAsia="Times New Roman" w:cs="Times New Roman"/>
          <w:color w:val="000000" w:themeColor="text1"/>
          <w:position w:val="2"/>
          <w:sz w:val="24"/>
          <w:szCs w:val="24"/>
          <w14:textFill>
            <w14:solidFill>
              <w14:schemeClr w14:val="tx1"/>
            </w14:solidFill>
          </w14:textFill>
        </w:rPr>
        <w:t>—</w:t>
      </w:r>
      <w:r>
        <w:rPr>
          <w:rFonts w:ascii="Times New Roman" w:hAnsi="Times New Roman" w:cs="Times New Roman"/>
          <w:color w:val="000000" w:themeColor="text1"/>
          <w:spacing w:val="-31"/>
          <w:position w:val="2"/>
          <w:sz w:val="24"/>
          <w:szCs w:val="24"/>
          <w14:textFill>
            <w14:solidFill>
              <w14:schemeClr w14:val="tx1"/>
            </w14:solidFill>
          </w14:textFill>
        </w:rPr>
        <w:t xml:space="preserve">第 </w:t>
      </w:r>
      <w:r>
        <w:rPr>
          <w:rFonts w:ascii="Times New Roman" w:hAnsi="Times New Roman" w:eastAsia="Times New Roman" w:cs="Times New Roman"/>
          <w:color w:val="000000" w:themeColor="text1"/>
          <w:position w:val="2"/>
          <w:sz w:val="24"/>
          <w:szCs w:val="24"/>
          <w14:textFill>
            <w14:solidFill>
              <w14:schemeClr w14:val="tx1"/>
            </w14:solidFill>
          </w14:textFill>
        </w:rPr>
        <w:t>i</w:t>
      </w:r>
      <w:r>
        <w:rPr>
          <w:rFonts w:ascii="Times New Roman" w:hAnsi="Times New Roman" w:cs="Times New Roman"/>
          <w:color w:val="000000" w:themeColor="text1"/>
          <w:spacing w:val="-10"/>
          <w:position w:val="2"/>
          <w:sz w:val="24"/>
          <w:szCs w:val="24"/>
          <w14:textFill>
            <w14:solidFill>
              <w14:schemeClr w14:val="tx1"/>
            </w14:solidFill>
          </w14:textFill>
        </w:rPr>
        <w:t xml:space="preserve">种污染物在 </w:t>
      </w:r>
      <w:r>
        <w:rPr>
          <w:rFonts w:ascii="Times New Roman" w:hAnsi="Times New Roman" w:eastAsia="Times New Roman" w:cs="Times New Roman"/>
          <w:color w:val="000000" w:themeColor="text1"/>
          <w:position w:val="2"/>
          <w:sz w:val="24"/>
          <w:szCs w:val="24"/>
          <w14:textFill>
            <w14:solidFill>
              <w14:schemeClr w14:val="tx1"/>
            </w14:solidFill>
          </w14:textFill>
        </w:rPr>
        <w:t xml:space="preserve">GB3838-2002 </w:t>
      </w:r>
      <w:r>
        <w:rPr>
          <w:rFonts w:ascii="Times New Roman" w:hAnsi="Times New Roman" w:cs="Times New Roman"/>
          <w:color w:val="000000" w:themeColor="text1"/>
          <w:position w:val="2"/>
          <w:sz w:val="24"/>
          <w:szCs w:val="24"/>
          <w14:textFill>
            <w14:solidFill>
              <w14:schemeClr w14:val="tx1"/>
            </w14:solidFill>
          </w14:textFill>
        </w:rPr>
        <w:t>中Ⅲ类标准值，</w:t>
      </w:r>
      <w:r>
        <w:rPr>
          <w:rFonts w:ascii="Times New Roman" w:hAnsi="Times New Roman" w:eastAsia="Times New Roman" w:cs="Times New Roman"/>
          <w:color w:val="000000" w:themeColor="text1"/>
          <w:position w:val="2"/>
          <w:sz w:val="24"/>
          <w:szCs w:val="24"/>
          <w14:textFill>
            <w14:solidFill>
              <w14:schemeClr w14:val="tx1"/>
            </w14:solidFill>
          </w14:textFill>
        </w:rPr>
        <w:t>mg/l</w:t>
      </w:r>
      <w:r>
        <w:rPr>
          <w:rFonts w:ascii="Times New Roman" w:hAnsi="Times New Roman" w:cs="Times New Roman"/>
          <w:color w:val="000000" w:themeColor="text1"/>
          <w:spacing w:val="-17"/>
          <w:position w:val="2"/>
          <w:sz w:val="24"/>
          <w:szCs w:val="24"/>
          <w14:textFill>
            <w14:solidFill>
              <w14:schemeClr w14:val="tx1"/>
            </w14:solidFill>
          </w14:textFill>
        </w:rPr>
        <w:t>。</w:t>
      </w:r>
    </w:p>
    <w:p>
      <w:pPr>
        <w:pStyle w:val="2"/>
        <w:spacing w:before="156" w:line="520" w:lineRule="exact"/>
        <w:ind w:left="708" w:right="1876"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position w:val="2"/>
          <w:sz w:val="24"/>
          <w:szCs w:val="24"/>
          <w14:textFill>
            <w14:solidFill>
              <w14:schemeClr w14:val="tx1"/>
            </w14:solidFill>
          </w14:textFill>
        </w:rPr>
        <w:t xml:space="preserve">pH </w:t>
      </w:r>
      <w:r>
        <w:rPr>
          <w:rFonts w:ascii="Times New Roman" w:hAnsi="Times New Roman" w:cs="Times New Roman"/>
          <w:color w:val="000000" w:themeColor="text1"/>
          <w:spacing w:val="-10"/>
          <w:position w:val="2"/>
          <w:sz w:val="24"/>
          <w:szCs w:val="24"/>
          <w14:textFill>
            <w14:solidFill>
              <w14:schemeClr w14:val="tx1"/>
            </w14:solidFill>
          </w14:textFill>
        </w:rPr>
        <w:t>的标准指数</w:t>
      </w:r>
      <w:r>
        <w:rPr>
          <w:rFonts w:ascii="Times New Roman" w:hAnsi="Times New Roman" w:eastAsia="Times New Roman" w:cs="Times New Roman"/>
          <w:color w:val="000000" w:themeColor="text1"/>
          <w:position w:val="2"/>
          <w:sz w:val="24"/>
          <w:szCs w:val="24"/>
          <w14:textFill>
            <w14:solidFill>
              <w14:schemeClr w14:val="tx1"/>
            </w14:solidFill>
          </w14:textFill>
        </w:rPr>
        <w:t>S</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pH</w:t>
      </w:r>
      <w:r>
        <w:rPr>
          <w:rFonts w:ascii="Times New Roman" w:hAnsi="Times New Roman" w:cs="Times New Roman"/>
          <w:color w:val="000000" w:themeColor="text1"/>
          <w:position w:val="2"/>
          <w:sz w:val="24"/>
          <w:szCs w:val="24"/>
          <w14:textFill>
            <w14:solidFill>
              <w14:schemeClr w14:val="tx1"/>
            </w14:solidFill>
          </w14:textFill>
        </w:rPr>
        <w:t>为：</w:t>
      </w:r>
    </w:p>
    <w:p>
      <w:pPr>
        <w:pStyle w:val="2"/>
        <w:tabs>
          <w:tab w:val="left" w:pos="2333"/>
        </w:tabs>
        <w:spacing w:before="2" w:line="520" w:lineRule="exact"/>
        <w:ind w:left="708" w:right="3781"/>
        <w:rPr>
          <w:rFonts w:ascii="Times New Roman" w:hAnsi="Times New Roman" w:cs="Times New Roman"/>
          <w:color w:val="000000" w:themeColor="text1"/>
          <w:spacing w:val="-3"/>
          <w:position w:val="2"/>
          <w:sz w:val="24"/>
          <w:szCs w:val="24"/>
          <w14:textFill>
            <w14:solidFill>
              <w14:schemeClr w14:val="tx1"/>
            </w14:solidFill>
          </w14:textFill>
        </w:rPr>
      </w:pPr>
      <w:r>
        <w:rPr>
          <w:rFonts w:ascii="Times New Roman" w:hAnsi="Times New Roman" w:cs="Times New Roman"/>
          <w:color w:val="000000" w:themeColor="text1"/>
          <w:position w:val="2"/>
          <w:sz w:val="24"/>
          <w:szCs w:val="24"/>
          <w14:textFill>
            <w14:solidFill>
              <w14:schemeClr w14:val="tx1"/>
            </w14:solidFill>
          </w14:textFill>
        </w:rPr>
        <w:t>当</w:t>
      </w:r>
      <w:r>
        <w:rPr>
          <w:rFonts w:ascii="Times New Roman" w:hAnsi="Times New Roman" w:cs="Times New Roman"/>
          <w:color w:val="000000" w:themeColor="text1"/>
          <w:spacing w:val="-61"/>
          <w:position w:val="2"/>
          <w:sz w:val="24"/>
          <w:szCs w:val="24"/>
          <w14:textFill>
            <w14:solidFill>
              <w14:schemeClr w14:val="tx1"/>
            </w14:solidFill>
          </w14:textFill>
        </w:rPr>
        <w:t xml:space="preserve"> </w:t>
      </w:r>
      <w:r>
        <w:rPr>
          <w:rFonts w:ascii="Times New Roman" w:hAnsi="Times New Roman" w:eastAsia="Times New Roman" w:cs="Times New Roman"/>
          <w:color w:val="000000" w:themeColor="text1"/>
          <w:position w:val="2"/>
          <w:sz w:val="24"/>
          <w:szCs w:val="24"/>
          <w14:textFill>
            <w14:solidFill>
              <w14:schemeClr w14:val="tx1"/>
            </w14:solidFill>
          </w14:textFill>
        </w:rPr>
        <w:t>pH≤7.0</w:t>
      </w:r>
      <w:r>
        <w:rPr>
          <w:rFonts w:ascii="Times New Roman" w:hAnsi="Times New Roman" w:eastAsia="Times New Roman" w:cs="Times New Roman"/>
          <w:color w:val="000000" w:themeColor="text1"/>
          <w:position w:val="2"/>
          <w:sz w:val="24"/>
          <w:szCs w:val="24"/>
          <w14:textFill>
            <w14:solidFill>
              <w14:schemeClr w14:val="tx1"/>
            </w14:solidFill>
          </w14:textFill>
        </w:rPr>
        <w:tab/>
      </w:r>
      <w:r>
        <w:rPr>
          <w:rFonts w:ascii="Times New Roman" w:hAnsi="Times New Roman" w:eastAsia="Times New Roman" w:cs="Times New Roman"/>
          <w:color w:val="000000" w:themeColor="text1"/>
          <w:spacing w:val="-3"/>
          <w:position w:val="2"/>
          <w:sz w:val="24"/>
          <w:szCs w:val="24"/>
          <w14:textFill>
            <w14:solidFill>
              <w14:schemeClr w14:val="tx1"/>
            </w14:solidFill>
          </w14:textFill>
        </w:rPr>
        <w:t>S</w:t>
      </w:r>
      <w:r>
        <w:rPr>
          <w:rFonts w:ascii="Times New Roman" w:hAnsi="Times New Roman" w:eastAsia="Times New Roman" w:cs="Times New Roman"/>
          <w:color w:val="000000" w:themeColor="text1"/>
          <w:spacing w:val="-3"/>
          <w:position w:val="2"/>
          <w:sz w:val="24"/>
          <w:szCs w:val="24"/>
          <w:vertAlign w:val="subscript"/>
          <w14:textFill>
            <w14:solidFill>
              <w14:schemeClr w14:val="tx1"/>
            </w14:solidFill>
          </w14:textFill>
        </w:rPr>
        <w:t>pH</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7.0</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pH</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7.0-pH</w:t>
      </w:r>
      <w:r>
        <w:rPr>
          <w:rFonts w:ascii="Times New Roman" w:hAnsi="Times New Roman" w:eastAsia="Times New Roman" w:cs="Times New Roman"/>
          <w:color w:val="000000" w:themeColor="text1"/>
          <w:spacing w:val="-3"/>
          <w:position w:val="2"/>
          <w:sz w:val="24"/>
          <w:szCs w:val="24"/>
          <w:vertAlign w:val="subscript"/>
          <w14:textFill>
            <w14:solidFill>
              <w14:schemeClr w14:val="tx1"/>
            </w14:solidFill>
          </w14:textFill>
        </w:rPr>
        <w:t>01</w:t>
      </w:r>
      <w:r>
        <w:rPr>
          <w:rFonts w:ascii="Times New Roman" w:hAnsi="Times New Roman" w:cs="Times New Roman"/>
          <w:color w:val="000000" w:themeColor="text1"/>
          <w:spacing w:val="-3"/>
          <w:position w:val="2"/>
          <w:sz w:val="24"/>
          <w:szCs w:val="24"/>
          <w14:textFill>
            <w14:solidFill>
              <w14:schemeClr w14:val="tx1"/>
            </w14:solidFill>
          </w14:textFill>
        </w:rPr>
        <w:t>）</w:t>
      </w:r>
    </w:p>
    <w:p>
      <w:pPr>
        <w:pStyle w:val="2"/>
        <w:tabs>
          <w:tab w:val="left" w:pos="2333"/>
        </w:tabs>
        <w:spacing w:before="2" w:line="520" w:lineRule="exact"/>
        <w:ind w:left="708" w:right="3781"/>
        <w:rPr>
          <w:rFonts w:ascii="Times New Roman" w:hAnsi="Times New Roman" w:cs="Times New Roman"/>
          <w:color w:val="000000" w:themeColor="text1"/>
          <w:spacing w:val="-3"/>
          <w:position w:val="2"/>
          <w:sz w:val="24"/>
          <w:szCs w:val="24"/>
          <w14:textFill>
            <w14:solidFill>
              <w14:schemeClr w14:val="tx1"/>
            </w14:solidFill>
          </w14:textFill>
        </w:rPr>
      </w:pPr>
      <w:r>
        <w:rPr>
          <w:rFonts w:ascii="Times New Roman" w:hAnsi="Times New Roman" w:cs="Times New Roman"/>
          <w:color w:val="000000" w:themeColor="text1"/>
          <w:position w:val="2"/>
          <w:sz w:val="24"/>
          <w:szCs w:val="24"/>
          <w14:textFill>
            <w14:solidFill>
              <w14:schemeClr w14:val="tx1"/>
            </w14:solidFill>
          </w14:textFill>
        </w:rPr>
        <w:t>当</w:t>
      </w:r>
      <w:r>
        <w:rPr>
          <w:rFonts w:ascii="Times New Roman" w:hAnsi="Times New Roman" w:cs="Times New Roman"/>
          <w:color w:val="000000" w:themeColor="text1"/>
          <w:spacing w:val="-61"/>
          <w:position w:val="2"/>
          <w:sz w:val="24"/>
          <w:szCs w:val="24"/>
          <w14:textFill>
            <w14:solidFill>
              <w14:schemeClr w14:val="tx1"/>
            </w14:solidFill>
          </w14:textFill>
        </w:rPr>
        <w:t xml:space="preserve"> </w:t>
      </w:r>
      <w:r>
        <w:rPr>
          <w:rFonts w:ascii="Times New Roman" w:hAnsi="Times New Roman" w:eastAsia="Times New Roman" w:cs="Times New Roman"/>
          <w:color w:val="000000" w:themeColor="text1"/>
          <w:position w:val="2"/>
          <w:sz w:val="24"/>
          <w:szCs w:val="24"/>
          <w14:textFill>
            <w14:solidFill>
              <w14:schemeClr w14:val="tx1"/>
            </w14:solidFill>
          </w14:textFill>
        </w:rPr>
        <w:t>pH≥7.0</w:t>
      </w:r>
      <w:r>
        <w:rPr>
          <w:rFonts w:ascii="Times New Roman" w:hAnsi="Times New Roman" w:eastAsia="Times New Roman" w:cs="Times New Roman"/>
          <w:color w:val="000000" w:themeColor="text1"/>
          <w:position w:val="2"/>
          <w:sz w:val="24"/>
          <w:szCs w:val="24"/>
          <w14:textFill>
            <w14:solidFill>
              <w14:schemeClr w14:val="tx1"/>
            </w14:solidFill>
          </w14:textFill>
        </w:rPr>
        <w:tab/>
      </w:r>
      <w:r>
        <w:rPr>
          <w:rFonts w:ascii="Times New Roman" w:hAnsi="Times New Roman" w:eastAsia="Times New Roman" w:cs="Times New Roman"/>
          <w:color w:val="000000" w:themeColor="text1"/>
          <w:spacing w:val="-3"/>
          <w:position w:val="2"/>
          <w:sz w:val="24"/>
          <w:szCs w:val="24"/>
          <w14:textFill>
            <w14:solidFill>
              <w14:schemeClr w14:val="tx1"/>
            </w14:solidFill>
          </w14:textFill>
        </w:rPr>
        <w:t>S</w:t>
      </w:r>
      <w:r>
        <w:rPr>
          <w:rFonts w:ascii="Times New Roman" w:hAnsi="Times New Roman" w:eastAsia="Times New Roman" w:cs="Times New Roman"/>
          <w:color w:val="000000" w:themeColor="text1"/>
          <w:spacing w:val="-3"/>
          <w:position w:val="2"/>
          <w:sz w:val="24"/>
          <w:szCs w:val="24"/>
          <w:vertAlign w:val="subscript"/>
          <w14:textFill>
            <w14:solidFill>
              <w14:schemeClr w14:val="tx1"/>
            </w14:solidFill>
          </w14:textFill>
        </w:rPr>
        <w:t>pH</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pH</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7.0</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w:t>
      </w:r>
      <w:r>
        <w:rPr>
          <w:rFonts w:ascii="Times New Roman" w:hAnsi="Times New Roman" w:cs="Times New Roman"/>
          <w:color w:val="000000" w:themeColor="text1"/>
          <w:spacing w:val="-3"/>
          <w:position w:val="2"/>
          <w:sz w:val="24"/>
          <w:szCs w:val="24"/>
          <w14:textFill>
            <w14:solidFill>
              <w14:schemeClr w14:val="tx1"/>
            </w14:solidFill>
          </w14:textFill>
        </w:rPr>
        <w:t>（</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pH</w:t>
      </w:r>
      <w:r>
        <w:rPr>
          <w:rFonts w:ascii="Times New Roman" w:hAnsi="Times New Roman" w:eastAsia="Times New Roman" w:cs="Times New Roman"/>
          <w:color w:val="000000" w:themeColor="text1"/>
          <w:spacing w:val="-3"/>
          <w:position w:val="2"/>
          <w:sz w:val="24"/>
          <w:szCs w:val="24"/>
          <w:vertAlign w:val="subscript"/>
          <w14:textFill>
            <w14:solidFill>
              <w14:schemeClr w14:val="tx1"/>
            </w14:solidFill>
          </w14:textFill>
        </w:rPr>
        <w:t>02</w:t>
      </w:r>
      <w:r>
        <w:rPr>
          <w:rFonts w:ascii="Times New Roman" w:hAnsi="Times New Roman" w:eastAsia="Times New Roman" w:cs="Times New Roman"/>
          <w:color w:val="000000" w:themeColor="text1"/>
          <w:spacing w:val="-3"/>
          <w:position w:val="2"/>
          <w:sz w:val="24"/>
          <w:szCs w:val="24"/>
          <w14:textFill>
            <w14:solidFill>
              <w14:schemeClr w14:val="tx1"/>
            </w14:solidFill>
          </w14:textFill>
        </w:rPr>
        <w:t>-7.0</w:t>
      </w:r>
      <w:r>
        <w:rPr>
          <w:rFonts w:ascii="Times New Roman" w:hAnsi="Times New Roman" w:cs="Times New Roman"/>
          <w:color w:val="000000" w:themeColor="text1"/>
          <w:spacing w:val="-3"/>
          <w:position w:val="2"/>
          <w:sz w:val="24"/>
          <w:szCs w:val="24"/>
          <w14:textFill>
            <w14:solidFill>
              <w14:schemeClr w14:val="tx1"/>
            </w14:solidFill>
          </w14:textFill>
        </w:rPr>
        <w:t xml:space="preserve">） </w:t>
      </w:r>
    </w:p>
    <w:p>
      <w:pPr>
        <w:pStyle w:val="2"/>
        <w:tabs>
          <w:tab w:val="left" w:pos="2333"/>
        </w:tabs>
        <w:spacing w:before="2" w:line="520" w:lineRule="exact"/>
        <w:ind w:left="708" w:right="378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w:t>
      </w:r>
      <w:r>
        <w:rPr>
          <w:rFonts w:ascii="Times New Roman" w:hAnsi="Times New Roman" w:cs="Times New Roman"/>
          <w:color w:val="000000" w:themeColor="text1"/>
          <w:sz w:val="24"/>
          <w:szCs w:val="24"/>
          <w14:textFill>
            <w14:solidFill>
              <w14:schemeClr w14:val="tx1"/>
            </w14:solidFill>
          </w14:textFill>
        </w:rPr>
        <w:t>实测的</w:t>
      </w:r>
      <w:r>
        <w:rPr>
          <w:rFonts w:ascii="Times New Roman" w:hAnsi="Times New Roman" w:cs="Times New Roman"/>
          <w:color w:val="000000" w:themeColor="text1"/>
          <w:spacing w:val="-6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pH</w:t>
      </w:r>
      <w:r>
        <w:rPr>
          <w:rFonts w:ascii="Times New Roman" w:hAnsi="Times New Roman" w:eastAsia="Times New Roman" w:cs="Times New Roman"/>
          <w:color w:val="000000" w:themeColor="text1"/>
          <w:spacing w:val="-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值；</w:t>
      </w:r>
    </w:p>
    <w:p>
      <w:pPr>
        <w:pStyle w:val="2"/>
        <w:spacing w:line="520" w:lineRule="exact"/>
        <w:ind w:left="148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position w:val="2"/>
          <w:sz w:val="24"/>
          <w:szCs w:val="24"/>
          <w14:textFill>
            <w14:solidFill>
              <w14:schemeClr w14:val="tx1"/>
            </w14:solidFill>
          </w14:textFill>
        </w:rPr>
        <w:t>pH</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01</w:t>
      </w:r>
      <w:r>
        <w:rPr>
          <w:rFonts w:ascii="Times New Roman" w:hAnsi="Times New Roman" w:eastAsia="Times New Roman" w:cs="Times New Roman"/>
          <w:color w:val="000000" w:themeColor="text1"/>
          <w:position w:val="2"/>
          <w:sz w:val="24"/>
          <w:szCs w:val="24"/>
          <w14:textFill>
            <w14:solidFill>
              <w14:schemeClr w14:val="tx1"/>
            </w14:solidFill>
          </w14:textFill>
        </w:rPr>
        <w:t>—</w:t>
      </w:r>
      <w:r>
        <w:rPr>
          <w:rFonts w:ascii="Times New Roman" w:hAnsi="Times New Roman" w:cs="Times New Roman"/>
          <w:color w:val="000000" w:themeColor="text1"/>
          <w:spacing w:val="-5"/>
          <w:position w:val="2"/>
          <w:sz w:val="24"/>
          <w:szCs w:val="24"/>
          <w14:textFill>
            <w14:solidFill>
              <w14:schemeClr w14:val="tx1"/>
            </w14:solidFill>
          </w14:textFill>
        </w:rPr>
        <w:t>地表水质量标准中规定的</w:t>
      </w:r>
      <w:r>
        <w:rPr>
          <w:rFonts w:ascii="Times New Roman" w:hAnsi="Times New Roman" w:eastAsia="Times New Roman" w:cs="Times New Roman"/>
          <w:color w:val="000000" w:themeColor="text1"/>
          <w:position w:val="2"/>
          <w:sz w:val="24"/>
          <w:szCs w:val="24"/>
          <w14:textFill>
            <w14:solidFill>
              <w14:schemeClr w14:val="tx1"/>
            </w14:solidFill>
          </w14:textFill>
        </w:rPr>
        <w:t>pH</w:t>
      </w:r>
      <w:r>
        <w:rPr>
          <w:rFonts w:ascii="Times New Roman" w:hAnsi="Times New Roman" w:cs="Times New Roman"/>
          <w:color w:val="000000" w:themeColor="text1"/>
          <w:position w:val="2"/>
          <w:sz w:val="24"/>
          <w:szCs w:val="24"/>
          <w14:textFill>
            <w14:solidFill>
              <w14:schemeClr w14:val="tx1"/>
            </w14:solidFill>
          </w14:textFill>
        </w:rPr>
        <w:t>值下限；</w:t>
      </w:r>
    </w:p>
    <w:p>
      <w:pPr>
        <w:pStyle w:val="2"/>
        <w:spacing w:before="156" w:line="520" w:lineRule="exact"/>
        <w:ind w:left="1488"/>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position w:val="2"/>
          <w:sz w:val="24"/>
          <w:szCs w:val="24"/>
          <w14:textFill>
            <w14:solidFill>
              <w14:schemeClr w14:val="tx1"/>
            </w14:solidFill>
          </w14:textFill>
        </w:rPr>
        <w:t>pH</w:t>
      </w:r>
      <w:r>
        <w:rPr>
          <w:rFonts w:ascii="Times New Roman" w:hAnsi="Times New Roman" w:eastAsia="Times New Roman" w:cs="Times New Roman"/>
          <w:color w:val="000000" w:themeColor="text1"/>
          <w:position w:val="2"/>
          <w:sz w:val="24"/>
          <w:szCs w:val="24"/>
          <w:vertAlign w:val="subscript"/>
          <w14:textFill>
            <w14:solidFill>
              <w14:schemeClr w14:val="tx1"/>
            </w14:solidFill>
          </w14:textFill>
        </w:rPr>
        <w:t>02</w:t>
      </w:r>
      <w:r>
        <w:rPr>
          <w:rFonts w:ascii="Times New Roman" w:hAnsi="Times New Roman" w:eastAsia="Times New Roman" w:cs="Times New Roman"/>
          <w:color w:val="000000" w:themeColor="text1"/>
          <w:position w:val="2"/>
          <w:sz w:val="24"/>
          <w:szCs w:val="24"/>
          <w14:textFill>
            <w14:solidFill>
              <w14:schemeClr w14:val="tx1"/>
            </w14:solidFill>
          </w14:textFill>
        </w:rPr>
        <w:t>—</w:t>
      </w:r>
      <w:r>
        <w:rPr>
          <w:rFonts w:ascii="Times New Roman" w:hAnsi="Times New Roman" w:cs="Times New Roman"/>
          <w:color w:val="000000" w:themeColor="text1"/>
          <w:spacing w:val="-5"/>
          <w:position w:val="2"/>
          <w:sz w:val="24"/>
          <w:szCs w:val="24"/>
          <w14:textFill>
            <w14:solidFill>
              <w14:schemeClr w14:val="tx1"/>
            </w14:solidFill>
          </w14:textFill>
        </w:rPr>
        <w:t>地表水质量标准中规定的</w:t>
      </w:r>
      <w:r>
        <w:rPr>
          <w:rFonts w:ascii="Times New Roman" w:hAnsi="Times New Roman" w:eastAsia="Times New Roman" w:cs="Times New Roman"/>
          <w:color w:val="000000" w:themeColor="text1"/>
          <w:position w:val="2"/>
          <w:sz w:val="24"/>
          <w:szCs w:val="24"/>
          <w14:textFill>
            <w14:solidFill>
              <w14:schemeClr w14:val="tx1"/>
            </w14:solidFill>
          </w14:textFill>
        </w:rPr>
        <w:t>pH</w:t>
      </w:r>
      <w:r>
        <w:rPr>
          <w:rFonts w:ascii="Times New Roman" w:hAnsi="Times New Roman" w:cs="Times New Roman"/>
          <w:color w:val="000000" w:themeColor="text1"/>
          <w:position w:val="2"/>
          <w:sz w:val="24"/>
          <w:szCs w:val="24"/>
          <w14:textFill>
            <w14:solidFill>
              <w14:schemeClr w14:val="tx1"/>
            </w14:solidFill>
          </w14:textFill>
        </w:rPr>
        <w:t>值上限。</w:t>
      </w:r>
    </w:p>
    <w:p>
      <w:pPr>
        <w:adjustRightInd w:val="0"/>
        <w:snapToGrid w:val="0"/>
        <w:spacing w:line="520" w:lineRule="exact"/>
        <w:ind w:firstLine="480" w:firstLineChars="20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（2）监测结果统计及评价</w:t>
      </w:r>
    </w:p>
    <w:p>
      <w:pPr>
        <w:adjustRightInd w:val="0"/>
        <w:snapToGrid w:val="0"/>
        <w:spacing w:line="520" w:lineRule="exact"/>
        <w:ind w:firstLine="480" w:firstLineChars="20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引用监测结果和各点位污染物单项标准指数见表</w:t>
      </w:r>
      <w:r>
        <w:rPr>
          <w:rFonts w:hint="eastAsia" w:ascii="Times New Roman" w:hAnsi="Times New Roman"/>
          <w:bCs/>
          <w:color w:val="000000" w:themeColor="text1"/>
          <w:sz w:val="24"/>
          <w:szCs w:val="24"/>
          <w:lang w:val="en-US" w:eastAsia="zh-CN"/>
          <w14:textFill>
            <w14:solidFill>
              <w14:schemeClr w14:val="tx1"/>
            </w14:solidFill>
          </w14:textFill>
        </w:rPr>
        <w:t>5</w:t>
      </w:r>
      <w:r>
        <w:rPr>
          <w:rFonts w:hint="eastAsia"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lang w:val="en-US" w:eastAsia="zh-CN"/>
          <w14:textFill>
            <w14:solidFill>
              <w14:schemeClr w14:val="tx1"/>
            </w14:solidFill>
          </w14:textFill>
        </w:rPr>
        <w:t>3</w:t>
      </w:r>
      <w:r>
        <w:rPr>
          <w:rFonts w:hint="eastAsia" w:ascii="Times New Roman" w:hAnsi="Times New Roman"/>
          <w:bCs/>
          <w:color w:val="000000" w:themeColor="text1"/>
          <w:sz w:val="24"/>
          <w:szCs w:val="24"/>
          <w14:textFill>
            <w14:solidFill>
              <w14:schemeClr w14:val="tx1"/>
            </w14:solidFill>
          </w14:textFill>
        </w:rPr>
        <w:t>-6~表</w:t>
      </w:r>
      <w:r>
        <w:rPr>
          <w:rFonts w:hint="eastAsia" w:ascii="Times New Roman" w:hAnsi="Times New Roman"/>
          <w:bCs/>
          <w:color w:val="000000" w:themeColor="text1"/>
          <w:sz w:val="24"/>
          <w:szCs w:val="24"/>
          <w:lang w:val="en-US" w:eastAsia="zh-CN"/>
          <w14:textFill>
            <w14:solidFill>
              <w14:schemeClr w14:val="tx1"/>
            </w14:solidFill>
          </w14:textFill>
        </w:rPr>
        <w:t>5</w:t>
      </w:r>
      <w:r>
        <w:rPr>
          <w:rFonts w:hint="eastAsia"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lang w:val="en-US" w:eastAsia="zh-CN"/>
          <w14:textFill>
            <w14:solidFill>
              <w14:schemeClr w14:val="tx1"/>
            </w14:solidFill>
          </w14:textFill>
        </w:rPr>
        <w:t>3</w:t>
      </w:r>
      <w:r>
        <w:rPr>
          <w:rFonts w:hint="eastAsia" w:ascii="Times New Roman" w:hAnsi="Times New Roman"/>
          <w:bCs/>
          <w:color w:val="000000" w:themeColor="text1"/>
          <w:sz w:val="24"/>
          <w:szCs w:val="24"/>
          <w14:textFill>
            <w14:solidFill>
              <w14:schemeClr w14:val="tx1"/>
            </w14:solidFill>
          </w14:textFill>
        </w:rPr>
        <w:t>-8。</w:t>
      </w:r>
    </w:p>
    <w:p>
      <w:pPr>
        <w:pStyle w:val="107"/>
        <w:rPr>
          <w:rFonts w:ascii="Times New Roman" w:hAnsi="Times New Roman" w:eastAsia="宋体" w:cs="Times New Roman"/>
          <w:bCs/>
          <w:color w:val="000000" w:themeColor="text1"/>
          <w14:textFill>
            <w14:solidFill>
              <w14:schemeClr w14:val="tx1"/>
            </w14:solidFill>
          </w14:textFill>
        </w:rPr>
      </w:pPr>
    </w:p>
    <w:p>
      <w:pPr>
        <w:rPr>
          <w:rFonts w:ascii="Times New Roman" w:hAnsi="Times New Roman"/>
          <w:bCs/>
          <w:color w:val="000000" w:themeColor="text1"/>
          <w:sz w:val="24"/>
          <w:szCs w:val="24"/>
          <w14:textFill>
            <w14:solidFill>
              <w14:schemeClr w14:val="tx1"/>
            </w14:solidFill>
          </w14:textFill>
        </w:rPr>
      </w:pPr>
    </w:p>
    <w:p>
      <w:pPr>
        <w:pStyle w:val="107"/>
        <w:rPr>
          <w:rFonts w:ascii="Times New Roman" w:hAnsi="Times New Roman" w:eastAsia="宋体" w:cs="Times New Roman"/>
          <w:bCs/>
          <w:color w:val="000000" w:themeColor="text1"/>
          <w14:textFill>
            <w14:solidFill>
              <w14:schemeClr w14:val="tx1"/>
            </w14:solidFill>
          </w14:textFill>
        </w:rPr>
      </w:pPr>
    </w:p>
    <w:p>
      <w:pPr>
        <w:rPr>
          <w:rFonts w:ascii="Times New Roman" w:hAnsi="Times New Roman"/>
          <w:bCs/>
          <w:color w:val="000000" w:themeColor="text1"/>
          <w:sz w:val="24"/>
          <w:szCs w:val="24"/>
          <w14:textFill>
            <w14:solidFill>
              <w14:schemeClr w14:val="tx1"/>
            </w14:solidFill>
          </w14:textFill>
        </w:rPr>
      </w:pPr>
    </w:p>
    <w:p>
      <w:pPr>
        <w:pStyle w:val="107"/>
        <w:rPr>
          <w:rFonts w:ascii="Times New Roman" w:hAnsi="Times New Roman" w:eastAsia="宋体" w:cs="Times New Roman"/>
          <w:bCs/>
          <w:color w:val="000000" w:themeColor="text1"/>
          <w14:textFill>
            <w14:solidFill>
              <w14:schemeClr w14:val="tx1"/>
            </w14:solidFill>
          </w14:textFill>
        </w:rPr>
      </w:pPr>
    </w:p>
    <w:p>
      <w:pPr>
        <w:rPr>
          <w:rFonts w:ascii="Times New Roman" w:hAnsi="Times New Roman"/>
          <w:bCs/>
          <w:color w:val="000000" w:themeColor="text1"/>
          <w:sz w:val="24"/>
          <w:szCs w:val="24"/>
          <w14:textFill>
            <w14:solidFill>
              <w14:schemeClr w14:val="tx1"/>
            </w14:solidFill>
          </w14:textFill>
        </w:rPr>
      </w:pPr>
    </w:p>
    <w:p>
      <w:pPr>
        <w:pStyle w:val="107"/>
        <w:rPr>
          <w:rFonts w:ascii="Times New Roman" w:hAnsi="Times New Roman" w:eastAsia="宋体" w:cs="Times New Roman"/>
          <w:bCs/>
          <w:color w:val="000000" w:themeColor="text1"/>
          <w14:textFill>
            <w14:solidFill>
              <w14:schemeClr w14:val="tx1"/>
            </w14:solidFill>
          </w14:textFill>
        </w:rPr>
      </w:pPr>
    </w:p>
    <w:p>
      <w:pPr>
        <w:rPr>
          <w:rFonts w:ascii="Times New Roman" w:hAnsi="Times New Roman"/>
          <w:bCs/>
          <w:color w:val="000000" w:themeColor="text1"/>
          <w:sz w:val="24"/>
          <w:szCs w:val="24"/>
          <w14:textFill>
            <w14:solidFill>
              <w14:schemeClr w14:val="tx1"/>
            </w14:solidFill>
          </w14:textFill>
        </w:rPr>
      </w:pPr>
    </w:p>
    <w:p>
      <w:pPr>
        <w:pStyle w:val="107"/>
        <w:rPr>
          <w:rFonts w:ascii="Times New Roman" w:hAnsi="Times New Roman" w:eastAsia="宋体" w:cs="Times New Roman"/>
          <w:bCs/>
          <w:color w:val="000000" w:themeColor="text1"/>
          <w14:textFill>
            <w14:solidFill>
              <w14:schemeClr w14:val="tx1"/>
            </w14:solidFill>
          </w14:textFill>
        </w:rPr>
      </w:pPr>
    </w:p>
    <w:p>
      <w:pPr>
        <w:rPr>
          <w:rFonts w:ascii="Times New Roman" w:hAnsi="Times New Roman"/>
          <w:bCs/>
          <w:color w:val="000000" w:themeColor="text1"/>
          <w:sz w:val="24"/>
          <w:szCs w:val="24"/>
          <w14:textFill>
            <w14:solidFill>
              <w14:schemeClr w14:val="tx1"/>
            </w14:solidFill>
          </w14:textFill>
        </w:rPr>
        <w:sectPr>
          <w:pgSz w:w="11910" w:h="16840"/>
          <w:pgMar w:top="1300" w:right="1180" w:bottom="1440" w:left="1360" w:header="1060" w:footer="1246" w:gutter="0"/>
          <w:pgBorders>
            <w:top w:val="none" w:sz="0" w:space="0"/>
            <w:left w:val="none" w:sz="0" w:space="0"/>
            <w:bottom w:val="none" w:sz="0" w:space="0"/>
            <w:right w:val="none" w:sz="0" w:space="0"/>
          </w:pgBorders>
          <w:cols w:space="720" w:num="1"/>
        </w:sectPr>
      </w:pPr>
      <w:r>
        <w:rPr>
          <w:rFonts w:hint="eastAsia" w:ascii="Times New Roman" w:hAnsi="Times New Roman"/>
          <w:bCs/>
          <w:color w:val="000000" w:themeColor="text1"/>
          <w:sz w:val="24"/>
          <w:szCs w:val="24"/>
          <w14:textFill>
            <w14:solidFill>
              <w14:schemeClr w14:val="tx1"/>
            </w14:solidFill>
          </w14:textFill>
        </w:rPr>
        <w:t xml:space="preserve">                                                                           </w:t>
      </w:r>
    </w:p>
    <w:p>
      <w:pPr>
        <w:tabs>
          <w:tab w:val="left" w:pos="1443"/>
        </w:tabs>
        <w:spacing w:before="76" w:after="22"/>
        <w:ind w:left="43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bCs w:val="0"/>
          <w:color w:val="000000" w:themeColor="text1"/>
          <w:sz w:val="24"/>
          <w:szCs w:val="24"/>
          <w:lang w:val="en-US" w:eastAsia="zh-CN"/>
          <w14:textFill>
            <w14:solidFill>
              <w14:schemeClr w14:val="tx1"/>
            </w14:solidFill>
          </w14:textFill>
        </w:rPr>
        <w:t>5</w:t>
      </w:r>
      <w:r>
        <w:rPr>
          <w:rFonts w:hint="eastAsia" w:ascii="Times New Roman" w:hAnsi="Times New Roman"/>
          <w:b/>
          <w:bCs w:val="0"/>
          <w:color w:val="000000" w:themeColor="text1"/>
          <w:sz w:val="24"/>
          <w:szCs w:val="24"/>
          <w14:textFill>
            <w14:solidFill>
              <w14:schemeClr w14:val="tx1"/>
            </w14:solidFill>
          </w14:textFill>
        </w:rPr>
        <w:t>.</w:t>
      </w:r>
      <w:r>
        <w:rPr>
          <w:rFonts w:hint="eastAsia" w:ascii="Times New Roman" w:hAnsi="Times New Roman"/>
          <w:b/>
          <w:bCs w:val="0"/>
          <w:color w:val="000000" w:themeColor="text1"/>
          <w:sz w:val="24"/>
          <w:szCs w:val="24"/>
          <w:lang w:val="en-US" w:eastAsia="zh-CN"/>
          <w14:textFill>
            <w14:solidFill>
              <w14:schemeClr w14:val="tx1"/>
            </w14:solidFill>
          </w14:textFill>
        </w:rPr>
        <w:t>3</w:t>
      </w:r>
      <w:r>
        <w:rPr>
          <w:rFonts w:hint="eastAsia" w:ascii="Times New Roman" w:hAnsi="Times New Roman"/>
          <w:b/>
          <w:bCs w:val="0"/>
          <w:color w:val="000000" w:themeColor="text1"/>
          <w:sz w:val="24"/>
          <w:szCs w:val="24"/>
          <w14:textFill>
            <w14:solidFill>
              <w14:schemeClr w14:val="tx1"/>
            </w14:solidFill>
          </w14:textFill>
        </w:rPr>
        <w:t>-6</w:t>
      </w:r>
      <w:r>
        <w:rPr>
          <w:rFonts w:ascii="Times New Roman" w:hAnsi="Times New Roman" w:eastAsia="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长江枝城长江大桥处（</w:t>
      </w:r>
      <w:r>
        <w:rPr>
          <w:rFonts w:ascii="Times New Roman" w:hAnsi="Times New Roman" w:eastAsia="Times New Roman"/>
          <w:b/>
          <w:color w:val="000000" w:themeColor="text1"/>
          <w:sz w:val="24"/>
          <w:szCs w:val="24"/>
          <w14:textFill>
            <w14:solidFill>
              <w14:schemeClr w14:val="tx1"/>
            </w14:solidFill>
          </w14:textFill>
        </w:rPr>
        <w:t>9#</w:t>
      </w:r>
      <w:r>
        <w:rPr>
          <w:rFonts w:ascii="Times New Roman" w:hAnsi="Times New Roman"/>
          <w:b/>
          <w:color w:val="000000" w:themeColor="text1"/>
          <w:sz w:val="24"/>
          <w:szCs w:val="24"/>
          <w14:textFill>
            <w14:solidFill>
              <w14:schemeClr w14:val="tx1"/>
            </w14:solidFill>
          </w14:textFill>
        </w:rPr>
        <w:t>）监测结果</w:t>
      </w:r>
    </w:p>
    <w:tbl>
      <w:tblPr>
        <w:tblStyle w:val="87"/>
        <w:tblW w:w="14174" w:type="dxa"/>
        <w:tblInd w:w="13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452"/>
        <w:gridCol w:w="1188"/>
        <w:gridCol w:w="1188"/>
        <w:gridCol w:w="1188"/>
        <w:gridCol w:w="1188"/>
        <w:gridCol w:w="1189"/>
        <w:gridCol w:w="1188"/>
        <w:gridCol w:w="1188"/>
        <w:gridCol w:w="1188"/>
        <w:gridCol w:w="1189"/>
        <w:gridCol w:w="10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52" w:type="dxa"/>
            <w:tcBorders>
              <w:tl2br w:val="nil"/>
              <w:tr2bl w:val="nil"/>
            </w:tcBorders>
          </w:tcPr>
          <w:p>
            <w:pPr>
              <w:pStyle w:val="383"/>
              <w:spacing w:before="41"/>
              <w:ind w:left="1624"/>
              <w:jc w:val="left"/>
              <w:rPr>
                <w:rFonts w:ascii="宋体"/>
                <w:color w:val="000000" w:themeColor="text1"/>
                <w:sz w:val="18"/>
                <w14:textFill>
                  <w14:solidFill>
                    <w14:schemeClr w14:val="tx1"/>
                  </w14:solidFill>
                </w14:textFill>
              </w:rPr>
            </w:pPr>
            <w:r>
              <w:rPr>
                <w:color w:val="000000" w:themeColor="text1"/>
                <w:sz w:val="1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7620</wp:posOffset>
                      </wp:positionH>
                      <wp:positionV relativeFrom="paragraph">
                        <wp:posOffset>17780</wp:posOffset>
                      </wp:positionV>
                      <wp:extent cx="1571625" cy="390525"/>
                      <wp:effectExtent l="1270" t="4445" r="8255" b="5080"/>
                      <wp:wrapNone/>
                      <wp:docPr id="39" name="直线 252"/>
                      <wp:cNvGraphicFramePr/>
                      <a:graphic xmlns:a="http://schemas.openxmlformats.org/drawingml/2006/main">
                        <a:graphicData uri="http://schemas.microsoft.com/office/word/2010/wordprocessingShape">
                          <wps:wsp>
                            <wps:cNvCnPr/>
                            <wps:spPr>
                              <a:xfrm>
                                <a:off x="0" y="0"/>
                                <a:ext cx="1571625" cy="390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52" o:spid="_x0000_s1026" o:spt="20" style="position:absolute;left:0pt;margin-left:0.6pt;margin-top:1.4pt;height:30.75pt;width:123.75pt;z-index:251677696;mso-width-relative:page;mso-height-relative:page;" filled="f" stroked="t" coordsize="21600,21600" o:gfxdata="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tKyV9QAAAAGAQAA&#10;DwAAAAAAAAABACAAAAAiAAAAZHJzL2Rvd25yZXYueG1sUEsBAhQAFAAAAAgAh07iQCEiEN7kAQAA&#10;1wMAAA4AAAAAAAAAAQAgAAAAIwEAAGRycy9lMm9Eb2MueG1sUEsFBgAAAAAGAAYAWQEAAHkFAAAA&#10;AA==&#10;">
                      <v:fill on="f" focussize="0,0"/>
                      <v:stroke color="#000000" joinstyle="round"/>
                      <v:imagedata o:title=""/>
                      <o:lock v:ext="edit" aspectratio="f"/>
                    </v:line>
                  </w:pict>
                </mc:Fallback>
              </mc:AlternateContent>
            </w:r>
            <w:r>
              <w:rPr>
                <w:rFonts w:hint="eastAsia" w:ascii="宋体"/>
                <w:color w:val="000000" w:themeColor="text1"/>
                <w:sz w:val="18"/>
                <w14:textFill>
                  <w14:solidFill>
                    <w14:schemeClr w14:val="tx1"/>
                  </w14:solidFill>
                </w14:textFill>
              </w:rPr>
              <w:t>断面垂线</w:t>
            </w:r>
          </w:p>
          <w:p>
            <w:pPr>
              <w:pStyle w:val="383"/>
              <w:spacing w:before="82"/>
              <w:ind w:left="107"/>
              <w:jc w:val="lef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监测项目</w:t>
            </w:r>
          </w:p>
        </w:tc>
        <w:tc>
          <w:tcPr>
            <w:tcW w:w="1188"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9-1</w:t>
            </w:r>
          </w:p>
        </w:tc>
        <w:tc>
          <w:tcPr>
            <w:tcW w:w="1188"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9-2</w:t>
            </w:r>
          </w:p>
        </w:tc>
        <w:tc>
          <w:tcPr>
            <w:tcW w:w="1188"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9-3</w:t>
            </w:r>
          </w:p>
        </w:tc>
        <w:tc>
          <w:tcPr>
            <w:tcW w:w="1188"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9-4</w:t>
            </w:r>
          </w:p>
        </w:tc>
        <w:tc>
          <w:tcPr>
            <w:tcW w:w="1189"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9-5</w:t>
            </w:r>
          </w:p>
        </w:tc>
        <w:tc>
          <w:tcPr>
            <w:tcW w:w="1188"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9-6</w:t>
            </w:r>
          </w:p>
        </w:tc>
        <w:tc>
          <w:tcPr>
            <w:tcW w:w="1188"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9-7</w:t>
            </w:r>
          </w:p>
        </w:tc>
        <w:tc>
          <w:tcPr>
            <w:tcW w:w="1188"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9-8</w:t>
            </w:r>
          </w:p>
        </w:tc>
        <w:tc>
          <w:tcPr>
            <w:tcW w:w="1189" w:type="dxa"/>
            <w:tcBorders>
              <w:tl2br w:val="nil"/>
              <w:tr2bl w:val="nil"/>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9-9</w:t>
            </w:r>
          </w:p>
        </w:tc>
        <w:tc>
          <w:tcPr>
            <w:tcW w:w="1028"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52" w:type="dxa"/>
            <w:tcBorders>
              <w:tl2br w:val="nil"/>
              <w:tr2bl w:val="nil"/>
            </w:tcBorders>
          </w:tcPr>
          <w:p>
            <w:pPr>
              <w:pStyle w:val="383"/>
              <w:spacing w:before="41"/>
              <w:ind w:left="94"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pH 值（无量纲）</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8.08</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8.22</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8.25</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8.35</w:t>
            </w:r>
          </w:p>
        </w:tc>
        <w:tc>
          <w:tcPr>
            <w:tcW w:w="1189" w:type="dxa"/>
            <w:tcBorders>
              <w:tl2br w:val="nil"/>
              <w:tr2bl w:val="nil"/>
            </w:tcBorders>
          </w:tcPr>
          <w:p>
            <w:pPr>
              <w:pStyle w:val="383"/>
              <w:spacing w:before="51"/>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8.25</w:t>
            </w:r>
          </w:p>
        </w:tc>
        <w:tc>
          <w:tcPr>
            <w:tcW w:w="1188" w:type="dxa"/>
            <w:tcBorders>
              <w:tl2br w:val="nil"/>
              <w:tr2bl w:val="nil"/>
            </w:tcBorders>
          </w:tcPr>
          <w:p>
            <w:pPr>
              <w:pStyle w:val="383"/>
              <w:spacing w:before="51"/>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8.31</w:t>
            </w:r>
          </w:p>
        </w:tc>
        <w:tc>
          <w:tcPr>
            <w:tcW w:w="1188" w:type="dxa"/>
            <w:tcBorders>
              <w:tl2br w:val="nil"/>
              <w:tr2bl w:val="nil"/>
            </w:tcBorders>
          </w:tcPr>
          <w:p>
            <w:pPr>
              <w:pStyle w:val="383"/>
              <w:spacing w:before="51"/>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8.18</w:t>
            </w:r>
          </w:p>
        </w:tc>
        <w:tc>
          <w:tcPr>
            <w:tcW w:w="1188" w:type="dxa"/>
            <w:tcBorders>
              <w:tl2br w:val="nil"/>
              <w:tr2bl w:val="nil"/>
            </w:tcBorders>
          </w:tcPr>
          <w:p>
            <w:pPr>
              <w:pStyle w:val="383"/>
              <w:spacing w:before="51"/>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8.21</w:t>
            </w:r>
          </w:p>
        </w:tc>
        <w:tc>
          <w:tcPr>
            <w:tcW w:w="1189"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8.40</w:t>
            </w:r>
          </w:p>
        </w:tc>
        <w:tc>
          <w:tcPr>
            <w:tcW w:w="1028" w:type="dxa"/>
            <w:tcBorders>
              <w:tl2br w:val="nil"/>
              <w:tr2bl w:val="nil"/>
            </w:tcBorders>
          </w:tcPr>
          <w:p>
            <w:pPr>
              <w:pStyle w:val="383"/>
              <w:spacing w:before="51"/>
              <w:ind w:right="368"/>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52" w:type="dxa"/>
            <w:tcBorders>
              <w:tl2br w:val="nil"/>
              <w:tr2bl w:val="nil"/>
            </w:tcBorders>
          </w:tcPr>
          <w:p>
            <w:pPr>
              <w:pStyle w:val="383"/>
              <w:spacing w:before="41"/>
              <w:ind w:left="94"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高锰酸盐指数（mg/L）</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1.35</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1.48</w:t>
            </w:r>
          </w:p>
        </w:tc>
        <w:tc>
          <w:tcPr>
            <w:tcW w:w="1188" w:type="dxa"/>
            <w:tcBorders>
              <w:tl2br w:val="nil"/>
              <w:tr2bl w:val="nil"/>
            </w:tcBorders>
          </w:tcPr>
          <w:p>
            <w:pPr>
              <w:pStyle w:val="383"/>
              <w:spacing w:before="51"/>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1.52</w:t>
            </w:r>
          </w:p>
        </w:tc>
        <w:tc>
          <w:tcPr>
            <w:tcW w:w="1189" w:type="dxa"/>
            <w:tcBorders>
              <w:tl2br w:val="nil"/>
              <w:tr2bl w:val="nil"/>
            </w:tcBorders>
          </w:tcPr>
          <w:p>
            <w:pPr>
              <w:pStyle w:val="383"/>
              <w:spacing w:before="51"/>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w:t>
            </w:r>
          </w:p>
        </w:tc>
        <w:tc>
          <w:tcPr>
            <w:tcW w:w="1188" w:type="dxa"/>
            <w:tcBorders>
              <w:tl2br w:val="nil"/>
              <w:tr2bl w:val="nil"/>
            </w:tcBorders>
          </w:tcPr>
          <w:p>
            <w:pPr>
              <w:pStyle w:val="383"/>
              <w:spacing w:before="51"/>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1.42</w:t>
            </w:r>
          </w:p>
        </w:tc>
        <w:tc>
          <w:tcPr>
            <w:tcW w:w="1188" w:type="dxa"/>
            <w:tcBorders>
              <w:tl2br w:val="nil"/>
              <w:tr2bl w:val="nil"/>
            </w:tcBorders>
          </w:tcPr>
          <w:p>
            <w:pPr>
              <w:pStyle w:val="383"/>
              <w:spacing w:before="51"/>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1.39</w:t>
            </w:r>
          </w:p>
        </w:tc>
        <w:tc>
          <w:tcPr>
            <w:tcW w:w="1188" w:type="dxa"/>
            <w:tcBorders>
              <w:tl2br w:val="nil"/>
              <w:tr2bl w:val="nil"/>
            </w:tcBorders>
          </w:tcPr>
          <w:p>
            <w:pPr>
              <w:pStyle w:val="383"/>
              <w:spacing w:before="51"/>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1.36</w:t>
            </w:r>
          </w:p>
        </w:tc>
        <w:tc>
          <w:tcPr>
            <w:tcW w:w="1189"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1.27</w:t>
            </w:r>
          </w:p>
        </w:tc>
        <w:tc>
          <w:tcPr>
            <w:tcW w:w="1028" w:type="dxa"/>
            <w:tcBorders>
              <w:tl2br w:val="nil"/>
              <w:tr2bl w:val="nil"/>
            </w:tcBorders>
          </w:tcPr>
          <w:p>
            <w:pPr>
              <w:pStyle w:val="383"/>
              <w:spacing w:before="51"/>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52" w:type="dxa"/>
            <w:tcBorders>
              <w:tl2br w:val="nil"/>
              <w:tr2bl w:val="nil"/>
            </w:tcBorders>
          </w:tcPr>
          <w:p>
            <w:pPr>
              <w:pStyle w:val="383"/>
              <w:spacing w:before="41"/>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化学需氧量（mg/L）</w:t>
            </w:r>
          </w:p>
        </w:tc>
        <w:tc>
          <w:tcPr>
            <w:tcW w:w="1188" w:type="dxa"/>
            <w:tcBorders>
              <w:tl2br w:val="nil"/>
              <w:tr2bl w:val="nil"/>
            </w:tcBorders>
          </w:tcPr>
          <w:p>
            <w:pPr>
              <w:pStyle w:val="383"/>
              <w:spacing w:before="53"/>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88" w:type="dxa"/>
            <w:tcBorders>
              <w:tl2br w:val="nil"/>
              <w:tr2bl w:val="nil"/>
            </w:tcBorders>
          </w:tcPr>
          <w:p>
            <w:pPr>
              <w:pStyle w:val="383"/>
              <w:spacing w:before="53"/>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188" w:type="dxa"/>
            <w:tcBorders>
              <w:tl2br w:val="nil"/>
              <w:tr2bl w:val="nil"/>
            </w:tcBorders>
          </w:tcPr>
          <w:p>
            <w:pPr>
              <w:pStyle w:val="383"/>
              <w:spacing w:before="53"/>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188" w:type="dxa"/>
            <w:tcBorders>
              <w:tl2br w:val="nil"/>
              <w:tr2bl w:val="nil"/>
            </w:tcBorders>
          </w:tcPr>
          <w:p>
            <w:pPr>
              <w:pStyle w:val="383"/>
              <w:spacing w:before="53"/>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89" w:type="dxa"/>
            <w:tcBorders>
              <w:tl2br w:val="nil"/>
              <w:tr2bl w:val="nil"/>
            </w:tcBorders>
          </w:tcPr>
          <w:p>
            <w:pPr>
              <w:pStyle w:val="383"/>
              <w:spacing w:before="53"/>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188" w:type="dxa"/>
            <w:tcBorders>
              <w:tl2br w:val="nil"/>
              <w:tr2bl w:val="nil"/>
            </w:tcBorders>
          </w:tcPr>
          <w:p>
            <w:pPr>
              <w:pStyle w:val="383"/>
              <w:spacing w:before="5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w:t>
            </w:r>
          </w:p>
        </w:tc>
        <w:tc>
          <w:tcPr>
            <w:tcW w:w="1188" w:type="dxa"/>
            <w:tcBorders>
              <w:tl2br w:val="nil"/>
              <w:tr2bl w:val="nil"/>
            </w:tcBorders>
          </w:tcPr>
          <w:p>
            <w:pPr>
              <w:pStyle w:val="383"/>
              <w:spacing w:before="5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w:t>
            </w:r>
          </w:p>
        </w:tc>
        <w:tc>
          <w:tcPr>
            <w:tcW w:w="1188" w:type="dxa"/>
            <w:tcBorders>
              <w:tl2br w:val="nil"/>
              <w:tr2bl w:val="nil"/>
            </w:tcBorders>
          </w:tcPr>
          <w:p>
            <w:pPr>
              <w:pStyle w:val="383"/>
              <w:spacing w:before="5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189" w:type="dxa"/>
            <w:tcBorders>
              <w:tl2br w:val="nil"/>
              <w:tr2bl w:val="nil"/>
            </w:tcBorders>
          </w:tcPr>
          <w:p>
            <w:pPr>
              <w:pStyle w:val="383"/>
              <w:spacing w:before="53"/>
              <w:ind w:left="228" w:right="21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w:t>
            </w:r>
          </w:p>
        </w:tc>
        <w:tc>
          <w:tcPr>
            <w:tcW w:w="1028" w:type="dxa"/>
            <w:tcBorders>
              <w:tl2br w:val="nil"/>
              <w:tr2bl w:val="nil"/>
            </w:tcBorders>
          </w:tcPr>
          <w:p>
            <w:pPr>
              <w:pStyle w:val="383"/>
              <w:spacing w:before="53"/>
              <w:ind w:right="416"/>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1" w:hRule="atLeast"/>
        </w:trPr>
        <w:tc>
          <w:tcPr>
            <w:tcW w:w="2452" w:type="dxa"/>
            <w:tcBorders>
              <w:tl2br w:val="nil"/>
              <w:tr2bl w:val="nil"/>
            </w:tcBorders>
          </w:tcPr>
          <w:p>
            <w:pPr>
              <w:pStyle w:val="383"/>
              <w:spacing w:before="41"/>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五日生化需氧量（mg/L）</w:t>
            </w:r>
          </w:p>
        </w:tc>
        <w:tc>
          <w:tcPr>
            <w:tcW w:w="1188" w:type="dxa"/>
            <w:tcBorders>
              <w:tl2br w:val="nil"/>
              <w:tr2bl w:val="nil"/>
            </w:tcBorders>
          </w:tcPr>
          <w:p>
            <w:pPr>
              <w:pStyle w:val="383"/>
              <w:spacing w:before="5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1.7</w:t>
            </w:r>
          </w:p>
        </w:tc>
        <w:tc>
          <w:tcPr>
            <w:tcW w:w="1188" w:type="dxa"/>
            <w:tcBorders>
              <w:tl2br w:val="nil"/>
              <w:tr2bl w:val="nil"/>
            </w:tcBorders>
          </w:tcPr>
          <w:p>
            <w:pPr>
              <w:pStyle w:val="383"/>
              <w:spacing w:before="53"/>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88" w:type="dxa"/>
            <w:tcBorders>
              <w:tl2br w:val="nil"/>
              <w:tr2bl w:val="nil"/>
            </w:tcBorders>
          </w:tcPr>
          <w:p>
            <w:pPr>
              <w:pStyle w:val="383"/>
              <w:spacing w:before="5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w:t>
            </w:r>
          </w:p>
        </w:tc>
        <w:tc>
          <w:tcPr>
            <w:tcW w:w="1188" w:type="dxa"/>
            <w:tcBorders>
              <w:tl2br w:val="nil"/>
              <w:tr2bl w:val="nil"/>
            </w:tcBorders>
          </w:tcPr>
          <w:p>
            <w:pPr>
              <w:pStyle w:val="383"/>
              <w:spacing w:before="53"/>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w:t>
            </w:r>
          </w:p>
        </w:tc>
        <w:tc>
          <w:tcPr>
            <w:tcW w:w="1189" w:type="dxa"/>
            <w:tcBorders>
              <w:tl2br w:val="nil"/>
              <w:tr2bl w:val="nil"/>
            </w:tcBorders>
          </w:tcPr>
          <w:p>
            <w:pPr>
              <w:pStyle w:val="383"/>
              <w:spacing w:before="53"/>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c>
          <w:tcPr>
            <w:tcW w:w="1188" w:type="dxa"/>
            <w:tcBorders>
              <w:tl2br w:val="nil"/>
              <w:tr2bl w:val="nil"/>
            </w:tcBorders>
          </w:tcPr>
          <w:p>
            <w:pPr>
              <w:pStyle w:val="383"/>
              <w:spacing w:before="53"/>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1.9</w:t>
            </w:r>
          </w:p>
        </w:tc>
        <w:tc>
          <w:tcPr>
            <w:tcW w:w="1188" w:type="dxa"/>
            <w:tcBorders>
              <w:tl2br w:val="nil"/>
              <w:tr2bl w:val="nil"/>
            </w:tcBorders>
          </w:tcPr>
          <w:p>
            <w:pPr>
              <w:pStyle w:val="383"/>
              <w:spacing w:before="53"/>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w:t>
            </w:r>
          </w:p>
        </w:tc>
        <w:tc>
          <w:tcPr>
            <w:tcW w:w="1188" w:type="dxa"/>
            <w:tcBorders>
              <w:tl2br w:val="nil"/>
              <w:tr2bl w:val="nil"/>
            </w:tcBorders>
          </w:tcPr>
          <w:p>
            <w:pPr>
              <w:pStyle w:val="383"/>
              <w:spacing w:before="53"/>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w:t>
            </w:r>
          </w:p>
        </w:tc>
        <w:tc>
          <w:tcPr>
            <w:tcW w:w="1189" w:type="dxa"/>
            <w:tcBorders>
              <w:tl2br w:val="nil"/>
              <w:tr2bl w:val="nil"/>
            </w:tcBorders>
          </w:tcPr>
          <w:p>
            <w:pPr>
              <w:pStyle w:val="383"/>
              <w:spacing w:before="53"/>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w:t>
            </w:r>
          </w:p>
        </w:tc>
        <w:tc>
          <w:tcPr>
            <w:tcW w:w="1028" w:type="dxa"/>
            <w:tcBorders>
              <w:tl2br w:val="nil"/>
              <w:tr2bl w:val="nil"/>
            </w:tcBorders>
          </w:tcPr>
          <w:p>
            <w:pPr>
              <w:pStyle w:val="383"/>
              <w:spacing w:before="53"/>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52" w:type="dxa"/>
            <w:tcBorders>
              <w:tl2br w:val="nil"/>
              <w:tr2bl w:val="nil"/>
            </w:tcBorders>
          </w:tcPr>
          <w:p>
            <w:pPr>
              <w:pStyle w:val="383"/>
              <w:spacing w:before="40"/>
              <w:ind w:left="94"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氨氮（mg/L）</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0.191</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0.184</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0.171</w:t>
            </w:r>
          </w:p>
        </w:tc>
        <w:tc>
          <w:tcPr>
            <w:tcW w:w="1188" w:type="dxa"/>
            <w:tcBorders>
              <w:tl2br w:val="nil"/>
              <w:tr2bl w:val="nil"/>
            </w:tcBorders>
          </w:tcPr>
          <w:p>
            <w:pPr>
              <w:pStyle w:val="383"/>
              <w:spacing w:before="52"/>
              <w:ind w:left="39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0.173</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0.154</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0.165</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0.151</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0.143</w:t>
            </w:r>
          </w:p>
        </w:tc>
        <w:tc>
          <w:tcPr>
            <w:tcW w:w="1189"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0.138</w:t>
            </w:r>
          </w:p>
        </w:tc>
        <w:tc>
          <w:tcPr>
            <w:tcW w:w="1028" w:type="dxa"/>
            <w:tcBorders>
              <w:tl2br w:val="nil"/>
              <w:tr2bl w:val="nil"/>
            </w:tcBorders>
          </w:tcPr>
          <w:p>
            <w:pPr>
              <w:pStyle w:val="383"/>
              <w:spacing w:before="52"/>
              <w:ind w:right="394"/>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0"/>
              <w:ind w:left="94"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总氮（mg/L）</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0.332</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0.332</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0.275</w:t>
            </w:r>
          </w:p>
        </w:tc>
        <w:tc>
          <w:tcPr>
            <w:tcW w:w="1188" w:type="dxa"/>
            <w:tcBorders>
              <w:tl2br w:val="nil"/>
              <w:tr2bl w:val="nil"/>
            </w:tcBorders>
          </w:tcPr>
          <w:p>
            <w:pPr>
              <w:pStyle w:val="383"/>
              <w:spacing w:before="52"/>
              <w:ind w:left="39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0.313</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0.341</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0.322</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0.332</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0.332</w:t>
            </w:r>
          </w:p>
        </w:tc>
        <w:tc>
          <w:tcPr>
            <w:tcW w:w="1189"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0.247</w:t>
            </w:r>
          </w:p>
        </w:tc>
        <w:tc>
          <w:tcPr>
            <w:tcW w:w="1028" w:type="dxa"/>
            <w:tcBorders>
              <w:tl2br w:val="nil"/>
              <w:tr2bl w:val="nil"/>
            </w:tcBorders>
          </w:tcPr>
          <w:p>
            <w:pPr>
              <w:pStyle w:val="383"/>
              <w:spacing w:before="52"/>
              <w:ind w:right="394"/>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0"/>
              <w:ind w:left="94"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总磷（mg/L）</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0.176</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0.178</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0.154</w:t>
            </w:r>
          </w:p>
        </w:tc>
        <w:tc>
          <w:tcPr>
            <w:tcW w:w="1188" w:type="dxa"/>
            <w:tcBorders>
              <w:tl2br w:val="nil"/>
              <w:tr2bl w:val="nil"/>
            </w:tcBorders>
          </w:tcPr>
          <w:p>
            <w:pPr>
              <w:pStyle w:val="383"/>
              <w:spacing w:before="52"/>
              <w:ind w:left="39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0.164</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0.174</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0.175</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0.159</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0.16</w:t>
            </w:r>
          </w:p>
        </w:tc>
        <w:tc>
          <w:tcPr>
            <w:tcW w:w="1189"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0.176</w:t>
            </w:r>
          </w:p>
        </w:tc>
        <w:tc>
          <w:tcPr>
            <w:tcW w:w="1028" w:type="dxa"/>
            <w:tcBorders>
              <w:tl2br w:val="nil"/>
              <w:tr2bl w:val="nil"/>
            </w:tcBorders>
          </w:tcPr>
          <w:p>
            <w:pPr>
              <w:pStyle w:val="383"/>
              <w:spacing w:before="52"/>
              <w:ind w:right="394"/>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0"/>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氟化物（mg/L）</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0.121</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0.129</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0.126</w:t>
            </w:r>
          </w:p>
        </w:tc>
        <w:tc>
          <w:tcPr>
            <w:tcW w:w="1188" w:type="dxa"/>
            <w:tcBorders>
              <w:tl2br w:val="nil"/>
              <w:tr2bl w:val="nil"/>
            </w:tcBorders>
          </w:tcPr>
          <w:p>
            <w:pPr>
              <w:pStyle w:val="383"/>
              <w:spacing w:before="52"/>
              <w:ind w:left="39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0.131</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0.131</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0.128</w:t>
            </w:r>
          </w:p>
        </w:tc>
        <w:tc>
          <w:tcPr>
            <w:tcW w:w="1189"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w:t>
            </w:r>
          </w:p>
        </w:tc>
        <w:tc>
          <w:tcPr>
            <w:tcW w:w="1028" w:type="dxa"/>
            <w:tcBorders>
              <w:tl2br w:val="nil"/>
              <w:tr2bl w:val="nil"/>
            </w:tcBorders>
          </w:tcPr>
          <w:p>
            <w:pPr>
              <w:pStyle w:val="383"/>
              <w:spacing w:before="52"/>
              <w:ind w:right="394"/>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1" w:hRule="atLeast"/>
        </w:trPr>
        <w:tc>
          <w:tcPr>
            <w:tcW w:w="2452" w:type="dxa"/>
            <w:tcBorders>
              <w:tl2br w:val="nil"/>
              <w:tr2bl w:val="nil"/>
            </w:tcBorders>
          </w:tcPr>
          <w:p>
            <w:pPr>
              <w:pStyle w:val="383"/>
              <w:spacing w:before="40"/>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硫化物（mg/L）</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0.012</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2"/>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28" w:type="dxa"/>
            <w:tcBorders>
              <w:tl2br w:val="nil"/>
              <w:tr2bl w:val="nil"/>
            </w:tcBorders>
          </w:tcPr>
          <w:p>
            <w:pPr>
              <w:pStyle w:val="383"/>
              <w:spacing w:before="52"/>
              <w:ind w:right="394"/>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2"/>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挥发酚（mg/L）</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1"/>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0.0037</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1"/>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28" w:type="dxa"/>
            <w:tcBorders>
              <w:tl2br w:val="nil"/>
              <w:tr2bl w:val="nil"/>
            </w:tcBorders>
          </w:tcPr>
          <w:p>
            <w:pPr>
              <w:pStyle w:val="383"/>
              <w:spacing w:before="51"/>
              <w:ind w:right="303"/>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1" w:hRule="atLeast"/>
        </w:trPr>
        <w:tc>
          <w:tcPr>
            <w:tcW w:w="2452" w:type="dxa"/>
            <w:tcBorders>
              <w:tl2br w:val="nil"/>
              <w:tr2bl w:val="nil"/>
            </w:tcBorders>
          </w:tcPr>
          <w:p>
            <w:pPr>
              <w:pStyle w:val="383"/>
              <w:spacing w:before="42"/>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六价铬（mg/L）</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39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0.004</w:t>
            </w:r>
          </w:p>
        </w:tc>
        <w:tc>
          <w:tcPr>
            <w:tcW w:w="1189" w:type="dxa"/>
            <w:tcBorders>
              <w:tl2br w:val="nil"/>
              <w:tr2bl w:val="nil"/>
            </w:tcBorders>
          </w:tcPr>
          <w:p>
            <w:pPr>
              <w:pStyle w:val="383"/>
              <w:spacing w:before="51"/>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1"/>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28" w:type="dxa"/>
            <w:tcBorders>
              <w:tl2br w:val="nil"/>
              <w:tr2bl w:val="nil"/>
            </w:tcBorders>
          </w:tcPr>
          <w:p>
            <w:pPr>
              <w:pStyle w:val="383"/>
              <w:spacing w:before="51"/>
              <w:ind w:right="349"/>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52" w:type="dxa"/>
            <w:tcBorders>
              <w:tl2br w:val="nil"/>
              <w:tr2bl w:val="nil"/>
            </w:tcBorders>
          </w:tcPr>
          <w:p>
            <w:pPr>
              <w:pStyle w:val="383"/>
              <w:spacing w:before="41"/>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氰化物（mg/L）</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1"/>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1"/>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1"/>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28" w:type="dxa"/>
            <w:tcBorders>
              <w:tl2br w:val="nil"/>
              <w:tr2bl w:val="nil"/>
            </w:tcBorders>
          </w:tcPr>
          <w:p>
            <w:pPr>
              <w:pStyle w:val="383"/>
              <w:spacing w:before="51"/>
              <w:ind w:right="394"/>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52" w:type="dxa"/>
            <w:tcBorders>
              <w:tl2br w:val="nil"/>
              <w:tr2bl w:val="nil"/>
            </w:tcBorders>
          </w:tcPr>
          <w:p>
            <w:pPr>
              <w:pStyle w:val="383"/>
              <w:spacing w:before="41"/>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铬（mg/L）</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5.36×10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1.01</w:t>
            </w:r>
            <w:r>
              <w:rPr>
                <w:rFonts w:ascii="Times New Roman" w:hAnsi="Times New Roman" w:cs="Times New Roman"/>
                <w:color w:val="000000" w:themeColor="text1"/>
                <w:sz w:val="18"/>
                <w:szCs w:val="18"/>
                <w14:textFill>
                  <w14:solidFill>
                    <w14:schemeClr w14:val="tx1"/>
                  </w14:solidFill>
                </w14:textFill>
              </w:rPr>
              <w:t>×10</w:t>
            </w:r>
            <w:r>
              <w:rPr>
                <w:rFonts w:ascii="Times New Roman" w:hAnsi="Times New Roman" w:cs="Times New Roman"/>
                <w:color w:val="000000" w:themeColor="text1"/>
                <w:position w:val="6"/>
                <w:sz w:val="18"/>
                <w:szCs w:val="18"/>
                <w14:textFill>
                  <w14:solidFill>
                    <w14:schemeClr w14:val="tx1"/>
                  </w14:solidFill>
                </w14:textFill>
              </w:rPr>
              <w:t>-</w:t>
            </w:r>
            <w:r>
              <w:rPr>
                <w:rFonts w:hint="eastAsia"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9.79×10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1.24×10</w:t>
            </w:r>
            <w:r>
              <w:rPr>
                <w:rFonts w:ascii="Times New Roman" w:hAnsi="Times New Roman" w:cs="Times New Roman"/>
                <w:color w:val="000000" w:themeColor="text1"/>
                <w:position w:val="6"/>
                <w:sz w:val="18"/>
                <w:szCs w:val="18"/>
                <w14:textFill>
                  <w14:solidFill>
                    <w14:schemeClr w14:val="tx1"/>
                  </w14:solidFill>
                </w14:textFill>
              </w:rPr>
              <w:t>-</w:t>
            </w:r>
            <w:r>
              <w:rPr>
                <w:rFonts w:hint="eastAsia" w:ascii="Times New Roman" w:hAnsi="Times New Roman" w:cs="Times New Roman"/>
                <w:color w:val="000000" w:themeColor="text1"/>
                <w:position w:val="6"/>
                <w:sz w:val="13"/>
                <w:szCs w:val="13"/>
                <w14:textFill>
                  <w14:solidFill>
                    <w14:schemeClr w14:val="tx1"/>
                  </w14:solidFill>
                </w14:textFill>
              </w:rPr>
              <w:t>3</w:t>
            </w:r>
          </w:p>
        </w:tc>
        <w:tc>
          <w:tcPr>
            <w:tcW w:w="1189"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8.51×10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1.05×0</w:t>
            </w:r>
            <w:r>
              <w:rPr>
                <w:rFonts w:ascii="Times New Roman" w:hAnsi="Times New Roman" w:cs="Times New Roman"/>
                <w:color w:val="000000" w:themeColor="text1"/>
                <w:position w:val="6"/>
                <w:sz w:val="18"/>
                <w:szCs w:val="18"/>
                <w14:textFill>
                  <w14:solidFill>
                    <w14:schemeClr w14:val="tx1"/>
                  </w14:solidFill>
                </w14:textFill>
              </w:rPr>
              <w:t>-</w:t>
            </w:r>
            <w:r>
              <w:rPr>
                <w:rFonts w:hint="eastAsia"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9.72×10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1.06×0</w:t>
            </w:r>
            <w:r>
              <w:rPr>
                <w:rFonts w:ascii="Times New Roman" w:hAnsi="Times New Roman" w:cs="Times New Roman"/>
                <w:color w:val="000000" w:themeColor="text1"/>
                <w:position w:val="6"/>
                <w:sz w:val="18"/>
                <w:szCs w:val="18"/>
                <w14:textFill>
                  <w14:solidFill>
                    <w14:schemeClr w14:val="tx1"/>
                  </w14:solidFill>
                </w14:textFill>
              </w:rPr>
              <w:t>-</w:t>
            </w:r>
            <w:r>
              <w:rPr>
                <w:rFonts w:hint="eastAsia" w:ascii="Times New Roman" w:hAnsi="Times New Roman" w:cs="Times New Roman"/>
                <w:color w:val="000000" w:themeColor="text1"/>
                <w:position w:val="6"/>
                <w:sz w:val="13"/>
                <w:szCs w:val="13"/>
                <w14:textFill>
                  <w14:solidFill>
                    <w14:schemeClr w14:val="tx1"/>
                  </w14:solidFill>
                </w14:textFill>
              </w:rPr>
              <w:t>3</w:t>
            </w:r>
          </w:p>
        </w:tc>
        <w:tc>
          <w:tcPr>
            <w:tcW w:w="1189"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7.89×10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028" w:type="dxa"/>
            <w:tcBorders>
              <w:tl2br w:val="nil"/>
              <w:tr2bl w:val="nil"/>
            </w:tcBorders>
          </w:tcPr>
          <w:p>
            <w:pPr>
              <w:pStyle w:val="383"/>
              <w:spacing w:before="51"/>
              <w:ind w:left="3"/>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52" w:type="dxa"/>
            <w:tcBorders>
              <w:tl2br w:val="nil"/>
              <w:tr2bl w:val="nil"/>
            </w:tcBorders>
          </w:tcPr>
          <w:p>
            <w:pPr>
              <w:pStyle w:val="383"/>
              <w:spacing w:before="41"/>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镍（mg/L）</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4.54×10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5.27×10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5.85×10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right="242"/>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6.27×10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9" w:type="dxa"/>
            <w:tcBorders>
              <w:tl2br w:val="nil"/>
              <w:tr2bl w:val="nil"/>
            </w:tcBorders>
          </w:tcPr>
          <w:p>
            <w:pPr>
              <w:pStyle w:val="383"/>
              <w:spacing w:before="51"/>
              <w:ind w:left="228" w:right="22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5.81×10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6.07×10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8" w:type="dxa"/>
            <w:tcBorders>
              <w:tl2br w:val="nil"/>
              <w:tr2bl w:val="nil"/>
            </w:tcBorders>
          </w:tcPr>
          <w:p>
            <w:pPr>
              <w:pStyle w:val="383"/>
              <w:spacing w:before="51"/>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5.44×10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89" w:type="dxa"/>
            <w:tcBorders>
              <w:tl2br w:val="nil"/>
              <w:tr2bl w:val="nil"/>
            </w:tcBorders>
          </w:tcPr>
          <w:p>
            <w:pPr>
              <w:pStyle w:val="383"/>
              <w:spacing w:before="51"/>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5.21×10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028" w:type="dxa"/>
            <w:tcBorders>
              <w:tl2br w:val="nil"/>
              <w:tr2bl w:val="nil"/>
            </w:tcBorders>
          </w:tcPr>
          <w:p>
            <w:pPr>
              <w:pStyle w:val="383"/>
              <w:spacing w:before="51"/>
              <w:ind w:right="349"/>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1"/>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铜（mg/L）</w:t>
            </w:r>
          </w:p>
        </w:tc>
        <w:tc>
          <w:tcPr>
            <w:tcW w:w="1188"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1.12×10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right="242"/>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9" w:type="dxa"/>
            <w:tcBorders>
              <w:tl2br w:val="nil"/>
              <w:tr2bl w:val="nil"/>
            </w:tcBorders>
          </w:tcPr>
          <w:p>
            <w:pPr>
              <w:pStyle w:val="383"/>
              <w:spacing w:before="53"/>
              <w:ind w:left="228" w:right="22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9"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028" w:type="dxa"/>
            <w:tcBorders>
              <w:tl2br w:val="nil"/>
              <w:tr2bl w:val="nil"/>
            </w:tcBorders>
          </w:tcPr>
          <w:p>
            <w:pPr>
              <w:pStyle w:val="383"/>
              <w:spacing w:before="53"/>
              <w:ind w:right="394"/>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1" w:hRule="atLeast"/>
        </w:trPr>
        <w:tc>
          <w:tcPr>
            <w:tcW w:w="2452" w:type="dxa"/>
            <w:tcBorders>
              <w:tl2br w:val="nil"/>
              <w:tr2bl w:val="nil"/>
            </w:tcBorders>
          </w:tcPr>
          <w:p>
            <w:pPr>
              <w:pStyle w:val="383"/>
              <w:spacing w:before="41"/>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砷（mg/L）</w:t>
            </w:r>
          </w:p>
        </w:tc>
        <w:tc>
          <w:tcPr>
            <w:tcW w:w="1188"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right="242"/>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9" w:type="dxa"/>
            <w:tcBorders>
              <w:tl2br w:val="nil"/>
              <w:tr2bl w:val="nil"/>
            </w:tcBorders>
          </w:tcPr>
          <w:p>
            <w:pPr>
              <w:pStyle w:val="383"/>
              <w:spacing w:before="53"/>
              <w:ind w:left="228" w:right="22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8" w:type="dxa"/>
            <w:tcBorders>
              <w:tl2br w:val="nil"/>
              <w:tr2bl w:val="nil"/>
            </w:tcBorders>
          </w:tcPr>
          <w:p>
            <w:pPr>
              <w:pStyle w:val="383"/>
              <w:spacing w:before="53"/>
              <w:ind w:left="228" w:right="2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89" w:type="dxa"/>
            <w:tcBorders>
              <w:tl2br w:val="nil"/>
              <w:tr2bl w:val="nil"/>
            </w:tcBorders>
          </w:tcPr>
          <w:p>
            <w:pPr>
              <w:pStyle w:val="383"/>
              <w:spacing w:before="53"/>
              <w:ind w:left="228" w:right="2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1.42×10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028" w:type="dxa"/>
            <w:tcBorders>
              <w:tl2br w:val="nil"/>
              <w:tr2bl w:val="nil"/>
            </w:tcBorders>
          </w:tcPr>
          <w:p>
            <w:pPr>
              <w:pStyle w:val="383"/>
              <w:spacing w:before="53"/>
              <w:ind w:right="349"/>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0"/>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银（mg/L）</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2"/>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28" w:type="dxa"/>
            <w:tcBorders>
              <w:tl2br w:val="nil"/>
              <w:tr2bl w:val="nil"/>
            </w:tcBorders>
          </w:tcPr>
          <w:p>
            <w:pPr>
              <w:pStyle w:val="383"/>
              <w:spacing w:before="52"/>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0"/>
              <w:ind w:left="92"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石油类（mg/L）</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w:t>
            </w:r>
          </w:p>
        </w:tc>
        <w:tc>
          <w:tcPr>
            <w:tcW w:w="1189" w:type="dxa"/>
            <w:tcBorders>
              <w:tl2br w:val="nil"/>
              <w:tr2bl w:val="nil"/>
            </w:tcBorders>
          </w:tcPr>
          <w:p>
            <w:pPr>
              <w:pStyle w:val="383"/>
              <w:spacing w:before="52"/>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28" w:type="dxa"/>
            <w:tcBorders>
              <w:tl2br w:val="nil"/>
              <w:tr2bl w:val="nil"/>
            </w:tcBorders>
          </w:tcPr>
          <w:p>
            <w:pPr>
              <w:pStyle w:val="383"/>
              <w:spacing w:before="52"/>
              <w:ind w:right="349"/>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1" w:hRule="atLeast"/>
        </w:trPr>
        <w:tc>
          <w:tcPr>
            <w:tcW w:w="2452" w:type="dxa"/>
            <w:tcBorders>
              <w:tl2br w:val="nil"/>
              <w:tr2bl w:val="nil"/>
            </w:tcBorders>
          </w:tcPr>
          <w:p>
            <w:pPr>
              <w:pStyle w:val="383"/>
              <w:spacing w:before="40"/>
              <w:ind w:left="97"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粪大肠菌群（MPN/100mL）</w:t>
            </w:r>
          </w:p>
        </w:tc>
        <w:tc>
          <w:tcPr>
            <w:tcW w:w="1188" w:type="dxa"/>
            <w:tcBorders>
              <w:tl2br w:val="nil"/>
              <w:tr2bl w:val="nil"/>
            </w:tcBorders>
          </w:tcPr>
          <w:p>
            <w:pPr>
              <w:pStyle w:val="383"/>
              <w:spacing w:before="52"/>
              <w:ind w:left="227"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&lt;2</w:t>
            </w:r>
          </w:p>
        </w:tc>
        <w:tc>
          <w:tcPr>
            <w:tcW w:w="1188" w:type="dxa"/>
            <w:tcBorders>
              <w:tl2br w:val="nil"/>
              <w:tr2bl w:val="nil"/>
            </w:tcBorders>
          </w:tcPr>
          <w:p>
            <w:pPr>
              <w:pStyle w:val="383"/>
              <w:spacing w:before="52"/>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88"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4.5</w:t>
            </w:r>
          </w:p>
        </w:tc>
        <w:tc>
          <w:tcPr>
            <w:tcW w:w="1188" w:type="dxa"/>
            <w:tcBorders>
              <w:tl2br w:val="nil"/>
              <w:tr2bl w:val="nil"/>
            </w:tcBorders>
          </w:tcPr>
          <w:p>
            <w:pPr>
              <w:pStyle w:val="383"/>
              <w:spacing w:before="52"/>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1189" w:type="dxa"/>
            <w:tcBorders>
              <w:tl2br w:val="nil"/>
              <w:tr2bl w:val="nil"/>
            </w:tcBorders>
          </w:tcPr>
          <w:p>
            <w:pPr>
              <w:pStyle w:val="383"/>
              <w:spacing w:before="52"/>
              <w:ind w:left="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1188" w:type="dxa"/>
            <w:tcBorders>
              <w:tl2br w:val="nil"/>
              <w:tr2bl w:val="nil"/>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88" w:type="dxa"/>
            <w:tcBorders>
              <w:tl2br w:val="nil"/>
              <w:tr2bl w:val="nil"/>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88" w:type="dxa"/>
            <w:tcBorders>
              <w:tl2br w:val="nil"/>
              <w:tr2bl w:val="nil"/>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1189" w:type="dxa"/>
            <w:tcBorders>
              <w:tl2br w:val="nil"/>
              <w:tr2bl w:val="nil"/>
            </w:tcBorders>
          </w:tcPr>
          <w:p>
            <w:pPr>
              <w:pStyle w:val="383"/>
              <w:spacing w:before="52"/>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1028" w:type="dxa"/>
            <w:tcBorders>
              <w:tl2br w:val="nil"/>
              <w:tr2bl w:val="nil"/>
            </w:tcBorders>
          </w:tcPr>
          <w:p>
            <w:pPr>
              <w:pStyle w:val="383"/>
              <w:spacing w:before="52"/>
              <w:ind w:right="325"/>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452" w:type="dxa"/>
            <w:tcBorders>
              <w:tl2br w:val="nil"/>
              <w:tr2bl w:val="nil"/>
            </w:tcBorders>
          </w:tcPr>
          <w:p>
            <w:pPr>
              <w:pStyle w:val="383"/>
              <w:spacing w:before="40"/>
              <w:ind w:left="94"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二氯甲烷（mg/L）</w:t>
            </w:r>
          </w:p>
        </w:tc>
        <w:tc>
          <w:tcPr>
            <w:tcW w:w="1188"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1.6×10</w:t>
            </w:r>
            <w:r>
              <w:rPr>
                <w:rFonts w:ascii="Times New Roman" w:hAnsi="Times New Roman" w:cs="Times New Roman"/>
                <w:color w:val="000000" w:themeColor="text1"/>
                <w:position w:val="6"/>
                <w:sz w:val="15"/>
                <w:szCs w:val="15"/>
                <w14:textFill>
                  <w14:solidFill>
                    <w14:schemeClr w14:val="tx1"/>
                  </w14:solidFill>
                </w14:textFill>
              </w:rPr>
              <w:t>-3</w:t>
            </w:r>
          </w:p>
        </w:tc>
        <w:tc>
          <w:tcPr>
            <w:tcW w:w="1188"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1.7×10</w:t>
            </w:r>
            <w:r>
              <w:rPr>
                <w:rFonts w:ascii="Times New Roman" w:hAnsi="Times New Roman" w:cs="Times New Roman"/>
                <w:color w:val="000000" w:themeColor="text1"/>
                <w:position w:val="6"/>
                <w:sz w:val="15"/>
                <w:szCs w:val="15"/>
                <w14:textFill>
                  <w14:solidFill>
                    <w14:schemeClr w14:val="tx1"/>
                  </w14:solidFill>
                </w14:textFill>
              </w:rPr>
              <w:t>-3</w:t>
            </w:r>
          </w:p>
        </w:tc>
        <w:tc>
          <w:tcPr>
            <w:tcW w:w="1188"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5"/>
                <w:szCs w:val="15"/>
                <w14:textFill>
                  <w14:solidFill>
                    <w14:schemeClr w14:val="tx1"/>
                  </w14:solidFill>
                </w14:textFill>
              </w:rPr>
              <w:t>-3</w:t>
            </w:r>
          </w:p>
        </w:tc>
        <w:tc>
          <w:tcPr>
            <w:tcW w:w="1188" w:type="dxa"/>
            <w:tcBorders>
              <w:tl2br w:val="nil"/>
              <w:tr2bl w:val="nil"/>
            </w:tcBorders>
          </w:tcPr>
          <w:p>
            <w:pPr>
              <w:pStyle w:val="383"/>
              <w:spacing w:before="52"/>
              <w:ind w:right="28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5"/>
                <w:szCs w:val="15"/>
                <w14:textFill>
                  <w14:solidFill>
                    <w14:schemeClr w14:val="tx1"/>
                  </w14:solidFill>
                </w14:textFill>
              </w:rPr>
              <w:t>-3</w:t>
            </w:r>
          </w:p>
        </w:tc>
        <w:tc>
          <w:tcPr>
            <w:tcW w:w="1189" w:type="dxa"/>
            <w:tcBorders>
              <w:tl2br w:val="nil"/>
              <w:tr2bl w:val="nil"/>
            </w:tcBorders>
          </w:tcPr>
          <w:p>
            <w:pPr>
              <w:pStyle w:val="383"/>
              <w:spacing w:before="52"/>
              <w:ind w:left="228" w:right="22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5"/>
                <w:szCs w:val="15"/>
                <w14:textFill>
                  <w14:solidFill>
                    <w14:schemeClr w14:val="tx1"/>
                  </w14:solidFill>
                </w14:textFill>
              </w:rPr>
              <w:t>-3</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5"/>
                <w:szCs w:val="15"/>
                <w14:textFill>
                  <w14:solidFill>
                    <w14:schemeClr w14:val="tx1"/>
                  </w14:solidFill>
                </w14:textFill>
              </w:rPr>
              <w:t>-3</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1.6×10</w:t>
            </w:r>
            <w:r>
              <w:rPr>
                <w:rFonts w:ascii="Times New Roman" w:hAnsi="Times New Roman" w:cs="Times New Roman"/>
                <w:color w:val="000000" w:themeColor="text1"/>
                <w:position w:val="6"/>
                <w:sz w:val="15"/>
                <w:szCs w:val="15"/>
                <w14:textFill>
                  <w14:solidFill>
                    <w14:schemeClr w14:val="tx1"/>
                  </w14:solidFill>
                </w14:textFill>
              </w:rPr>
              <w:t>-3</w:t>
            </w:r>
          </w:p>
        </w:tc>
        <w:tc>
          <w:tcPr>
            <w:tcW w:w="1188" w:type="dxa"/>
            <w:tcBorders>
              <w:tl2br w:val="nil"/>
              <w:tr2bl w:val="nil"/>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89" w:type="dxa"/>
            <w:tcBorders>
              <w:tl2br w:val="nil"/>
              <w:tr2bl w:val="nil"/>
            </w:tcBorders>
          </w:tcPr>
          <w:p>
            <w:pPr>
              <w:pStyle w:val="383"/>
              <w:spacing w:before="52"/>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1.6×10</w:t>
            </w:r>
            <w:r>
              <w:rPr>
                <w:rFonts w:ascii="Times New Roman" w:hAnsi="Times New Roman" w:cs="Times New Roman"/>
                <w:color w:val="000000" w:themeColor="text1"/>
                <w:position w:val="6"/>
                <w:sz w:val="15"/>
                <w:szCs w:val="15"/>
                <w14:textFill>
                  <w14:solidFill>
                    <w14:schemeClr w14:val="tx1"/>
                  </w14:solidFill>
                </w14:textFill>
              </w:rPr>
              <w:t>-3</w:t>
            </w:r>
          </w:p>
        </w:tc>
        <w:tc>
          <w:tcPr>
            <w:tcW w:w="1028" w:type="dxa"/>
            <w:tcBorders>
              <w:tl2br w:val="nil"/>
              <w:tr2bl w:val="nil"/>
            </w:tcBorders>
          </w:tcPr>
          <w:p>
            <w:pPr>
              <w:pStyle w:val="383"/>
              <w:spacing w:before="52"/>
              <w:ind w:right="349"/>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1" w:hRule="atLeast"/>
        </w:trPr>
        <w:tc>
          <w:tcPr>
            <w:tcW w:w="2452" w:type="dxa"/>
            <w:tcBorders>
              <w:tl2br w:val="nil"/>
              <w:tr2bl w:val="nil"/>
            </w:tcBorders>
          </w:tcPr>
          <w:p>
            <w:pPr>
              <w:pStyle w:val="383"/>
              <w:spacing w:before="40"/>
              <w:ind w:left="94" w:right="8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甲苯（mg/L）</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2"/>
              <w:ind w:left="228"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8" w:type="dxa"/>
            <w:tcBorders>
              <w:tl2br w:val="nil"/>
              <w:tr2bl w:val="nil"/>
            </w:tcBorders>
          </w:tcPr>
          <w:p>
            <w:pPr>
              <w:pStyle w:val="383"/>
              <w:spacing w:before="52"/>
              <w:ind w:left="228" w:right="22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89" w:type="dxa"/>
            <w:tcBorders>
              <w:tl2br w:val="nil"/>
              <w:tr2bl w:val="nil"/>
            </w:tcBorders>
          </w:tcPr>
          <w:p>
            <w:pPr>
              <w:pStyle w:val="383"/>
              <w:spacing w:before="52"/>
              <w:ind w:left="228" w:right="22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28" w:type="dxa"/>
            <w:tcBorders>
              <w:tl2br w:val="nil"/>
              <w:tr2bl w:val="nil"/>
            </w:tcBorders>
          </w:tcPr>
          <w:p>
            <w:pPr>
              <w:pStyle w:val="383"/>
              <w:spacing w:before="52"/>
              <w:ind w:right="394"/>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0.7</w:t>
            </w:r>
          </w:p>
        </w:tc>
      </w:tr>
    </w:tbl>
    <w:p>
      <w:pPr>
        <w:pStyle w:val="107"/>
        <w:rPr>
          <w:color w:val="000000" w:themeColor="text1"/>
          <w14:textFill>
            <w14:solidFill>
              <w14:schemeClr w14:val="tx1"/>
            </w14:solidFill>
          </w14:textFill>
        </w:rPr>
      </w:pPr>
    </w:p>
    <w:p>
      <w:pPr>
        <w:pStyle w:val="107"/>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 xml:space="preserve">                     </w:t>
      </w:r>
    </w:p>
    <w:p>
      <w:pPr>
        <w:rPr>
          <w:rFonts w:ascii="Times New Roman" w:hAnsi="Times New Roman"/>
          <w:bCs/>
          <w:color w:val="000000" w:themeColor="text1"/>
          <w:sz w:val="24"/>
          <w:szCs w:val="24"/>
          <w14:textFill>
            <w14:solidFill>
              <w14:schemeClr w14:val="tx1"/>
            </w14:solidFill>
          </w14:textFill>
        </w:rPr>
      </w:pPr>
    </w:p>
    <w:p>
      <w:pPr>
        <w:pStyle w:val="107"/>
        <w:rPr>
          <w:rFonts w:ascii="Times New Roman" w:hAnsi="Times New Roman" w:eastAsia="宋体" w:cs="Times New Roman"/>
          <w:bCs/>
          <w:color w:val="000000" w:themeColor="text1"/>
          <w14:textFill>
            <w14:solidFill>
              <w14:schemeClr w14:val="tx1"/>
            </w14:solidFill>
          </w14:textFill>
        </w:rPr>
      </w:pPr>
    </w:p>
    <w:p>
      <w:pPr>
        <w:tabs>
          <w:tab w:val="left" w:pos="1450"/>
        </w:tabs>
        <w:spacing w:before="76" w:after="22"/>
        <w:ind w:left="435"/>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bCs w:val="0"/>
          <w:color w:val="000000" w:themeColor="text1"/>
          <w:sz w:val="24"/>
          <w:szCs w:val="24"/>
          <w:lang w:val="en-US" w:eastAsia="zh-CN"/>
          <w14:textFill>
            <w14:solidFill>
              <w14:schemeClr w14:val="tx1"/>
            </w14:solidFill>
          </w14:textFill>
        </w:rPr>
        <w:t>5</w:t>
      </w:r>
      <w:r>
        <w:rPr>
          <w:rFonts w:hint="eastAsia" w:ascii="Times New Roman" w:hAnsi="Times New Roman"/>
          <w:b/>
          <w:bCs w:val="0"/>
          <w:color w:val="000000" w:themeColor="text1"/>
          <w:sz w:val="24"/>
          <w:szCs w:val="24"/>
          <w14:textFill>
            <w14:solidFill>
              <w14:schemeClr w14:val="tx1"/>
            </w14:solidFill>
          </w14:textFill>
        </w:rPr>
        <w:t>.</w:t>
      </w:r>
      <w:r>
        <w:rPr>
          <w:rFonts w:hint="eastAsia" w:ascii="Times New Roman" w:hAnsi="Times New Roman"/>
          <w:b/>
          <w:bCs w:val="0"/>
          <w:color w:val="000000" w:themeColor="text1"/>
          <w:sz w:val="24"/>
          <w:szCs w:val="24"/>
          <w:lang w:val="en-US" w:eastAsia="zh-CN"/>
          <w14:textFill>
            <w14:solidFill>
              <w14:schemeClr w14:val="tx1"/>
            </w14:solidFill>
          </w14:textFill>
        </w:rPr>
        <w:t>3</w:t>
      </w:r>
      <w:r>
        <w:rPr>
          <w:rFonts w:hint="eastAsia" w:ascii="Times New Roman" w:hAnsi="Times New Roman"/>
          <w:b/>
          <w:bCs w:val="0"/>
          <w:color w:val="000000" w:themeColor="text1"/>
          <w:sz w:val="24"/>
          <w:szCs w:val="24"/>
          <w14:textFill>
            <w14:solidFill>
              <w14:schemeClr w14:val="tx1"/>
            </w14:solidFill>
          </w14:textFill>
        </w:rPr>
        <w:t>-</w:t>
      </w:r>
      <w:r>
        <w:rPr>
          <w:rFonts w:hint="eastAsia" w:ascii="Times New Roman" w:hAnsi="Times New Roman"/>
          <w:b/>
          <w:bCs w:val="0"/>
          <w:color w:val="000000" w:themeColor="text1"/>
          <w:sz w:val="24"/>
          <w:szCs w:val="24"/>
          <w:lang w:val="en-US" w:eastAsia="zh-CN"/>
          <w14:textFill>
            <w14:solidFill>
              <w14:schemeClr w14:val="tx1"/>
            </w14:solidFill>
          </w14:textFill>
        </w:rPr>
        <w:t>7</w:t>
      </w:r>
      <w:r>
        <w:rPr>
          <w:rFonts w:ascii="Times New Roman" w:hAnsi="Times New Roman" w:eastAsia="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长江</w:t>
      </w:r>
      <w:r>
        <w:rPr>
          <w:rFonts w:hint="eastAsia" w:ascii="Times New Roman" w:hAnsi="Times New Roman"/>
          <w:b/>
          <w:color w:val="000000" w:themeColor="text1"/>
          <w:sz w:val="24"/>
          <w:szCs w:val="24"/>
          <w14:textFill>
            <w14:solidFill>
              <w14:schemeClr w14:val="tx1"/>
            </w14:solidFill>
          </w14:textFill>
        </w:rPr>
        <w:t>三板湖污水处理厂下游</w:t>
      </w:r>
      <w:r>
        <w:rPr>
          <w:rFonts w:ascii="Times New Roman" w:hAnsi="Times New Roman"/>
          <w:b/>
          <w:color w:val="000000" w:themeColor="text1"/>
          <w:sz w:val="24"/>
          <w:szCs w:val="24"/>
          <w14:textFill>
            <w14:solidFill>
              <w14:schemeClr w14:val="tx1"/>
            </w14:solidFill>
          </w14:textFill>
        </w:rPr>
        <w:t>1000m（10#）监测结果</w:t>
      </w:r>
    </w:p>
    <w:tbl>
      <w:tblPr>
        <w:tblStyle w:val="87"/>
        <w:tblW w:w="14174"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1"/>
        <w:gridCol w:w="1171"/>
        <w:gridCol w:w="1172"/>
        <w:gridCol w:w="1171"/>
        <w:gridCol w:w="1170"/>
        <w:gridCol w:w="1559"/>
        <w:gridCol w:w="780"/>
        <w:gridCol w:w="1170"/>
        <w:gridCol w:w="1170"/>
        <w:gridCol w:w="1170"/>
        <w:gridCol w:w="1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2471" w:type="dxa"/>
            <w:tcBorders>
              <w:top w:val="single" w:color="000000" w:sz="12" w:space="0"/>
              <w:left w:val="single" w:color="000000" w:sz="12" w:space="0"/>
              <w:bottom w:val="single" w:color="000000" w:sz="4" w:space="0"/>
              <w:right w:val="single" w:color="000000" w:sz="4" w:space="0"/>
            </w:tcBorders>
          </w:tcPr>
          <w:p>
            <w:pPr>
              <w:pStyle w:val="383"/>
              <w:spacing w:before="41"/>
              <w:ind w:left="660" w:right="26" w:firstLine="720" w:firstLineChars="400"/>
              <w:jc w:val="center"/>
              <w:rPr>
                <w:rFonts w:ascii="宋体"/>
                <w:color w:val="000000" w:themeColor="text1"/>
                <w:sz w:val="18"/>
                <w:szCs w:val="18"/>
                <w14:textFill>
                  <w14:solidFill>
                    <w14:schemeClr w14:val="tx1"/>
                  </w14:solidFill>
                </w14:textFill>
              </w:rPr>
            </w:pPr>
            <w:r>
              <w:rPr>
                <w:color w:val="000000" w:themeColor="text1"/>
                <w:sz w:val="1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-7620</wp:posOffset>
                      </wp:positionH>
                      <wp:positionV relativeFrom="paragraph">
                        <wp:posOffset>5715</wp:posOffset>
                      </wp:positionV>
                      <wp:extent cx="1590675" cy="381000"/>
                      <wp:effectExtent l="1270" t="4445" r="8255" b="14605"/>
                      <wp:wrapNone/>
                      <wp:docPr id="72" name="直线 258"/>
                      <wp:cNvGraphicFramePr/>
                      <a:graphic xmlns:a="http://schemas.openxmlformats.org/drawingml/2006/main">
                        <a:graphicData uri="http://schemas.microsoft.com/office/word/2010/wordprocessingShape">
                          <wps:wsp>
                            <wps:cNvCnPr/>
                            <wps:spPr>
                              <a:xfrm>
                                <a:off x="979170" y="1120775"/>
                                <a:ext cx="1590675" cy="3810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258" o:spid="_x0000_s1026" o:spt="20" style="position:absolute;left:0pt;margin-left:-0.6pt;margin-top:0.45pt;height:30pt;width:125.25pt;z-index:251677696;mso-width-relative:page;mso-height-relative:page;" filled="f" stroked="t" coordsize="21600,21600" o:gfxdata="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ljUD1QAAAAYBAAAPAAAAAAAAAAEAIAAAACIAAABkcnMvZG93bnJldi54bWxQSwEC&#10;FAAUAAAACACHTuJA2ZfpV/cBAADwAwAADgAAAAAAAAABACAAAAAkAQAAZHJzL2Uyb0RvYy54bWxQ&#10;SwUGAAAAAAYABgBZAQAAjQUAAAAA&#10;">
                      <v:fill on="f" focussize="0,0"/>
                      <v:stroke color="#000000" joinstyle="round"/>
                      <v:imagedata o:title=""/>
                      <o:lock v:ext="edit" aspectratio="f"/>
                    </v:line>
                  </w:pict>
                </mc:Fallback>
              </mc:AlternateContent>
            </w:r>
            <w:r>
              <w:rPr>
                <w:rFonts w:hint="eastAsia" w:ascii="宋体"/>
                <w:color w:val="000000" w:themeColor="text1"/>
                <w:sz w:val="18"/>
                <w:szCs w:val="18"/>
                <w14:textFill>
                  <w14:solidFill>
                    <w14:schemeClr w14:val="tx1"/>
                  </w14:solidFill>
                </w14:textFill>
              </w:rPr>
              <w:t>断面垂线</w:t>
            </w:r>
          </w:p>
          <w:p>
            <w:pPr>
              <w:pStyle w:val="383"/>
              <w:spacing w:before="82"/>
              <w:ind w:left="106" w:right="101"/>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监测项目</w:t>
            </w:r>
          </w:p>
        </w:tc>
        <w:tc>
          <w:tcPr>
            <w:tcW w:w="1171"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10-1</w:t>
            </w:r>
          </w:p>
        </w:tc>
        <w:tc>
          <w:tcPr>
            <w:tcW w:w="1172"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10-2</w:t>
            </w:r>
          </w:p>
        </w:tc>
        <w:tc>
          <w:tcPr>
            <w:tcW w:w="1171"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10-3</w:t>
            </w:r>
          </w:p>
        </w:tc>
        <w:tc>
          <w:tcPr>
            <w:tcW w:w="1170"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10-4</w:t>
            </w:r>
          </w:p>
        </w:tc>
        <w:tc>
          <w:tcPr>
            <w:tcW w:w="1559"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10-5</w:t>
            </w:r>
          </w:p>
        </w:tc>
        <w:tc>
          <w:tcPr>
            <w:tcW w:w="780"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10-6</w:t>
            </w:r>
          </w:p>
        </w:tc>
        <w:tc>
          <w:tcPr>
            <w:tcW w:w="1170"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10-7</w:t>
            </w:r>
          </w:p>
        </w:tc>
        <w:tc>
          <w:tcPr>
            <w:tcW w:w="1170"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10-8</w:t>
            </w:r>
          </w:p>
        </w:tc>
        <w:tc>
          <w:tcPr>
            <w:tcW w:w="1170" w:type="dxa"/>
            <w:tcBorders>
              <w:top w:val="single" w:color="000000" w:sz="12" w:space="0"/>
              <w:left w:val="single" w:color="000000" w:sz="4" w:space="0"/>
              <w:bottom w:val="single" w:color="000000" w:sz="4" w:space="0"/>
              <w:right w:val="single" w:color="000000" w:sz="4" w:space="0"/>
            </w:tcBorders>
          </w:tcPr>
          <w:p>
            <w:pPr>
              <w:pStyle w:val="383"/>
              <w:spacing w:before="2"/>
              <w:jc w:val="center"/>
              <w:rPr>
                <w:rFonts w:ascii="Times New Roman" w:hAnsi="Times New Roman" w:cs="Times New Roman"/>
                <w:b/>
                <w:color w:val="000000" w:themeColor="text1"/>
                <w:sz w:val="18"/>
                <w:szCs w:val="18"/>
                <w14:textFill>
                  <w14:solidFill>
                    <w14:schemeClr w14:val="tx1"/>
                  </w14:solidFill>
                </w14:textFill>
              </w:rPr>
            </w:pPr>
          </w:p>
          <w:p>
            <w:pPr>
              <w:pStyle w:val="383"/>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10-9</w:t>
            </w:r>
          </w:p>
        </w:tc>
        <w:tc>
          <w:tcPr>
            <w:tcW w:w="1170" w:type="dxa"/>
            <w:tcBorders>
              <w:top w:val="single" w:color="000000" w:sz="12" w:space="0"/>
              <w:left w:val="single" w:color="000000" w:sz="4" w:space="0"/>
              <w:bottom w:val="single" w:color="000000" w:sz="4" w:space="0"/>
              <w:right w:val="single" w:color="000000" w:sz="12" w:space="0"/>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pH 值（无量纲）</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8.35</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1"/>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8.28</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8.18</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1"/>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8.28</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8.13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8.21</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高锰酸盐指数（mg/L）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1.28</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1"/>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1.34</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1"/>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1.39</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1.39</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1.36</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1"/>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化学需氧量（mg/L）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3"/>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3"/>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3"/>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3"/>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五日生化需氧量（mg/L）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1.7</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3"/>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3"/>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1.7</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3"/>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3"/>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6"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氨氮（mg/L）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0.132</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0.132</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0.121</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0.129</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0.143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0.127</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38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0.146</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0.132</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6"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总氮（mg/L）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0.294</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0.285</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0.275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0.332</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0.228</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0.322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0.304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38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0.332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0.266</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6"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总磷（mg/L）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0.162</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0.163</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0.146</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0.14</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0.164</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38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0.132</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氟化物（mg/L）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0.125</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0.127</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0.204</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0.126</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38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0.118</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硫化物（mg/L）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220"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0.006</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2"/>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挥发酚（mg/L）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1"/>
              <w:ind w:left="220"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1"/>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0.0005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33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0.0005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2"/>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六价铬（mg/L）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1"/>
              <w:ind w:left="220"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0.007</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0.004</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1"/>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0.004</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1"/>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氰化物（mg/L）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1"/>
              <w:ind w:left="220"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1"/>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1"/>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铬（mg/L）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3.88×10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1"/>
              <w:ind w:left="220"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6.88×10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9.31×10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8.11×10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1"/>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right="23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9.24×10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6.34×10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1"/>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镍（mg/L）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4.26×10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1"/>
              <w:ind w:left="220"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4.54×10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1"/>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6.16×10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5.68×10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1"/>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6.05×10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6.73×10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7.02×10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right="23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6.40×10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1"/>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6.34×10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铜（mg/L）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219"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9.74×10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3"/>
              <w:ind w:left="220"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3"/>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right="23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1.42×10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3"/>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1"/>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砷（mg/L）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219"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3"/>
              <w:ind w:left="220" w:right="21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3"/>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3"/>
              <w:ind w:left="219" w:right="21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right="23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1.46×10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3"/>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3"/>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银（mg/L）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220"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石油类（mg/L）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220"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4"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粪大肠菌群（MPN/100mL）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471" w:type="dxa"/>
            <w:tcBorders>
              <w:top w:val="single" w:color="000000" w:sz="4" w:space="0"/>
              <w:left w:val="single" w:color="000000" w:sz="12" w:space="0"/>
              <w:bottom w:val="single" w:color="000000" w:sz="4" w:space="0"/>
              <w:right w:val="single" w:color="000000" w:sz="4" w:space="0"/>
            </w:tcBorders>
          </w:tcPr>
          <w:p>
            <w:pPr>
              <w:pStyle w:val="383"/>
              <w:spacing w:before="40"/>
              <w:ind w:left="104" w:right="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二氯甲烷（mg/L）</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219" w:right="21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2" w:type="dxa"/>
            <w:tcBorders>
              <w:top w:val="single" w:color="000000" w:sz="4" w:space="0"/>
              <w:left w:val="single" w:color="000000" w:sz="4" w:space="0"/>
              <w:bottom w:val="single" w:color="000000" w:sz="4" w:space="0"/>
              <w:right w:val="single" w:color="000000" w:sz="4" w:space="0"/>
            </w:tcBorders>
          </w:tcPr>
          <w:p>
            <w:pPr>
              <w:pStyle w:val="383"/>
              <w:spacing w:before="52"/>
              <w:ind w:left="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1" w:type="dxa"/>
            <w:tcBorders>
              <w:top w:val="single" w:color="000000" w:sz="4" w:space="0"/>
              <w:left w:val="single" w:color="000000" w:sz="4" w:space="0"/>
              <w:bottom w:val="single" w:color="000000" w:sz="4" w:space="0"/>
              <w:right w:val="single" w:color="000000" w:sz="4" w:space="0"/>
            </w:tcBorders>
          </w:tcPr>
          <w:p>
            <w:pPr>
              <w:pStyle w:val="383"/>
              <w:spacing w:before="52"/>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559" w:type="dxa"/>
            <w:tcBorders>
              <w:top w:val="single" w:color="000000" w:sz="4" w:space="0"/>
              <w:left w:val="single" w:color="000000" w:sz="4" w:space="0"/>
              <w:bottom w:val="single" w:color="000000" w:sz="4" w:space="0"/>
              <w:right w:val="single" w:color="000000" w:sz="4" w:space="0"/>
            </w:tcBorders>
          </w:tcPr>
          <w:p>
            <w:pPr>
              <w:pStyle w:val="383"/>
              <w:spacing w:before="52"/>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780" w:type="dxa"/>
            <w:tcBorders>
              <w:top w:val="single" w:color="000000" w:sz="4" w:space="0"/>
              <w:left w:val="single" w:color="000000" w:sz="4" w:space="0"/>
              <w:bottom w:val="single" w:color="000000" w:sz="4" w:space="0"/>
              <w:right w:val="single" w:color="000000" w:sz="4" w:space="0"/>
            </w:tcBorders>
          </w:tcPr>
          <w:p>
            <w:pPr>
              <w:pStyle w:val="383"/>
              <w:spacing w:before="52"/>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right="27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70" w:type="dxa"/>
            <w:tcBorders>
              <w:top w:val="single" w:color="000000" w:sz="4" w:space="0"/>
              <w:left w:val="single" w:color="000000" w:sz="4" w:space="0"/>
              <w:bottom w:val="single" w:color="000000" w:sz="4" w:space="0"/>
              <w:right w:val="single" w:color="000000" w:sz="12" w:space="0"/>
            </w:tcBorders>
          </w:tcPr>
          <w:p>
            <w:pPr>
              <w:pStyle w:val="383"/>
              <w:spacing w:before="5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471" w:type="dxa"/>
            <w:tcBorders>
              <w:top w:val="single" w:color="000000" w:sz="4" w:space="0"/>
              <w:left w:val="single" w:color="000000" w:sz="12" w:space="0"/>
              <w:bottom w:val="single" w:color="000000" w:sz="12" w:space="0"/>
              <w:right w:val="single" w:color="000000" w:sz="4" w:space="0"/>
            </w:tcBorders>
          </w:tcPr>
          <w:p>
            <w:pPr>
              <w:pStyle w:val="383"/>
              <w:spacing w:before="40"/>
              <w:ind w:left="106" w:right="10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甲苯（mg/L）</w:t>
            </w:r>
          </w:p>
        </w:tc>
        <w:tc>
          <w:tcPr>
            <w:tcW w:w="1171" w:type="dxa"/>
            <w:tcBorders>
              <w:top w:val="single" w:color="000000" w:sz="4" w:space="0"/>
              <w:left w:val="single" w:color="000000" w:sz="4" w:space="0"/>
              <w:bottom w:val="single" w:color="000000" w:sz="12" w:space="0"/>
              <w:right w:val="single" w:color="000000" w:sz="4" w:space="0"/>
            </w:tcBorders>
          </w:tcPr>
          <w:p>
            <w:pPr>
              <w:pStyle w:val="383"/>
              <w:spacing w:before="52"/>
              <w:ind w:left="219" w:right="21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2" w:type="dxa"/>
            <w:tcBorders>
              <w:top w:val="single" w:color="000000" w:sz="4" w:space="0"/>
              <w:left w:val="single" w:color="000000" w:sz="4" w:space="0"/>
              <w:bottom w:val="single" w:color="000000" w:sz="12" w:space="0"/>
              <w:right w:val="single" w:color="000000" w:sz="4" w:space="0"/>
            </w:tcBorders>
          </w:tcPr>
          <w:p>
            <w:pPr>
              <w:pStyle w:val="383"/>
              <w:spacing w:before="52"/>
              <w:ind w:left="220" w:right="21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1" w:type="dxa"/>
            <w:tcBorders>
              <w:top w:val="single" w:color="000000" w:sz="4" w:space="0"/>
              <w:left w:val="single" w:color="000000" w:sz="4" w:space="0"/>
              <w:bottom w:val="single" w:color="000000" w:sz="12" w:space="0"/>
              <w:right w:val="single" w:color="000000" w:sz="4" w:space="0"/>
            </w:tcBorders>
          </w:tcPr>
          <w:p>
            <w:pPr>
              <w:pStyle w:val="383"/>
              <w:spacing w:before="52"/>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12"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559" w:type="dxa"/>
            <w:tcBorders>
              <w:top w:val="single" w:color="000000" w:sz="4" w:space="0"/>
              <w:left w:val="single" w:color="000000" w:sz="4" w:space="0"/>
              <w:bottom w:val="single" w:color="000000" w:sz="12" w:space="0"/>
              <w:right w:val="single" w:color="000000" w:sz="4" w:space="0"/>
            </w:tcBorders>
          </w:tcPr>
          <w:p>
            <w:pPr>
              <w:pStyle w:val="383"/>
              <w:spacing w:before="52"/>
              <w:ind w:left="219" w:right="21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780" w:type="dxa"/>
            <w:tcBorders>
              <w:top w:val="single" w:color="000000" w:sz="4" w:space="0"/>
              <w:left w:val="single" w:color="000000" w:sz="4" w:space="0"/>
              <w:bottom w:val="single" w:color="000000" w:sz="12"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12"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12" w:space="0"/>
              <w:right w:val="single" w:color="000000" w:sz="4" w:space="0"/>
            </w:tcBorders>
          </w:tcPr>
          <w:p>
            <w:pPr>
              <w:pStyle w:val="383"/>
              <w:spacing w:before="52"/>
              <w:ind w:left="91"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12" w:space="0"/>
              <w:right w:val="single" w:color="000000" w:sz="4" w:space="0"/>
            </w:tcBorders>
          </w:tcPr>
          <w:p>
            <w:pPr>
              <w:pStyle w:val="383"/>
              <w:spacing w:before="52"/>
              <w:ind w:left="94"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70" w:type="dxa"/>
            <w:tcBorders>
              <w:top w:val="single" w:color="000000" w:sz="4" w:space="0"/>
              <w:left w:val="single" w:color="000000" w:sz="4" w:space="0"/>
              <w:bottom w:val="single" w:color="000000" w:sz="12" w:space="0"/>
              <w:right w:val="single" w:color="000000" w:sz="12" w:space="0"/>
            </w:tcBorders>
          </w:tcPr>
          <w:p>
            <w:pPr>
              <w:pStyle w:val="383"/>
              <w:spacing w:before="5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0.7</w:t>
            </w:r>
          </w:p>
        </w:tc>
      </w:tr>
    </w:tbl>
    <w:p>
      <w:pPr>
        <w:pStyle w:val="107"/>
        <w:rPr>
          <w:color w:val="000000" w:themeColor="text1"/>
          <w14:textFill>
            <w14:solidFill>
              <w14:schemeClr w14:val="tx1"/>
            </w14:solidFill>
          </w14:textFill>
        </w:rPr>
      </w:pPr>
    </w:p>
    <w:p>
      <w:pPr>
        <w:pStyle w:val="107"/>
        <w:rPr>
          <w:color w:val="000000" w:themeColor="text1"/>
          <w14:textFill>
            <w14:solidFill>
              <w14:schemeClr w14:val="tx1"/>
            </w14:solidFill>
          </w14:textFill>
        </w:rPr>
      </w:pPr>
    </w:p>
    <w:p>
      <w:pPr>
        <w:ind w:firstLine="4096" w:firstLineChars="1700"/>
        <w:rPr>
          <w:rFonts w:ascii="Times New Roman" w:hAnsi="Times New Roman" w:eastAsia="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bCs w:val="0"/>
          <w:color w:val="000000" w:themeColor="text1"/>
          <w:sz w:val="24"/>
          <w:szCs w:val="24"/>
          <w:lang w:val="en-US" w:eastAsia="zh-CN"/>
          <w14:textFill>
            <w14:solidFill>
              <w14:schemeClr w14:val="tx1"/>
            </w14:solidFill>
          </w14:textFill>
        </w:rPr>
        <w:t>5</w:t>
      </w:r>
      <w:r>
        <w:rPr>
          <w:rFonts w:hint="eastAsia" w:ascii="Times New Roman" w:hAnsi="Times New Roman"/>
          <w:b/>
          <w:bCs w:val="0"/>
          <w:color w:val="000000" w:themeColor="text1"/>
          <w:sz w:val="24"/>
          <w:szCs w:val="24"/>
          <w14:textFill>
            <w14:solidFill>
              <w14:schemeClr w14:val="tx1"/>
            </w14:solidFill>
          </w14:textFill>
        </w:rPr>
        <w:t>.</w:t>
      </w:r>
      <w:r>
        <w:rPr>
          <w:rFonts w:hint="eastAsia" w:ascii="Times New Roman" w:hAnsi="Times New Roman"/>
          <w:b/>
          <w:bCs w:val="0"/>
          <w:color w:val="000000" w:themeColor="text1"/>
          <w:sz w:val="24"/>
          <w:szCs w:val="24"/>
          <w:lang w:val="en-US" w:eastAsia="zh-CN"/>
          <w14:textFill>
            <w14:solidFill>
              <w14:schemeClr w14:val="tx1"/>
            </w14:solidFill>
          </w14:textFill>
        </w:rPr>
        <w:t>3</w:t>
      </w:r>
      <w:r>
        <w:rPr>
          <w:rFonts w:hint="eastAsia" w:ascii="Times New Roman" w:hAnsi="Times New Roman"/>
          <w:b/>
          <w:bCs w:val="0"/>
          <w:color w:val="000000" w:themeColor="text1"/>
          <w:sz w:val="24"/>
          <w:szCs w:val="24"/>
          <w14:textFill>
            <w14:solidFill>
              <w14:schemeClr w14:val="tx1"/>
            </w14:solidFill>
          </w14:textFill>
        </w:rPr>
        <w:t>-</w:t>
      </w:r>
      <w:r>
        <w:rPr>
          <w:rFonts w:hint="eastAsia" w:ascii="Times New Roman" w:hAnsi="Times New Roman"/>
          <w:b/>
          <w:bCs w:val="0"/>
          <w:color w:val="000000" w:themeColor="text1"/>
          <w:sz w:val="24"/>
          <w:szCs w:val="24"/>
          <w:lang w:val="en-US" w:eastAsia="zh-CN"/>
          <w14:textFill>
            <w14:solidFill>
              <w14:schemeClr w14:val="tx1"/>
            </w14:solidFill>
          </w14:textFill>
        </w:rPr>
        <w:t>8</w:t>
      </w:r>
      <w:r>
        <w:rPr>
          <w:rFonts w:ascii="Times New Roman" w:hAnsi="Times New Roman" w:eastAsia="Times New Roman"/>
          <w:b/>
          <w:color w:val="000000" w:themeColor="text1"/>
          <w:sz w:val="24"/>
          <w:szCs w:val="24"/>
          <w14:textFill>
            <w14:solidFill>
              <w14:schemeClr w14:val="tx1"/>
            </w14:solidFill>
          </w14:textFill>
        </w:rPr>
        <w:tab/>
      </w:r>
      <w:r>
        <w:rPr>
          <w:rFonts w:ascii="Times New Roman" w:hAnsi="Times New Roman" w:eastAsia="Times New Roman"/>
          <w:b/>
          <w:color w:val="000000" w:themeColor="text1"/>
          <w:sz w:val="24"/>
          <w:szCs w:val="24"/>
          <w14:textFill>
            <w14:solidFill>
              <w14:schemeClr w14:val="tx1"/>
            </w14:solidFill>
          </w14:textFill>
        </w:rPr>
        <w:t>长江洋溪下游1000m（11#）监测结果</w:t>
      </w:r>
    </w:p>
    <w:tbl>
      <w:tblPr>
        <w:tblStyle w:val="87"/>
        <w:tblW w:w="14233" w:type="dxa"/>
        <w:tblInd w:w="1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451"/>
        <w:gridCol w:w="1192"/>
        <w:gridCol w:w="1193"/>
        <w:gridCol w:w="1193"/>
        <w:gridCol w:w="1195"/>
        <w:gridCol w:w="1194"/>
        <w:gridCol w:w="1195"/>
        <w:gridCol w:w="1195"/>
        <w:gridCol w:w="1195"/>
        <w:gridCol w:w="1195"/>
        <w:gridCol w:w="10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95" w:hRule="atLeast"/>
        </w:trPr>
        <w:tc>
          <w:tcPr>
            <w:tcW w:w="2451" w:type="dxa"/>
            <w:tcBorders>
              <w:tl2br w:val="nil"/>
              <w:tr2bl w:val="nil"/>
            </w:tcBorders>
          </w:tcPr>
          <w:p>
            <w:pPr>
              <w:pStyle w:val="383"/>
              <w:spacing w:before="3"/>
              <w:ind w:left="1620"/>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6350</wp:posOffset>
                      </wp:positionH>
                      <wp:positionV relativeFrom="paragraph">
                        <wp:posOffset>635</wp:posOffset>
                      </wp:positionV>
                      <wp:extent cx="1511935" cy="304165"/>
                      <wp:effectExtent l="635" t="4445" r="11430" b="15240"/>
                      <wp:wrapNone/>
                      <wp:docPr id="40" name="直线 259"/>
                      <wp:cNvGraphicFramePr/>
                      <a:graphic xmlns:a="http://schemas.openxmlformats.org/drawingml/2006/main">
                        <a:graphicData uri="http://schemas.microsoft.com/office/word/2010/wordprocessingShape">
                          <wps:wsp>
                            <wps:cNvCnPr/>
                            <wps:spPr>
                              <a:xfrm>
                                <a:off x="0" y="0"/>
                                <a:ext cx="1511935" cy="30416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线 259" o:spid="_x0000_s1026" o:spt="32" type="#_x0000_t32" style="position:absolute;left:0pt;margin-left:0.5pt;margin-top:0.05pt;height:23.95pt;width:119.05pt;z-index:251678720;mso-width-relative:page;mso-height-relative:page;" filled="f" stroked="t" coordsize="21600,21600" o:gfxdata="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TvdtQAAAAFAQAADwAAAAAAAAABACAAAAAiAAAAZHJzL2Rvd25yZXYueG1sUEsBAhQAFAAA&#10;AAgAh07iQKOIRMPzAQAA7wMAAA4AAAAAAAAAAQAgAAAAIwEAAGRycy9lMm9Eb2MueG1sUEsFBgAA&#10;AAAGAAYAWQEAAIgFAAAAAA==&#10;">
                      <v:fill on="f" focussize="0,0"/>
                      <v:stroke color="#000000" joinstyle="round"/>
                      <v:imagedata o:title=""/>
                      <o:lock v:ext="edit" aspectratio="f"/>
                    </v:shape>
                  </w:pict>
                </mc:Fallback>
              </mc:AlternateContent>
            </w:r>
            <w:r>
              <w:rPr>
                <w:rFonts w:ascii="Times New Roman" w:hAnsi="Times New Roman" w:cs="Times New Roman"/>
                <w:color w:val="000000" w:themeColor="text1"/>
                <w:sz w:val="18"/>
                <w:szCs w:val="18"/>
                <w14:textFill>
                  <w14:solidFill>
                    <w14:schemeClr w14:val="tx1"/>
                  </w14:solidFill>
                </w14:textFill>
              </w:rPr>
              <w:t>断面垂线</w:t>
            </w:r>
          </w:p>
          <w:p>
            <w:pPr>
              <w:pStyle w:val="383"/>
              <w:spacing w:before="2" w:line="211" w:lineRule="exact"/>
              <w:ind w:left="108"/>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监测项目</w:t>
            </w:r>
          </w:p>
        </w:tc>
        <w:tc>
          <w:tcPr>
            <w:tcW w:w="1192" w:type="dxa"/>
            <w:tcBorders>
              <w:tl2br w:val="nil"/>
              <w:tr2bl w:val="nil"/>
            </w:tcBorders>
          </w:tcPr>
          <w:p>
            <w:pPr>
              <w:pStyle w:val="383"/>
              <w:spacing w:before="130"/>
              <w:ind w:left="204" w:right="19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11-1</w:t>
            </w:r>
          </w:p>
        </w:tc>
        <w:tc>
          <w:tcPr>
            <w:tcW w:w="1193" w:type="dxa"/>
            <w:tcBorders>
              <w:tl2br w:val="nil"/>
              <w:tr2bl w:val="nil"/>
            </w:tcBorders>
          </w:tcPr>
          <w:p>
            <w:pPr>
              <w:pStyle w:val="383"/>
              <w:spacing w:before="130"/>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11-2</w:t>
            </w:r>
          </w:p>
        </w:tc>
        <w:tc>
          <w:tcPr>
            <w:tcW w:w="1193" w:type="dxa"/>
            <w:tcBorders>
              <w:tl2br w:val="nil"/>
              <w:tr2bl w:val="nil"/>
            </w:tcBorders>
          </w:tcPr>
          <w:p>
            <w:pPr>
              <w:pStyle w:val="383"/>
              <w:spacing w:before="130"/>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11-3</w:t>
            </w:r>
          </w:p>
        </w:tc>
        <w:tc>
          <w:tcPr>
            <w:tcW w:w="1195" w:type="dxa"/>
            <w:tcBorders>
              <w:tl2br w:val="nil"/>
              <w:tr2bl w:val="nil"/>
            </w:tcBorders>
          </w:tcPr>
          <w:p>
            <w:pPr>
              <w:pStyle w:val="383"/>
              <w:spacing w:before="130"/>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11-4</w:t>
            </w:r>
          </w:p>
        </w:tc>
        <w:tc>
          <w:tcPr>
            <w:tcW w:w="1194" w:type="dxa"/>
            <w:tcBorders>
              <w:tl2br w:val="nil"/>
              <w:tr2bl w:val="nil"/>
            </w:tcBorders>
          </w:tcPr>
          <w:p>
            <w:pPr>
              <w:pStyle w:val="383"/>
              <w:spacing w:before="130"/>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11-5</w:t>
            </w:r>
          </w:p>
        </w:tc>
        <w:tc>
          <w:tcPr>
            <w:tcW w:w="1195" w:type="dxa"/>
            <w:tcBorders>
              <w:tl2br w:val="nil"/>
              <w:tr2bl w:val="nil"/>
            </w:tcBorders>
          </w:tcPr>
          <w:p>
            <w:pPr>
              <w:pStyle w:val="383"/>
              <w:spacing w:before="130"/>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11-6</w:t>
            </w:r>
          </w:p>
        </w:tc>
        <w:tc>
          <w:tcPr>
            <w:tcW w:w="1195" w:type="dxa"/>
            <w:tcBorders>
              <w:tl2br w:val="nil"/>
              <w:tr2bl w:val="nil"/>
            </w:tcBorders>
          </w:tcPr>
          <w:p>
            <w:pPr>
              <w:pStyle w:val="383"/>
              <w:spacing w:before="130"/>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11-7</w:t>
            </w:r>
          </w:p>
        </w:tc>
        <w:tc>
          <w:tcPr>
            <w:tcW w:w="1195" w:type="dxa"/>
            <w:tcBorders>
              <w:tl2br w:val="nil"/>
              <w:tr2bl w:val="nil"/>
            </w:tcBorders>
          </w:tcPr>
          <w:p>
            <w:pPr>
              <w:pStyle w:val="383"/>
              <w:spacing w:before="130"/>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11-8</w:t>
            </w:r>
          </w:p>
        </w:tc>
        <w:tc>
          <w:tcPr>
            <w:tcW w:w="1195" w:type="dxa"/>
            <w:tcBorders>
              <w:tl2br w:val="nil"/>
              <w:tr2bl w:val="nil"/>
            </w:tcBorders>
          </w:tcPr>
          <w:p>
            <w:pPr>
              <w:pStyle w:val="383"/>
              <w:spacing w:before="130"/>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11-9</w:t>
            </w:r>
          </w:p>
        </w:tc>
        <w:tc>
          <w:tcPr>
            <w:tcW w:w="1035" w:type="dxa"/>
            <w:tcBorders>
              <w:tl2br w:val="nil"/>
              <w:tr2bl w:val="nil"/>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451" w:type="dxa"/>
            <w:tcBorders>
              <w:tl2br w:val="nil"/>
              <w:tr2bl w:val="nil"/>
            </w:tcBorders>
          </w:tcPr>
          <w:p>
            <w:pPr>
              <w:pStyle w:val="383"/>
              <w:spacing w:before="4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pH 值（无量纲）</w:t>
            </w:r>
          </w:p>
        </w:tc>
        <w:tc>
          <w:tcPr>
            <w:tcW w:w="1192" w:type="dxa"/>
            <w:tcBorders>
              <w:tl2br w:val="nil"/>
              <w:tr2bl w:val="nil"/>
            </w:tcBorders>
          </w:tcPr>
          <w:p>
            <w:pPr>
              <w:pStyle w:val="383"/>
              <w:spacing w:before="51"/>
              <w:ind w:left="202"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8.34</w:t>
            </w:r>
          </w:p>
        </w:tc>
        <w:tc>
          <w:tcPr>
            <w:tcW w:w="1193"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8.4</w:t>
            </w:r>
          </w:p>
        </w:tc>
        <w:tc>
          <w:tcPr>
            <w:tcW w:w="1193"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8.33</w:t>
            </w:r>
          </w:p>
        </w:tc>
        <w:tc>
          <w:tcPr>
            <w:tcW w:w="1195" w:type="dxa"/>
            <w:tcBorders>
              <w:tl2br w:val="nil"/>
              <w:tr2bl w:val="nil"/>
            </w:tcBorders>
          </w:tcPr>
          <w:p>
            <w:pPr>
              <w:pStyle w:val="383"/>
              <w:spacing w:before="51"/>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8.27</w:t>
            </w:r>
          </w:p>
        </w:tc>
        <w:tc>
          <w:tcPr>
            <w:tcW w:w="1194" w:type="dxa"/>
            <w:tcBorders>
              <w:tl2br w:val="nil"/>
              <w:tr2bl w:val="nil"/>
            </w:tcBorders>
          </w:tcPr>
          <w:p>
            <w:pPr>
              <w:pStyle w:val="383"/>
              <w:spacing w:before="51"/>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8.24</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8.27</w:t>
            </w:r>
          </w:p>
        </w:tc>
        <w:tc>
          <w:tcPr>
            <w:tcW w:w="1195" w:type="dxa"/>
            <w:tcBorders>
              <w:tl2br w:val="nil"/>
              <w:tr2bl w:val="nil"/>
            </w:tcBorders>
          </w:tcPr>
          <w:p>
            <w:pPr>
              <w:pStyle w:val="383"/>
              <w:spacing w:before="51"/>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8.34</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8.23</w:t>
            </w:r>
          </w:p>
        </w:tc>
        <w:tc>
          <w:tcPr>
            <w:tcW w:w="1195" w:type="dxa"/>
            <w:tcBorders>
              <w:tl2br w:val="nil"/>
              <w:tr2bl w:val="nil"/>
            </w:tcBorders>
          </w:tcPr>
          <w:p>
            <w:pPr>
              <w:pStyle w:val="383"/>
              <w:spacing w:before="51"/>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8.18</w:t>
            </w:r>
          </w:p>
        </w:tc>
        <w:tc>
          <w:tcPr>
            <w:tcW w:w="1035" w:type="dxa"/>
            <w:tcBorders>
              <w:tl2br w:val="nil"/>
              <w:tr2bl w:val="nil"/>
            </w:tcBorders>
          </w:tcPr>
          <w:p>
            <w:pPr>
              <w:pStyle w:val="383"/>
              <w:spacing w:before="51"/>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451" w:type="dxa"/>
            <w:tcBorders>
              <w:tl2br w:val="nil"/>
              <w:tr2bl w:val="nil"/>
            </w:tcBorders>
          </w:tcPr>
          <w:p>
            <w:pPr>
              <w:pStyle w:val="383"/>
              <w:spacing w:before="42"/>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高锰酸盐指数（mg/L）</w:t>
            </w:r>
          </w:p>
        </w:tc>
        <w:tc>
          <w:tcPr>
            <w:tcW w:w="1192" w:type="dxa"/>
            <w:tcBorders>
              <w:tl2br w:val="nil"/>
              <w:tr2bl w:val="nil"/>
            </w:tcBorders>
          </w:tcPr>
          <w:p>
            <w:pPr>
              <w:pStyle w:val="383"/>
              <w:spacing w:before="51"/>
              <w:ind w:left="202"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1.52</w:t>
            </w:r>
          </w:p>
        </w:tc>
        <w:tc>
          <w:tcPr>
            <w:tcW w:w="1193" w:type="dxa"/>
            <w:tcBorders>
              <w:tl2br w:val="nil"/>
              <w:tr2bl w:val="nil"/>
            </w:tcBorders>
          </w:tcPr>
          <w:p>
            <w:pPr>
              <w:pStyle w:val="383"/>
              <w:spacing w:before="51"/>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1.45</w:t>
            </w:r>
          </w:p>
        </w:tc>
        <w:tc>
          <w:tcPr>
            <w:tcW w:w="1193"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w:t>
            </w:r>
          </w:p>
        </w:tc>
        <w:tc>
          <w:tcPr>
            <w:tcW w:w="1195" w:type="dxa"/>
            <w:tcBorders>
              <w:tl2br w:val="nil"/>
              <w:tr2bl w:val="nil"/>
            </w:tcBorders>
          </w:tcPr>
          <w:p>
            <w:pPr>
              <w:pStyle w:val="383"/>
              <w:spacing w:before="51"/>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1.41</w:t>
            </w:r>
          </w:p>
        </w:tc>
        <w:tc>
          <w:tcPr>
            <w:tcW w:w="1194" w:type="dxa"/>
            <w:tcBorders>
              <w:tl2br w:val="nil"/>
              <w:tr2bl w:val="nil"/>
            </w:tcBorders>
          </w:tcPr>
          <w:p>
            <w:pPr>
              <w:pStyle w:val="383"/>
              <w:spacing w:before="51"/>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1.42</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w:t>
            </w:r>
          </w:p>
        </w:tc>
        <w:tc>
          <w:tcPr>
            <w:tcW w:w="1195" w:type="dxa"/>
            <w:tcBorders>
              <w:tl2br w:val="nil"/>
              <w:tr2bl w:val="nil"/>
            </w:tcBorders>
          </w:tcPr>
          <w:p>
            <w:pPr>
              <w:pStyle w:val="383"/>
              <w:spacing w:before="51"/>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1.46</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1.44</w:t>
            </w:r>
          </w:p>
        </w:tc>
        <w:tc>
          <w:tcPr>
            <w:tcW w:w="1195" w:type="dxa"/>
            <w:tcBorders>
              <w:tl2br w:val="nil"/>
              <w:tr2bl w:val="nil"/>
            </w:tcBorders>
          </w:tcPr>
          <w:p>
            <w:pPr>
              <w:pStyle w:val="383"/>
              <w:spacing w:before="51"/>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1.42</w:t>
            </w:r>
          </w:p>
        </w:tc>
        <w:tc>
          <w:tcPr>
            <w:tcW w:w="1035" w:type="dxa"/>
            <w:tcBorders>
              <w:tl2br w:val="nil"/>
              <w:tr2bl w:val="nil"/>
            </w:tcBorders>
          </w:tcPr>
          <w:p>
            <w:pPr>
              <w:pStyle w:val="383"/>
              <w:spacing w:before="51"/>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51" w:type="dxa"/>
            <w:tcBorders>
              <w:tl2br w:val="nil"/>
              <w:tr2bl w:val="nil"/>
            </w:tcBorders>
          </w:tcPr>
          <w:p>
            <w:pPr>
              <w:pStyle w:val="383"/>
              <w:spacing w:before="4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化学需氧量（mg/L）</w:t>
            </w:r>
          </w:p>
        </w:tc>
        <w:tc>
          <w:tcPr>
            <w:tcW w:w="1192" w:type="dxa"/>
            <w:tcBorders>
              <w:tl2br w:val="nil"/>
              <w:tr2bl w:val="nil"/>
            </w:tcBorders>
          </w:tcPr>
          <w:p>
            <w:pPr>
              <w:pStyle w:val="383"/>
              <w:spacing w:before="51"/>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93" w:type="dxa"/>
            <w:tcBorders>
              <w:tl2br w:val="nil"/>
              <w:tr2bl w:val="nil"/>
            </w:tcBorders>
          </w:tcPr>
          <w:p>
            <w:pPr>
              <w:pStyle w:val="383"/>
              <w:spacing w:before="51"/>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193" w:type="dxa"/>
            <w:tcBorders>
              <w:tl2br w:val="nil"/>
              <w:tr2bl w:val="nil"/>
            </w:tcBorders>
          </w:tcPr>
          <w:p>
            <w:pPr>
              <w:pStyle w:val="383"/>
              <w:spacing w:before="51"/>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95" w:type="dxa"/>
            <w:tcBorders>
              <w:tl2br w:val="nil"/>
              <w:tr2bl w:val="nil"/>
            </w:tcBorders>
          </w:tcPr>
          <w:p>
            <w:pPr>
              <w:pStyle w:val="383"/>
              <w:spacing w:before="51"/>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194" w:type="dxa"/>
            <w:tcBorders>
              <w:tl2br w:val="nil"/>
              <w:tr2bl w:val="nil"/>
            </w:tcBorders>
          </w:tcPr>
          <w:p>
            <w:pPr>
              <w:pStyle w:val="383"/>
              <w:spacing w:before="51"/>
              <w:ind w:left="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95" w:type="dxa"/>
            <w:tcBorders>
              <w:tl2br w:val="nil"/>
              <w:tr2bl w:val="nil"/>
            </w:tcBorders>
          </w:tcPr>
          <w:p>
            <w:pPr>
              <w:pStyle w:val="383"/>
              <w:spacing w:before="51"/>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95" w:type="dxa"/>
            <w:tcBorders>
              <w:tl2br w:val="nil"/>
              <w:tr2bl w:val="nil"/>
            </w:tcBorders>
          </w:tcPr>
          <w:p>
            <w:pPr>
              <w:pStyle w:val="383"/>
              <w:spacing w:before="51"/>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95" w:type="dxa"/>
            <w:tcBorders>
              <w:tl2br w:val="nil"/>
              <w:tr2bl w:val="nil"/>
            </w:tcBorders>
          </w:tcPr>
          <w:p>
            <w:pPr>
              <w:pStyle w:val="383"/>
              <w:spacing w:before="51"/>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195" w:type="dxa"/>
            <w:tcBorders>
              <w:tl2br w:val="nil"/>
              <w:tr2bl w:val="nil"/>
            </w:tcBorders>
          </w:tcPr>
          <w:p>
            <w:pPr>
              <w:pStyle w:val="383"/>
              <w:spacing w:before="51"/>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c>
          <w:tcPr>
            <w:tcW w:w="1035" w:type="dxa"/>
            <w:tcBorders>
              <w:tl2br w:val="nil"/>
              <w:tr2bl w:val="nil"/>
            </w:tcBorders>
          </w:tcPr>
          <w:p>
            <w:pPr>
              <w:pStyle w:val="383"/>
              <w:spacing w:before="51"/>
              <w:ind w:left="294"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trPr>
        <w:tc>
          <w:tcPr>
            <w:tcW w:w="2451" w:type="dxa"/>
            <w:tcBorders>
              <w:tl2br w:val="nil"/>
              <w:tr2bl w:val="nil"/>
            </w:tcBorders>
          </w:tcPr>
          <w:p>
            <w:pPr>
              <w:pStyle w:val="383"/>
              <w:spacing w:before="4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五日生化需氧量（mg/L）</w:t>
            </w:r>
          </w:p>
        </w:tc>
        <w:tc>
          <w:tcPr>
            <w:tcW w:w="1192" w:type="dxa"/>
            <w:tcBorders>
              <w:tl2br w:val="nil"/>
              <w:tr2bl w:val="nil"/>
            </w:tcBorders>
          </w:tcPr>
          <w:p>
            <w:pPr>
              <w:pStyle w:val="383"/>
              <w:spacing w:before="51"/>
              <w:ind w:left="204" w:right="19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w:t>
            </w:r>
          </w:p>
        </w:tc>
        <w:tc>
          <w:tcPr>
            <w:tcW w:w="1193"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w:t>
            </w:r>
          </w:p>
        </w:tc>
        <w:tc>
          <w:tcPr>
            <w:tcW w:w="1193"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w:t>
            </w:r>
          </w:p>
        </w:tc>
        <w:tc>
          <w:tcPr>
            <w:tcW w:w="1194" w:type="dxa"/>
            <w:tcBorders>
              <w:tl2br w:val="nil"/>
              <w:tr2bl w:val="nil"/>
            </w:tcBorders>
          </w:tcPr>
          <w:p>
            <w:pPr>
              <w:pStyle w:val="383"/>
              <w:spacing w:before="51"/>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1.7</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1.7</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w:t>
            </w:r>
          </w:p>
        </w:tc>
        <w:tc>
          <w:tcPr>
            <w:tcW w:w="1035" w:type="dxa"/>
            <w:tcBorders>
              <w:tl2br w:val="nil"/>
              <w:tr2bl w:val="nil"/>
            </w:tcBorders>
          </w:tcPr>
          <w:p>
            <w:pPr>
              <w:pStyle w:val="383"/>
              <w:spacing w:before="51"/>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trPr>
        <w:tc>
          <w:tcPr>
            <w:tcW w:w="2451" w:type="dxa"/>
            <w:tcBorders>
              <w:tl2br w:val="nil"/>
              <w:tr2bl w:val="nil"/>
            </w:tcBorders>
          </w:tcPr>
          <w:p>
            <w:pPr>
              <w:pStyle w:val="383"/>
              <w:spacing w:before="4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氨氮（mg/L）</w:t>
            </w:r>
          </w:p>
        </w:tc>
        <w:tc>
          <w:tcPr>
            <w:tcW w:w="1192" w:type="dxa"/>
            <w:tcBorders>
              <w:tl2br w:val="nil"/>
              <w:tr2bl w:val="nil"/>
            </w:tcBorders>
          </w:tcPr>
          <w:p>
            <w:pPr>
              <w:pStyle w:val="383"/>
              <w:spacing w:before="51"/>
              <w:ind w:left="39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0.107</w:t>
            </w:r>
          </w:p>
        </w:tc>
        <w:tc>
          <w:tcPr>
            <w:tcW w:w="1193" w:type="dxa"/>
            <w:tcBorders>
              <w:tl2br w:val="nil"/>
              <w:tr2bl w:val="nil"/>
            </w:tcBorders>
          </w:tcPr>
          <w:p>
            <w:pPr>
              <w:pStyle w:val="383"/>
              <w:spacing w:before="51"/>
              <w:ind w:left="39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0.116</w:t>
            </w:r>
          </w:p>
        </w:tc>
        <w:tc>
          <w:tcPr>
            <w:tcW w:w="1193"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0.121</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0.102</w:t>
            </w:r>
          </w:p>
        </w:tc>
        <w:tc>
          <w:tcPr>
            <w:tcW w:w="1194" w:type="dxa"/>
            <w:tcBorders>
              <w:tl2br w:val="nil"/>
              <w:tr2bl w:val="nil"/>
            </w:tcBorders>
          </w:tcPr>
          <w:p>
            <w:pPr>
              <w:pStyle w:val="383"/>
              <w:spacing w:before="51"/>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0.11</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0.099</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0.094</w:t>
            </w:r>
          </w:p>
        </w:tc>
        <w:tc>
          <w:tcPr>
            <w:tcW w:w="1195" w:type="dxa"/>
            <w:tcBorders>
              <w:tl2br w:val="nil"/>
              <w:tr2bl w:val="nil"/>
            </w:tcBorders>
          </w:tcPr>
          <w:p>
            <w:pPr>
              <w:pStyle w:val="383"/>
              <w:spacing w:before="51"/>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0.113</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0.105</w:t>
            </w:r>
          </w:p>
        </w:tc>
        <w:tc>
          <w:tcPr>
            <w:tcW w:w="1035" w:type="dxa"/>
            <w:tcBorders>
              <w:tl2br w:val="nil"/>
              <w:tr2bl w:val="nil"/>
            </w:tcBorders>
          </w:tcPr>
          <w:p>
            <w:pPr>
              <w:pStyle w:val="383"/>
              <w:spacing w:before="51"/>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0" w:hRule="atLeast"/>
        </w:trPr>
        <w:tc>
          <w:tcPr>
            <w:tcW w:w="2451" w:type="dxa"/>
            <w:tcBorders>
              <w:tl2br w:val="nil"/>
              <w:tr2bl w:val="nil"/>
            </w:tcBorders>
          </w:tcPr>
          <w:p>
            <w:pPr>
              <w:pStyle w:val="383"/>
              <w:spacing w:before="4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总氮（mg/L）</w:t>
            </w:r>
          </w:p>
        </w:tc>
        <w:tc>
          <w:tcPr>
            <w:tcW w:w="1192" w:type="dxa"/>
            <w:tcBorders>
              <w:tl2br w:val="nil"/>
              <w:tr2bl w:val="nil"/>
            </w:tcBorders>
          </w:tcPr>
          <w:p>
            <w:pPr>
              <w:pStyle w:val="383"/>
              <w:spacing w:before="53"/>
              <w:ind w:left="39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0.275</w:t>
            </w:r>
          </w:p>
        </w:tc>
        <w:tc>
          <w:tcPr>
            <w:tcW w:w="1193" w:type="dxa"/>
            <w:tcBorders>
              <w:tl2br w:val="nil"/>
              <w:tr2bl w:val="nil"/>
            </w:tcBorders>
          </w:tcPr>
          <w:p>
            <w:pPr>
              <w:pStyle w:val="383"/>
              <w:spacing w:before="53"/>
              <w:ind w:left="39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0.341</w:t>
            </w:r>
          </w:p>
        </w:tc>
        <w:tc>
          <w:tcPr>
            <w:tcW w:w="1193" w:type="dxa"/>
            <w:tcBorders>
              <w:tl2br w:val="nil"/>
              <w:tr2bl w:val="nil"/>
            </w:tcBorders>
          </w:tcPr>
          <w:p>
            <w:pPr>
              <w:pStyle w:val="383"/>
              <w:spacing w:before="53"/>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0.313</w:t>
            </w:r>
          </w:p>
        </w:tc>
        <w:tc>
          <w:tcPr>
            <w:tcW w:w="1195" w:type="dxa"/>
            <w:tcBorders>
              <w:tl2br w:val="nil"/>
              <w:tr2bl w:val="nil"/>
            </w:tcBorders>
          </w:tcPr>
          <w:p>
            <w:pPr>
              <w:pStyle w:val="383"/>
              <w:spacing w:before="53"/>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0.341</w:t>
            </w:r>
          </w:p>
        </w:tc>
        <w:tc>
          <w:tcPr>
            <w:tcW w:w="1194" w:type="dxa"/>
            <w:tcBorders>
              <w:tl2br w:val="nil"/>
              <w:tr2bl w:val="nil"/>
            </w:tcBorders>
          </w:tcPr>
          <w:p>
            <w:pPr>
              <w:pStyle w:val="383"/>
              <w:spacing w:before="53"/>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0.285</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0.341</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0.219</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0.308</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0.294</w:t>
            </w:r>
          </w:p>
        </w:tc>
        <w:tc>
          <w:tcPr>
            <w:tcW w:w="1035" w:type="dxa"/>
            <w:tcBorders>
              <w:tl2br w:val="nil"/>
              <w:tr2bl w:val="nil"/>
            </w:tcBorders>
          </w:tcPr>
          <w:p>
            <w:pPr>
              <w:pStyle w:val="383"/>
              <w:spacing w:before="53"/>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0" w:hRule="atLeast"/>
        </w:trPr>
        <w:tc>
          <w:tcPr>
            <w:tcW w:w="2451" w:type="dxa"/>
            <w:tcBorders>
              <w:tl2br w:val="nil"/>
              <w:tr2bl w:val="nil"/>
            </w:tcBorders>
          </w:tcPr>
          <w:p>
            <w:pPr>
              <w:pStyle w:val="383"/>
              <w:spacing w:before="41"/>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总磷（mg/L）</w:t>
            </w:r>
          </w:p>
        </w:tc>
        <w:tc>
          <w:tcPr>
            <w:tcW w:w="1192" w:type="dxa"/>
            <w:tcBorders>
              <w:tl2br w:val="nil"/>
              <w:tr2bl w:val="nil"/>
            </w:tcBorders>
          </w:tcPr>
          <w:p>
            <w:pPr>
              <w:pStyle w:val="383"/>
              <w:spacing w:before="53"/>
              <w:ind w:left="39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0.194</w:t>
            </w:r>
          </w:p>
        </w:tc>
        <w:tc>
          <w:tcPr>
            <w:tcW w:w="1193" w:type="dxa"/>
            <w:tcBorders>
              <w:tl2br w:val="nil"/>
              <w:tr2bl w:val="nil"/>
            </w:tcBorders>
          </w:tcPr>
          <w:p>
            <w:pPr>
              <w:pStyle w:val="383"/>
              <w:spacing w:before="53"/>
              <w:ind w:left="39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0.183</w:t>
            </w:r>
          </w:p>
        </w:tc>
        <w:tc>
          <w:tcPr>
            <w:tcW w:w="1193" w:type="dxa"/>
            <w:tcBorders>
              <w:tl2br w:val="nil"/>
              <w:tr2bl w:val="nil"/>
            </w:tcBorders>
          </w:tcPr>
          <w:p>
            <w:pPr>
              <w:pStyle w:val="383"/>
              <w:spacing w:before="53"/>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0.195</w:t>
            </w:r>
          </w:p>
        </w:tc>
        <w:tc>
          <w:tcPr>
            <w:tcW w:w="1195" w:type="dxa"/>
            <w:tcBorders>
              <w:tl2br w:val="nil"/>
              <w:tr2bl w:val="nil"/>
            </w:tcBorders>
          </w:tcPr>
          <w:p>
            <w:pPr>
              <w:pStyle w:val="383"/>
              <w:spacing w:before="53"/>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0.175</w:t>
            </w:r>
          </w:p>
        </w:tc>
        <w:tc>
          <w:tcPr>
            <w:tcW w:w="1194" w:type="dxa"/>
            <w:tcBorders>
              <w:tl2br w:val="nil"/>
              <w:tr2bl w:val="nil"/>
            </w:tcBorders>
          </w:tcPr>
          <w:p>
            <w:pPr>
              <w:pStyle w:val="383"/>
              <w:spacing w:before="53"/>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0.186</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0.151</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0.178</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0.138</w:t>
            </w:r>
          </w:p>
        </w:tc>
        <w:tc>
          <w:tcPr>
            <w:tcW w:w="1195" w:type="dxa"/>
            <w:tcBorders>
              <w:tl2br w:val="nil"/>
              <w:tr2bl w:val="nil"/>
            </w:tcBorders>
          </w:tcPr>
          <w:p>
            <w:pPr>
              <w:pStyle w:val="383"/>
              <w:spacing w:before="53"/>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0.18</w:t>
            </w:r>
          </w:p>
        </w:tc>
        <w:tc>
          <w:tcPr>
            <w:tcW w:w="1035" w:type="dxa"/>
            <w:tcBorders>
              <w:tl2br w:val="nil"/>
              <w:tr2bl w:val="nil"/>
            </w:tcBorders>
          </w:tcPr>
          <w:p>
            <w:pPr>
              <w:pStyle w:val="383"/>
              <w:spacing w:before="53"/>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trPr>
        <w:tc>
          <w:tcPr>
            <w:tcW w:w="2451" w:type="dxa"/>
            <w:tcBorders>
              <w:tl2br w:val="nil"/>
              <w:tr2bl w:val="nil"/>
            </w:tcBorders>
          </w:tcPr>
          <w:p>
            <w:pPr>
              <w:pStyle w:val="383"/>
              <w:spacing w:before="40"/>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氟化物（mg/L）</w:t>
            </w:r>
          </w:p>
        </w:tc>
        <w:tc>
          <w:tcPr>
            <w:tcW w:w="1192" w:type="dxa"/>
            <w:tcBorders>
              <w:tl2br w:val="nil"/>
              <w:tr2bl w:val="nil"/>
            </w:tcBorders>
          </w:tcPr>
          <w:p>
            <w:pPr>
              <w:pStyle w:val="383"/>
              <w:spacing w:before="52"/>
              <w:ind w:left="39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0.125</w:t>
            </w:r>
          </w:p>
        </w:tc>
        <w:tc>
          <w:tcPr>
            <w:tcW w:w="1193" w:type="dxa"/>
            <w:tcBorders>
              <w:tl2br w:val="nil"/>
              <w:tr2bl w:val="nil"/>
            </w:tcBorders>
          </w:tcPr>
          <w:p>
            <w:pPr>
              <w:pStyle w:val="383"/>
              <w:spacing w:before="52"/>
              <w:ind w:left="39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0.123</w:t>
            </w:r>
          </w:p>
        </w:tc>
        <w:tc>
          <w:tcPr>
            <w:tcW w:w="1193" w:type="dxa"/>
            <w:tcBorders>
              <w:tl2br w:val="nil"/>
              <w:tr2bl w:val="nil"/>
            </w:tcBorders>
          </w:tcPr>
          <w:p>
            <w:pPr>
              <w:pStyle w:val="383"/>
              <w:spacing w:before="52"/>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0.118</w:t>
            </w:r>
          </w:p>
        </w:tc>
        <w:tc>
          <w:tcPr>
            <w:tcW w:w="1195" w:type="dxa"/>
            <w:tcBorders>
              <w:tl2br w:val="nil"/>
              <w:tr2bl w:val="nil"/>
            </w:tcBorders>
          </w:tcPr>
          <w:p>
            <w:pPr>
              <w:pStyle w:val="383"/>
              <w:spacing w:before="52"/>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0.121</w:t>
            </w:r>
          </w:p>
        </w:tc>
        <w:tc>
          <w:tcPr>
            <w:tcW w:w="1194" w:type="dxa"/>
            <w:tcBorders>
              <w:tl2br w:val="nil"/>
              <w:tr2bl w:val="nil"/>
            </w:tcBorders>
          </w:tcPr>
          <w:p>
            <w:pPr>
              <w:pStyle w:val="383"/>
              <w:spacing w:before="52"/>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0.121</w:t>
            </w:r>
          </w:p>
        </w:tc>
        <w:tc>
          <w:tcPr>
            <w:tcW w:w="1195" w:type="dxa"/>
            <w:tcBorders>
              <w:tl2br w:val="nil"/>
              <w:tr2bl w:val="nil"/>
            </w:tcBorders>
          </w:tcPr>
          <w:p>
            <w:pPr>
              <w:pStyle w:val="383"/>
              <w:spacing w:before="52"/>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0.118</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0.124</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0.122</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0.132</w:t>
            </w:r>
          </w:p>
        </w:tc>
        <w:tc>
          <w:tcPr>
            <w:tcW w:w="1035" w:type="dxa"/>
            <w:tcBorders>
              <w:tl2br w:val="nil"/>
              <w:tr2bl w:val="nil"/>
            </w:tcBorders>
          </w:tcPr>
          <w:p>
            <w:pPr>
              <w:pStyle w:val="383"/>
              <w:spacing w:before="52"/>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trPr>
        <w:tc>
          <w:tcPr>
            <w:tcW w:w="2451" w:type="dxa"/>
            <w:tcBorders>
              <w:tl2br w:val="nil"/>
              <w:tr2bl w:val="nil"/>
            </w:tcBorders>
          </w:tcPr>
          <w:p>
            <w:pPr>
              <w:pStyle w:val="383"/>
              <w:spacing w:before="40"/>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硫化物（mg/L）</w:t>
            </w:r>
          </w:p>
        </w:tc>
        <w:tc>
          <w:tcPr>
            <w:tcW w:w="1192" w:type="dxa"/>
            <w:tcBorders>
              <w:tl2br w:val="nil"/>
              <w:tr2bl w:val="nil"/>
            </w:tcBorders>
          </w:tcPr>
          <w:p>
            <w:pPr>
              <w:pStyle w:val="383"/>
              <w:spacing w:before="52"/>
              <w:ind w:left="204"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4" w:type="dxa"/>
            <w:tcBorders>
              <w:tl2br w:val="nil"/>
              <w:tr2bl w:val="nil"/>
            </w:tcBorders>
          </w:tcPr>
          <w:p>
            <w:pPr>
              <w:pStyle w:val="383"/>
              <w:spacing w:before="52"/>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0.012</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35" w:type="dxa"/>
            <w:tcBorders>
              <w:tl2br w:val="nil"/>
              <w:tr2bl w:val="nil"/>
            </w:tcBorders>
          </w:tcPr>
          <w:p>
            <w:pPr>
              <w:pStyle w:val="383"/>
              <w:spacing w:before="52"/>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trPr>
        <w:tc>
          <w:tcPr>
            <w:tcW w:w="2451" w:type="dxa"/>
            <w:tcBorders>
              <w:tl2br w:val="nil"/>
              <w:tr2bl w:val="nil"/>
            </w:tcBorders>
          </w:tcPr>
          <w:p>
            <w:pPr>
              <w:pStyle w:val="383"/>
              <w:spacing w:before="40"/>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挥发酚（mg/L）</w:t>
            </w:r>
          </w:p>
        </w:tc>
        <w:tc>
          <w:tcPr>
            <w:tcW w:w="1192" w:type="dxa"/>
            <w:tcBorders>
              <w:tl2br w:val="nil"/>
              <w:tr2bl w:val="nil"/>
            </w:tcBorders>
          </w:tcPr>
          <w:p>
            <w:pPr>
              <w:pStyle w:val="383"/>
              <w:spacing w:before="52"/>
              <w:ind w:right="34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0.0031</w:t>
            </w:r>
          </w:p>
        </w:tc>
        <w:tc>
          <w:tcPr>
            <w:tcW w:w="1193" w:type="dxa"/>
            <w:tcBorders>
              <w:tl2br w:val="nil"/>
              <w:tr2bl w:val="nil"/>
            </w:tcBorders>
          </w:tcPr>
          <w:p>
            <w:pPr>
              <w:pStyle w:val="383"/>
              <w:spacing w:before="52"/>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4" w:type="dxa"/>
            <w:tcBorders>
              <w:tl2br w:val="nil"/>
              <w:tr2bl w:val="nil"/>
            </w:tcBorders>
          </w:tcPr>
          <w:p>
            <w:pPr>
              <w:pStyle w:val="383"/>
              <w:spacing w:before="52"/>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35" w:type="dxa"/>
            <w:tcBorders>
              <w:tl2br w:val="nil"/>
              <w:tr2bl w:val="nil"/>
            </w:tcBorders>
          </w:tcPr>
          <w:p>
            <w:pPr>
              <w:pStyle w:val="383"/>
              <w:spacing w:before="52"/>
              <w:ind w:left="294"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0" w:hRule="atLeast"/>
        </w:trPr>
        <w:tc>
          <w:tcPr>
            <w:tcW w:w="2451" w:type="dxa"/>
            <w:tcBorders>
              <w:tl2br w:val="nil"/>
              <w:tr2bl w:val="nil"/>
            </w:tcBorders>
          </w:tcPr>
          <w:p>
            <w:pPr>
              <w:pStyle w:val="383"/>
              <w:spacing w:before="40"/>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六价铬（mg/L）</w:t>
            </w:r>
          </w:p>
        </w:tc>
        <w:tc>
          <w:tcPr>
            <w:tcW w:w="1192" w:type="dxa"/>
            <w:tcBorders>
              <w:tl2br w:val="nil"/>
              <w:tr2bl w:val="nil"/>
            </w:tcBorders>
          </w:tcPr>
          <w:p>
            <w:pPr>
              <w:pStyle w:val="383"/>
              <w:spacing w:before="52"/>
              <w:ind w:left="204"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w:t>
            </w:r>
          </w:p>
        </w:tc>
        <w:tc>
          <w:tcPr>
            <w:tcW w:w="1194" w:type="dxa"/>
            <w:tcBorders>
              <w:tl2br w:val="nil"/>
              <w:tr2bl w:val="nil"/>
            </w:tcBorders>
          </w:tcPr>
          <w:p>
            <w:pPr>
              <w:pStyle w:val="383"/>
              <w:spacing w:before="52"/>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0.006</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0.004</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0.005</w:t>
            </w:r>
          </w:p>
        </w:tc>
        <w:tc>
          <w:tcPr>
            <w:tcW w:w="1035" w:type="dxa"/>
            <w:tcBorders>
              <w:tl2br w:val="nil"/>
              <w:tr2bl w:val="nil"/>
            </w:tcBorders>
          </w:tcPr>
          <w:p>
            <w:pPr>
              <w:pStyle w:val="383"/>
              <w:spacing w:before="52"/>
              <w:ind w:left="294"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51" w:type="dxa"/>
            <w:tcBorders>
              <w:tl2br w:val="nil"/>
              <w:tr2bl w:val="nil"/>
            </w:tcBorders>
          </w:tcPr>
          <w:p>
            <w:pPr>
              <w:pStyle w:val="383"/>
              <w:spacing w:before="40"/>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氰化物（mg/L）</w:t>
            </w:r>
          </w:p>
        </w:tc>
        <w:tc>
          <w:tcPr>
            <w:tcW w:w="1192" w:type="dxa"/>
            <w:tcBorders>
              <w:tl2br w:val="nil"/>
              <w:tr2bl w:val="nil"/>
            </w:tcBorders>
          </w:tcPr>
          <w:p>
            <w:pPr>
              <w:pStyle w:val="383"/>
              <w:spacing w:before="52"/>
              <w:ind w:left="204"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4" w:type="dxa"/>
            <w:tcBorders>
              <w:tl2br w:val="nil"/>
              <w:tr2bl w:val="nil"/>
            </w:tcBorders>
          </w:tcPr>
          <w:p>
            <w:pPr>
              <w:pStyle w:val="383"/>
              <w:spacing w:before="52"/>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35" w:type="dxa"/>
            <w:tcBorders>
              <w:tl2br w:val="nil"/>
              <w:tr2bl w:val="nil"/>
            </w:tcBorders>
          </w:tcPr>
          <w:p>
            <w:pPr>
              <w:pStyle w:val="383"/>
              <w:spacing w:before="52"/>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451" w:type="dxa"/>
            <w:tcBorders>
              <w:tl2br w:val="nil"/>
              <w:tr2bl w:val="nil"/>
            </w:tcBorders>
          </w:tcPr>
          <w:p>
            <w:pPr>
              <w:pStyle w:val="383"/>
              <w:spacing w:before="4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铬（mg/L）</w:t>
            </w:r>
          </w:p>
        </w:tc>
        <w:tc>
          <w:tcPr>
            <w:tcW w:w="1192" w:type="dxa"/>
            <w:tcBorders>
              <w:tl2br w:val="nil"/>
              <w:tr2bl w:val="nil"/>
            </w:tcBorders>
          </w:tcPr>
          <w:p>
            <w:pPr>
              <w:pStyle w:val="383"/>
              <w:spacing w:before="51"/>
              <w:ind w:right="243"/>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9.45×10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3" w:type="dxa"/>
            <w:tcBorders>
              <w:tl2br w:val="nil"/>
              <w:tr2bl w:val="nil"/>
            </w:tcBorders>
          </w:tcPr>
          <w:p>
            <w:pPr>
              <w:pStyle w:val="383"/>
              <w:spacing w:before="51"/>
              <w:ind w:right="24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9.93×10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3"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4" w:type="dxa"/>
            <w:tcBorders>
              <w:tl2br w:val="nil"/>
              <w:tr2bl w:val="nil"/>
            </w:tcBorders>
          </w:tcPr>
          <w:p>
            <w:pPr>
              <w:pStyle w:val="383"/>
              <w:spacing w:before="51"/>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9.76×10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7.35×10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8.47×10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9.77×10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035" w:type="dxa"/>
            <w:tcBorders>
              <w:tl2br w:val="nil"/>
              <w:tr2bl w:val="nil"/>
            </w:tcBorders>
          </w:tcPr>
          <w:p>
            <w:pPr>
              <w:pStyle w:val="383"/>
              <w:spacing w:before="51"/>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451" w:type="dxa"/>
            <w:tcBorders>
              <w:tl2br w:val="nil"/>
              <w:tr2bl w:val="nil"/>
            </w:tcBorders>
          </w:tcPr>
          <w:p>
            <w:pPr>
              <w:pStyle w:val="383"/>
              <w:spacing w:before="42"/>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镍（mg/L）</w:t>
            </w:r>
          </w:p>
        </w:tc>
        <w:tc>
          <w:tcPr>
            <w:tcW w:w="1192" w:type="dxa"/>
            <w:tcBorders>
              <w:tl2br w:val="nil"/>
              <w:tr2bl w:val="nil"/>
            </w:tcBorders>
          </w:tcPr>
          <w:p>
            <w:pPr>
              <w:pStyle w:val="383"/>
              <w:spacing w:before="51"/>
              <w:ind w:right="243"/>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5.12×10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3" w:type="dxa"/>
            <w:tcBorders>
              <w:tl2br w:val="nil"/>
              <w:tr2bl w:val="nil"/>
            </w:tcBorders>
          </w:tcPr>
          <w:p>
            <w:pPr>
              <w:pStyle w:val="383"/>
              <w:spacing w:before="51"/>
              <w:ind w:right="24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5.01×10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3"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6.73×10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7.68×10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4" w:type="dxa"/>
            <w:tcBorders>
              <w:tl2br w:val="nil"/>
              <w:tr2bl w:val="nil"/>
            </w:tcBorders>
          </w:tcPr>
          <w:p>
            <w:pPr>
              <w:pStyle w:val="383"/>
              <w:spacing w:before="51"/>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5.60×10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5.96×10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5.86×10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4</w:t>
            </w:r>
          </w:p>
        </w:tc>
        <w:tc>
          <w:tcPr>
            <w:tcW w:w="1035" w:type="dxa"/>
            <w:tcBorders>
              <w:tl2br w:val="nil"/>
              <w:tr2bl w:val="nil"/>
            </w:tcBorders>
          </w:tcPr>
          <w:p>
            <w:pPr>
              <w:pStyle w:val="383"/>
              <w:spacing w:before="51"/>
              <w:ind w:left="294"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6" w:hRule="atLeast"/>
        </w:trPr>
        <w:tc>
          <w:tcPr>
            <w:tcW w:w="2451" w:type="dxa"/>
            <w:tcBorders>
              <w:tl2br w:val="nil"/>
              <w:tr2bl w:val="nil"/>
            </w:tcBorders>
          </w:tcPr>
          <w:p>
            <w:pPr>
              <w:pStyle w:val="383"/>
              <w:spacing w:before="4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铜（mg/L）</w:t>
            </w:r>
          </w:p>
        </w:tc>
        <w:tc>
          <w:tcPr>
            <w:tcW w:w="1192" w:type="dxa"/>
            <w:tcBorders>
              <w:tl2br w:val="nil"/>
              <w:tr2bl w:val="nil"/>
            </w:tcBorders>
          </w:tcPr>
          <w:p>
            <w:pPr>
              <w:pStyle w:val="383"/>
              <w:spacing w:before="51"/>
              <w:ind w:right="243"/>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1.08×10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3" w:type="dxa"/>
            <w:tcBorders>
              <w:tl2br w:val="nil"/>
              <w:tr2bl w:val="nil"/>
            </w:tcBorders>
          </w:tcPr>
          <w:p>
            <w:pPr>
              <w:pStyle w:val="383"/>
              <w:spacing w:before="51"/>
              <w:ind w:right="24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1.04×10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3"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1.62×10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4" w:type="dxa"/>
            <w:tcBorders>
              <w:tl2br w:val="nil"/>
              <w:tr2bl w:val="nil"/>
            </w:tcBorders>
          </w:tcPr>
          <w:p>
            <w:pPr>
              <w:pStyle w:val="383"/>
              <w:spacing w:before="51"/>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035" w:type="dxa"/>
            <w:tcBorders>
              <w:tl2br w:val="nil"/>
              <w:tr2bl w:val="nil"/>
            </w:tcBorders>
          </w:tcPr>
          <w:p>
            <w:pPr>
              <w:pStyle w:val="383"/>
              <w:spacing w:before="51"/>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6" w:hRule="atLeast"/>
        </w:trPr>
        <w:tc>
          <w:tcPr>
            <w:tcW w:w="2451" w:type="dxa"/>
            <w:tcBorders>
              <w:tl2br w:val="nil"/>
              <w:tr2bl w:val="nil"/>
            </w:tcBorders>
          </w:tcPr>
          <w:p>
            <w:pPr>
              <w:pStyle w:val="383"/>
              <w:spacing w:before="4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砷（mg/L）</w:t>
            </w:r>
          </w:p>
        </w:tc>
        <w:tc>
          <w:tcPr>
            <w:tcW w:w="1192" w:type="dxa"/>
            <w:tcBorders>
              <w:tl2br w:val="nil"/>
              <w:tr2bl w:val="nil"/>
            </w:tcBorders>
          </w:tcPr>
          <w:p>
            <w:pPr>
              <w:pStyle w:val="383"/>
              <w:spacing w:before="51"/>
              <w:ind w:right="243"/>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1.44×10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3" w:type="dxa"/>
            <w:tcBorders>
              <w:tl2br w:val="nil"/>
              <w:tr2bl w:val="nil"/>
            </w:tcBorders>
          </w:tcPr>
          <w:p>
            <w:pPr>
              <w:pStyle w:val="383"/>
              <w:spacing w:before="51"/>
              <w:ind w:right="242"/>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1.41×10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3"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4" w:type="dxa"/>
            <w:tcBorders>
              <w:tl2br w:val="nil"/>
              <w:tr2bl w:val="nil"/>
            </w:tcBorders>
          </w:tcPr>
          <w:p>
            <w:pPr>
              <w:pStyle w:val="383"/>
              <w:spacing w:before="51"/>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1.41×10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1.43×10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1.39×10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035" w:type="dxa"/>
            <w:tcBorders>
              <w:tl2br w:val="nil"/>
              <w:tr2bl w:val="nil"/>
            </w:tcBorders>
          </w:tcPr>
          <w:p>
            <w:pPr>
              <w:pStyle w:val="383"/>
              <w:spacing w:before="51"/>
              <w:ind w:left="294"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trPr>
        <w:tc>
          <w:tcPr>
            <w:tcW w:w="2451" w:type="dxa"/>
            <w:tcBorders>
              <w:tl2br w:val="nil"/>
              <w:tr2bl w:val="nil"/>
            </w:tcBorders>
          </w:tcPr>
          <w:p>
            <w:pPr>
              <w:pStyle w:val="383"/>
              <w:spacing w:before="4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银（mg/L）</w:t>
            </w:r>
          </w:p>
        </w:tc>
        <w:tc>
          <w:tcPr>
            <w:tcW w:w="1192" w:type="dxa"/>
            <w:tcBorders>
              <w:tl2br w:val="nil"/>
              <w:tr2bl w:val="nil"/>
            </w:tcBorders>
          </w:tcPr>
          <w:p>
            <w:pPr>
              <w:pStyle w:val="383"/>
              <w:spacing w:before="51"/>
              <w:ind w:left="204"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1"/>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1"/>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4" w:type="dxa"/>
            <w:tcBorders>
              <w:tl2br w:val="nil"/>
              <w:tr2bl w:val="nil"/>
            </w:tcBorders>
          </w:tcPr>
          <w:p>
            <w:pPr>
              <w:pStyle w:val="383"/>
              <w:spacing w:before="51"/>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1"/>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1"/>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1"/>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35" w:type="dxa"/>
            <w:tcBorders>
              <w:tl2br w:val="nil"/>
              <w:tr2bl w:val="nil"/>
            </w:tcBorders>
          </w:tcPr>
          <w:p>
            <w:pPr>
              <w:pStyle w:val="383"/>
              <w:spacing w:before="51"/>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0" w:hRule="atLeast"/>
        </w:trPr>
        <w:tc>
          <w:tcPr>
            <w:tcW w:w="2451" w:type="dxa"/>
            <w:tcBorders>
              <w:tl2br w:val="nil"/>
              <w:tr2bl w:val="nil"/>
            </w:tcBorders>
          </w:tcPr>
          <w:p>
            <w:pPr>
              <w:pStyle w:val="383"/>
              <w:spacing w:before="41"/>
              <w:ind w:left="90"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石油类（mg/L）</w:t>
            </w:r>
          </w:p>
        </w:tc>
        <w:tc>
          <w:tcPr>
            <w:tcW w:w="1192" w:type="dxa"/>
            <w:tcBorders>
              <w:tl2br w:val="nil"/>
              <w:tr2bl w:val="nil"/>
            </w:tcBorders>
          </w:tcPr>
          <w:p>
            <w:pPr>
              <w:pStyle w:val="383"/>
              <w:spacing w:before="53"/>
              <w:ind w:left="202"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c>
          <w:tcPr>
            <w:tcW w:w="1193" w:type="dxa"/>
            <w:tcBorders>
              <w:tl2br w:val="nil"/>
              <w:tr2bl w:val="nil"/>
            </w:tcBorders>
          </w:tcPr>
          <w:p>
            <w:pPr>
              <w:pStyle w:val="383"/>
              <w:spacing w:before="53"/>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3"/>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w:t>
            </w:r>
          </w:p>
        </w:tc>
        <w:tc>
          <w:tcPr>
            <w:tcW w:w="1195" w:type="dxa"/>
            <w:tcBorders>
              <w:tl2br w:val="nil"/>
              <w:tr2bl w:val="nil"/>
            </w:tcBorders>
          </w:tcPr>
          <w:p>
            <w:pPr>
              <w:pStyle w:val="383"/>
              <w:spacing w:before="53"/>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c>
          <w:tcPr>
            <w:tcW w:w="1194" w:type="dxa"/>
            <w:tcBorders>
              <w:tl2br w:val="nil"/>
              <w:tr2bl w:val="nil"/>
            </w:tcBorders>
          </w:tcPr>
          <w:p>
            <w:pPr>
              <w:pStyle w:val="383"/>
              <w:spacing w:before="53"/>
              <w:ind w:left="230"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c>
          <w:tcPr>
            <w:tcW w:w="1195" w:type="dxa"/>
            <w:tcBorders>
              <w:tl2br w:val="nil"/>
              <w:tr2bl w:val="nil"/>
            </w:tcBorders>
          </w:tcPr>
          <w:p>
            <w:pPr>
              <w:pStyle w:val="383"/>
              <w:spacing w:before="53"/>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w:t>
            </w:r>
          </w:p>
        </w:tc>
        <w:tc>
          <w:tcPr>
            <w:tcW w:w="1195" w:type="dxa"/>
            <w:tcBorders>
              <w:tl2br w:val="nil"/>
              <w:tr2bl w:val="nil"/>
            </w:tcBorders>
          </w:tcPr>
          <w:p>
            <w:pPr>
              <w:pStyle w:val="383"/>
              <w:spacing w:before="53"/>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w:t>
            </w:r>
          </w:p>
        </w:tc>
        <w:tc>
          <w:tcPr>
            <w:tcW w:w="1195" w:type="dxa"/>
            <w:tcBorders>
              <w:tl2br w:val="nil"/>
              <w:tr2bl w:val="nil"/>
            </w:tcBorders>
          </w:tcPr>
          <w:p>
            <w:pPr>
              <w:pStyle w:val="383"/>
              <w:spacing w:before="53"/>
              <w:ind w:left="229"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w:t>
            </w:r>
          </w:p>
        </w:tc>
        <w:tc>
          <w:tcPr>
            <w:tcW w:w="1035" w:type="dxa"/>
            <w:tcBorders>
              <w:tl2br w:val="nil"/>
              <w:tr2bl w:val="nil"/>
            </w:tcBorders>
          </w:tcPr>
          <w:p>
            <w:pPr>
              <w:pStyle w:val="383"/>
              <w:spacing w:before="53"/>
              <w:ind w:left="294"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1" w:hRule="atLeast"/>
        </w:trPr>
        <w:tc>
          <w:tcPr>
            <w:tcW w:w="2451" w:type="dxa"/>
            <w:tcBorders>
              <w:tl2br w:val="nil"/>
              <w:tr2bl w:val="nil"/>
            </w:tcBorders>
          </w:tcPr>
          <w:p>
            <w:pPr>
              <w:pStyle w:val="383"/>
              <w:spacing w:before="41"/>
              <w:ind w:left="95"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粪大肠菌群（MPN/100mL）</w:t>
            </w:r>
          </w:p>
        </w:tc>
        <w:tc>
          <w:tcPr>
            <w:tcW w:w="1192" w:type="dxa"/>
            <w:tcBorders>
              <w:tl2br w:val="nil"/>
              <w:tr2bl w:val="nil"/>
            </w:tcBorders>
          </w:tcPr>
          <w:p>
            <w:pPr>
              <w:pStyle w:val="383"/>
              <w:spacing w:before="53"/>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w:t>
            </w:r>
          </w:p>
        </w:tc>
        <w:tc>
          <w:tcPr>
            <w:tcW w:w="1193" w:type="dxa"/>
            <w:tcBorders>
              <w:tl2br w:val="nil"/>
              <w:tr2bl w:val="nil"/>
            </w:tcBorders>
          </w:tcPr>
          <w:p>
            <w:pPr>
              <w:pStyle w:val="383"/>
              <w:spacing w:before="53"/>
              <w:ind w:left="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93" w:type="dxa"/>
            <w:tcBorders>
              <w:tl2br w:val="nil"/>
              <w:tr2bl w:val="nil"/>
            </w:tcBorders>
          </w:tcPr>
          <w:p>
            <w:pPr>
              <w:pStyle w:val="383"/>
              <w:spacing w:before="53"/>
              <w:ind w:left="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95" w:type="dxa"/>
            <w:tcBorders>
              <w:tl2br w:val="nil"/>
              <w:tr2bl w:val="nil"/>
            </w:tcBorders>
          </w:tcPr>
          <w:p>
            <w:pPr>
              <w:pStyle w:val="383"/>
              <w:spacing w:before="53"/>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1194" w:type="dxa"/>
            <w:tcBorders>
              <w:tl2br w:val="nil"/>
              <w:tr2bl w:val="nil"/>
            </w:tcBorders>
          </w:tcPr>
          <w:p>
            <w:pPr>
              <w:pStyle w:val="383"/>
              <w:spacing w:before="53"/>
              <w:ind w:left="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195" w:type="dxa"/>
            <w:tcBorders>
              <w:tl2br w:val="nil"/>
              <w:tr2bl w:val="nil"/>
            </w:tcBorders>
          </w:tcPr>
          <w:p>
            <w:pPr>
              <w:pStyle w:val="383"/>
              <w:spacing w:before="53"/>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95" w:type="dxa"/>
            <w:tcBorders>
              <w:tl2br w:val="nil"/>
              <w:tr2bl w:val="nil"/>
            </w:tcBorders>
          </w:tcPr>
          <w:p>
            <w:pPr>
              <w:pStyle w:val="383"/>
              <w:spacing w:before="53"/>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p>
        </w:tc>
        <w:tc>
          <w:tcPr>
            <w:tcW w:w="1195" w:type="dxa"/>
            <w:tcBorders>
              <w:tl2br w:val="nil"/>
              <w:tr2bl w:val="nil"/>
            </w:tcBorders>
          </w:tcPr>
          <w:p>
            <w:pPr>
              <w:pStyle w:val="383"/>
              <w:spacing w:before="53"/>
              <w:ind w:left="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w:t>
            </w:r>
          </w:p>
        </w:tc>
        <w:tc>
          <w:tcPr>
            <w:tcW w:w="1195" w:type="dxa"/>
            <w:tcBorders>
              <w:tl2br w:val="nil"/>
              <w:tr2bl w:val="nil"/>
            </w:tcBorders>
          </w:tcPr>
          <w:p>
            <w:pPr>
              <w:pStyle w:val="383"/>
              <w:spacing w:before="53"/>
              <w:ind w:left="2"/>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c>
        <w:tc>
          <w:tcPr>
            <w:tcW w:w="1035" w:type="dxa"/>
            <w:tcBorders>
              <w:tl2br w:val="nil"/>
              <w:tr2bl w:val="nil"/>
            </w:tcBorders>
          </w:tcPr>
          <w:p>
            <w:pPr>
              <w:pStyle w:val="383"/>
              <w:spacing w:before="53"/>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7" w:hRule="atLeast"/>
        </w:trPr>
        <w:tc>
          <w:tcPr>
            <w:tcW w:w="2451" w:type="dxa"/>
            <w:tcBorders>
              <w:tl2br w:val="nil"/>
              <w:tr2bl w:val="nil"/>
            </w:tcBorders>
          </w:tcPr>
          <w:p>
            <w:pPr>
              <w:pStyle w:val="383"/>
              <w:spacing w:before="40"/>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二氯甲烷（mg/L）</w:t>
            </w:r>
          </w:p>
        </w:tc>
        <w:tc>
          <w:tcPr>
            <w:tcW w:w="1192" w:type="dxa"/>
            <w:tcBorders>
              <w:tl2br w:val="nil"/>
              <w:tr2bl w:val="nil"/>
            </w:tcBorders>
          </w:tcPr>
          <w:p>
            <w:pPr>
              <w:pStyle w:val="383"/>
              <w:spacing w:before="52"/>
              <w:ind w:right="288"/>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3" w:type="dxa"/>
            <w:tcBorders>
              <w:tl2br w:val="nil"/>
              <w:tr2bl w:val="nil"/>
            </w:tcBorders>
          </w:tcPr>
          <w:p>
            <w:pPr>
              <w:pStyle w:val="383"/>
              <w:spacing w:before="52"/>
              <w:ind w:right="287"/>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3"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4" w:type="dxa"/>
            <w:tcBorders>
              <w:tl2br w:val="nil"/>
              <w:tr2bl w:val="nil"/>
            </w:tcBorders>
          </w:tcPr>
          <w:p>
            <w:pPr>
              <w:pStyle w:val="383"/>
              <w:spacing w:before="52"/>
              <w:ind w:left="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2"/>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195" w:type="dxa"/>
            <w:tcBorders>
              <w:tl2br w:val="nil"/>
              <w:tr2bl w:val="nil"/>
            </w:tcBorders>
          </w:tcPr>
          <w:p>
            <w:pPr>
              <w:pStyle w:val="383"/>
              <w:spacing w:before="52"/>
              <w:ind w:left="231" w:right="22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3"/>
                <w:szCs w:val="13"/>
                <w14:textFill>
                  <w14:solidFill>
                    <w14:schemeClr w14:val="tx1"/>
                  </w14:solidFill>
                </w14:textFill>
              </w:rPr>
              <w:t>3</w:t>
            </w:r>
          </w:p>
        </w:tc>
        <w:tc>
          <w:tcPr>
            <w:tcW w:w="1035" w:type="dxa"/>
            <w:tcBorders>
              <w:tl2br w:val="nil"/>
              <w:tr2bl w:val="nil"/>
            </w:tcBorders>
          </w:tcPr>
          <w:p>
            <w:pPr>
              <w:pStyle w:val="383"/>
              <w:spacing w:before="52"/>
              <w:ind w:left="294"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0" w:hRule="atLeast"/>
        </w:trPr>
        <w:tc>
          <w:tcPr>
            <w:tcW w:w="2451" w:type="dxa"/>
            <w:tcBorders>
              <w:tl2br w:val="nil"/>
              <w:tr2bl w:val="nil"/>
            </w:tcBorders>
          </w:tcPr>
          <w:p>
            <w:pPr>
              <w:pStyle w:val="383"/>
              <w:spacing w:before="40"/>
              <w:ind w:left="92" w:right="8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甲苯（mg/L）</w:t>
            </w:r>
          </w:p>
        </w:tc>
        <w:tc>
          <w:tcPr>
            <w:tcW w:w="1192" w:type="dxa"/>
            <w:tcBorders>
              <w:tl2br w:val="nil"/>
              <w:tr2bl w:val="nil"/>
            </w:tcBorders>
          </w:tcPr>
          <w:p>
            <w:pPr>
              <w:pStyle w:val="383"/>
              <w:spacing w:before="52"/>
              <w:ind w:left="204" w:right="19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3"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4" w:type="dxa"/>
            <w:tcBorders>
              <w:tl2br w:val="nil"/>
              <w:tr2bl w:val="nil"/>
            </w:tcBorders>
          </w:tcPr>
          <w:p>
            <w:pPr>
              <w:pStyle w:val="383"/>
              <w:spacing w:before="52"/>
              <w:ind w:left="230" w:right="22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1" w:right="22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195" w:type="dxa"/>
            <w:tcBorders>
              <w:tl2br w:val="nil"/>
              <w:tr2bl w:val="nil"/>
            </w:tcBorders>
          </w:tcPr>
          <w:p>
            <w:pPr>
              <w:pStyle w:val="383"/>
              <w:spacing w:before="52"/>
              <w:ind w:left="230" w:right="22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ND</w:t>
            </w:r>
          </w:p>
        </w:tc>
        <w:tc>
          <w:tcPr>
            <w:tcW w:w="1035" w:type="dxa"/>
            <w:tcBorders>
              <w:tl2br w:val="nil"/>
              <w:tr2bl w:val="nil"/>
            </w:tcBorders>
          </w:tcPr>
          <w:p>
            <w:pPr>
              <w:pStyle w:val="383"/>
              <w:spacing w:before="52"/>
              <w:ind w:left="291" w:right="28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0.7</w:t>
            </w:r>
          </w:p>
        </w:tc>
      </w:tr>
    </w:tbl>
    <w:p>
      <w:pPr>
        <w:rPr>
          <w:color w:val="000000" w:themeColor="text1"/>
          <w14:textFill>
            <w14:solidFill>
              <w14:schemeClr w14:val="tx1"/>
            </w14:solidFill>
          </w14:textFill>
        </w:rPr>
        <w:sectPr>
          <w:pgSz w:w="16840" w:h="11910" w:orient="landscape"/>
          <w:pgMar w:top="1360" w:right="1300" w:bottom="1180" w:left="1440" w:header="1060" w:footer="1246" w:gutter="0"/>
          <w:pgBorders>
            <w:top w:val="none" w:sz="0" w:space="0"/>
            <w:left w:val="none" w:sz="0" w:space="0"/>
            <w:bottom w:val="none" w:sz="0" w:space="0"/>
            <w:right w:val="none" w:sz="0" w:space="0"/>
          </w:pgBorders>
          <w:cols w:space="720" w:num="1"/>
        </w:sectPr>
      </w:pPr>
    </w:p>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表</w:t>
      </w:r>
      <w:r>
        <w:rPr>
          <w:rFonts w:hint="eastAsia" w:ascii="Times New Roman" w:hAnsiTheme="minorEastAsia" w:eastAsiaTheme="minorEastAsia"/>
          <w:color w:val="000000" w:themeColor="text1"/>
          <w:sz w:val="24"/>
          <w:szCs w:val="24"/>
          <w:lang w:val="en-US" w:eastAsia="zh-CN"/>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6</w:t>
      </w:r>
      <w:r>
        <w:rPr>
          <w:rFonts w:ascii="Times New Roman" w:hAnsiTheme="minorEastAsia" w:eastAsiaTheme="minorEastAsia"/>
          <w:color w:val="000000" w:themeColor="text1"/>
          <w:sz w:val="24"/>
          <w:szCs w:val="24"/>
          <w14:textFill>
            <w14:solidFill>
              <w14:schemeClr w14:val="tx1"/>
            </w14:solidFill>
          </w14:textFill>
        </w:rPr>
        <w:t>~表</w:t>
      </w:r>
      <w:r>
        <w:rPr>
          <w:rFonts w:hint="eastAsia" w:ascii="Times New Roman" w:hAnsiTheme="minorEastAsia" w:eastAsiaTheme="minorEastAsia"/>
          <w:color w:val="000000" w:themeColor="text1"/>
          <w:sz w:val="24"/>
          <w:szCs w:val="24"/>
          <w:lang w:val="en-US" w:eastAsia="zh-CN"/>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8</w:t>
      </w:r>
      <w:r>
        <w:rPr>
          <w:rFonts w:ascii="Times New Roman" w:hAnsiTheme="minorEastAsia" w:eastAsiaTheme="minorEastAsia"/>
          <w:color w:val="000000" w:themeColor="text1"/>
          <w:sz w:val="24"/>
          <w:szCs w:val="24"/>
          <w14:textFill>
            <w14:solidFill>
              <w14:schemeClr w14:val="tx1"/>
            </w14:solidFill>
          </w14:textFill>
        </w:rPr>
        <w:t>数据表明，</w:t>
      </w:r>
      <w:r>
        <w:rPr>
          <w:rFonts w:hint="eastAsia" w:ascii="Times New Roman" w:hAnsiTheme="minorEastAsia" w:eastAsiaTheme="minorEastAsia"/>
          <w:color w:val="000000" w:themeColor="text1"/>
          <w:sz w:val="24"/>
          <w:szCs w:val="24"/>
          <w14:textFill>
            <w14:solidFill>
              <w14:schemeClr w14:val="tx1"/>
            </w14:solidFill>
          </w14:textFill>
        </w:rPr>
        <w:t>项目区域地表水体</w:t>
      </w:r>
      <w:r>
        <w:rPr>
          <w:rFonts w:ascii="Times New Roman" w:hAnsiTheme="minorEastAsia" w:eastAsiaTheme="minorEastAsia"/>
          <w:color w:val="000000" w:themeColor="text1"/>
          <w:sz w:val="24"/>
          <w:szCs w:val="24"/>
          <w14:textFill>
            <w14:solidFill>
              <w14:schemeClr w14:val="tx1"/>
            </w14:solidFill>
          </w14:textFill>
        </w:rPr>
        <w:t>长江</w:t>
      </w:r>
      <w:r>
        <w:rPr>
          <w:rFonts w:hint="eastAsia" w:ascii="Times New Roman" w:hAnsiTheme="minorEastAsia" w:eastAsiaTheme="minorEastAsia"/>
          <w:color w:val="000000" w:themeColor="text1"/>
          <w:sz w:val="24"/>
          <w:szCs w:val="24"/>
          <w14:textFill>
            <w14:solidFill>
              <w14:schemeClr w14:val="tx1"/>
            </w14:solidFill>
          </w14:textFill>
        </w:rPr>
        <w:t>（宜都段）断面监测</w:t>
      </w:r>
      <w:r>
        <w:rPr>
          <w:rFonts w:ascii="Times New Roman" w:hAnsiTheme="minorEastAsia" w:eastAsiaTheme="minorEastAsia"/>
          <w:color w:val="000000" w:themeColor="text1"/>
          <w:sz w:val="24"/>
          <w:szCs w:val="24"/>
          <w14:textFill>
            <w14:solidFill>
              <w14:schemeClr w14:val="tx1"/>
            </w14:solidFill>
          </w14:textFill>
        </w:rPr>
        <w:t>水质均能达到《地表水环境质量标准》（GB3838-2002）III 类标准。</w:t>
      </w:r>
      <w:r>
        <w:rPr>
          <w:rFonts w:hint="eastAsia" w:ascii="Times New Roman" w:hAnsiTheme="minorEastAsia" w:eastAsiaTheme="minorEastAsia"/>
          <w:color w:val="000000" w:themeColor="text1"/>
          <w:sz w:val="24"/>
          <w:szCs w:val="24"/>
          <w14:textFill>
            <w14:solidFill>
              <w14:schemeClr w14:val="tx1"/>
            </w14:solidFill>
          </w14:textFill>
        </w:rPr>
        <w:t xml:space="preserve">     </w:t>
      </w:r>
    </w:p>
    <w:p>
      <w:pPr>
        <w:pStyle w:val="380"/>
        <w:adjustRightInd w:val="0"/>
        <w:snapToGrid w:val="0"/>
        <w:spacing w:line="520" w:lineRule="exact"/>
        <w:ind w:firstLine="0" w:firstLineChars="0"/>
        <w:jc w:val="left"/>
        <w:outlineLvl w:val="2"/>
        <w:rPr>
          <w:rFonts w:hint="eastAsia" w:ascii="Times New Roman" w:hAnsi="Times New Roman" w:eastAsia="黑体"/>
          <w:b/>
          <w:color w:val="000000" w:themeColor="text1"/>
          <w:kern w:val="0"/>
          <w:sz w:val="28"/>
          <w:szCs w:val="28"/>
          <w:lang w:val="en-US" w:eastAsia="zh-CN"/>
          <w14:textFill>
            <w14:solidFill>
              <w14:schemeClr w14:val="tx1"/>
            </w14:solidFill>
          </w14:textFill>
        </w:rPr>
      </w:pPr>
      <w:bookmarkStart w:id="364" w:name="_Toc8057"/>
      <w:r>
        <w:rPr>
          <w:rFonts w:hint="eastAsia" w:ascii="Times New Roman" w:hAnsi="Times New Roman" w:eastAsia="黑体"/>
          <w:b/>
          <w:color w:val="000000" w:themeColor="text1"/>
          <w:kern w:val="0"/>
          <w:sz w:val="28"/>
          <w:szCs w:val="28"/>
          <w:lang w:val="en-US" w:eastAsia="zh-CN"/>
          <w14:textFill>
            <w14:solidFill>
              <w14:schemeClr w14:val="tx1"/>
            </w14:solidFill>
          </w14:textFill>
        </w:rPr>
        <w:t>5.3.3地下水环境质量现状评价</w:t>
      </w:r>
      <w:bookmarkEnd w:id="364"/>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为了解项目所在区域地下水环境质量现状，本次评价委托湖北恒驰检测技术有限公司于2021年6月11日-2021年6月13日对本项目厂区内进行了采样监测</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项目厂区外地下水监测数据引用《宜昌七朵云环境治理有限公司宜昌工业废物集中处置中心项目环境影响报告书》中相关内容（监测时间为2020年10月），该项目建设地点位于本项目东北侧</w:t>
      </w:r>
      <w:r>
        <w:rPr>
          <w:rFonts w:hint="eastAsia" w:ascii="Times New Roman" w:hAnsiTheme="minorEastAsia" w:eastAsiaTheme="minorEastAsia"/>
          <w:color w:val="000000" w:themeColor="text1"/>
          <w:sz w:val="24"/>
          <w:szCs w:val="24"/>
          <w:lang w:val="en-US" w:eastAsia="zh-CN"/>
          <w14:textFill>
            <w14:solidFill>
              <w14:schemeClr w14:val="tx1"/>
            </w14:solidFill>
          </w14:textFill>
        </w:rPr>
        <w:t>约30</w:t>
      </w:r>
      <w:r>
        <w:rPr>
          <w:rFonts w:hint="eastAsia" w:ascii="Times New Roman" w:hAnsiTheme="minorEastAsia" w:eastAsiaTheme="minorEastAsia"/>
          <w:color w:val="000000" w:themeColor="text1"/>
          <w:sz w:val="24"/>
          <w:szCs w:val="24"/>
          <w14:textFill>
            <w14:solidFill>
              <w14:schemeClr w14:val="tx1"/>
            </w14:solidFill>
          </w14:textFill>
        </w:rPr>
        <w:t>m处，属于本项目评价范围内，引用数据合理。</w:t>
      </w:r>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（1）监测布点及监测因子</w:t>
      </w: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本次评价共设置5个地下水水质监测点，其中1#监测点位为本次实测点位，2#-5#监测点位为引用监测点位。具体点位如下表和下图所示。</w:t>
      </w:r>
    </w:p>
    <w:p>
      <w:pPr>
        <w:pStyle w:val="24"/>
        <w:spacing w:before="0" w:line="520" w:lineRule="exact"/>
        <w:ind w:firstLine="482" w:firstLineChars="200"/>
        <w:jc w:val="center"/>
        <w:rPr>
          <w:rFonts w:ascii="Times New Roman" w:cs="Times New Roman" w:hAnsiTheme="minorEastAsia" w:eastAsiaTheme="minorEastAsia"/>
          <w:b/>
          <w:bCs/>
          <w:color w:val="000000" w:themeColor="text1"/>
          <w:szCs w:val="24"/>
          <w14:textFill>
            <w14:solidFill>
              <w14:schemeClr w14:val="tx1"/>
            </w14:solidFill>
          </w14:textFill>
        </w:rPr>
      </w:pPr>
      <w:r>
        <w:rPr>
          <w:rFonts w:hint="eastAsia" w:ascii="Times New Roman" w:cs="Times New Roman" w:hAnsiTheme="minorEastAsia" w:eastAsiaTheme="minorEastAsia"/>
          <w:b/>
          <w:bCs/>
          <w:color w:val="000000" w:themeColor="text1"/>
          <w:szCs w:val="24"/>
          <w14:textFill>
            <w14:solidFill>
              <w14:schemeClr w14:val="tx1"/>
            </w14:solidFill>
          </w14:textFill>
        </w:rPr>
        <w:t>表</w:t>
      </w:r>
      <w:r>
        <w:rPr>
          <w:rFonts w:hint="eastAsia" w:ascii="Times New Roman" w:cs="Times New Roman" w:hAnsiTheme="minorEastAsia" w:eastAsiaTheme="minorEastAsia"/>
          <w:b/>
          <w:bCs/>
          <w:color w:val="000000" w:themeColor="text1"/>
          <w:szCs w:val="24"/>
          <w:lang w:val="en-US" w:eastAsia="zh-CN"/>
          <w14:textFill>
            <w14:solidFill>
              <w14:schemeClr w14:val="tx1"/>
            </w14:solidFill>
          </w14:textFill>
        </w:rPr>
        <w:t>5</w:t>
      </w:r>
      <w:r>
        <w:rPr>
          <w:rFonts w:hint="eastAsia" w:ascii="Times New Roman" w:cs="Times New Roman" w:hAnsiTheme="minorEastAsia" w:eastAsiaTheme="minorEastAsia"/>
          <w:b/>
          <w:bCs/>
          <w:color w:val="000000" w:themeColor="text1"/>
          <w:szCs w:val="24"/>
          <w14:textFill>
            <w14:solidFill>
              <w14:schemeClr w14:val="tx1"/>
            </w14:solidFill>
          </w14:textFill>
        </w:rPr>
        <w:t>.3-9  地下水水质监测点位及监测因子</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999"/>
        <w:gridCol w:w="710"/>
        <w:gridCol w:w="2693"/>
        <w:gridCol w:w="3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99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监测点位</w:t>
            </w:r>
          </w:p>
        </w:tc>
        <w:tc>
          <w:tcPr>
            <w:tcW w:w="71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点位数</w:t>
            </w:r>
          </w:p>
        </w:tc>
        <w:tc>
          <w:tcPr>
            <w:tcW w:w="2693"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监测因子</w:t>
            </w:r>
          </w:p>
        </w:tc>
        <w:tc>
          <w:tcPr>
            <w:tcW w:w="35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GPS</w:t>
            </w:r>
            <w:r>
              <w:rPr>
                <w:rFonts w:ascii="Times New Roman" w:hAnsi="宋体"/>
                <w:color w:val="000000" w:themeColor="text1"/>
                <w:sz w:val="18"/>
                <w:szCs w:val="18"/>
                <w14:textFill>
                  <w14:solidFill>
                    <w14:schemeClr w14:val="tx1"/>
                  </w14:solidFill>
                </w14:textFill>
              </w:rPr>
              <w:t>定位坐标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99"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1</w:t>
            </w:r>
            <w:r>
              <w:rPr>
                <w:rFonts w:ascii="Times New Roman" w:hAnsi="宋体"/>
                <w:color w:val="000000" w:themeColor="text1"/>
                <w:sz w:val="18"/>
                <w:szCs w:val="18"/>
                <w14:textFill>
                  <w14:solidFill>
                    <w14:schemeClr w14:val="tx1"/>
                  </w14:solidFill>
                </w14:textFill>
              </w:rPr>
              <w:t>）</w:t>
            </w:r>
            <w:r>
              <w:rPr>
                <w:rFonts w:hint="eastAsia" w:ascii="Times New Roman" w:hAnsi="宋体"/>
                <w:color w:val="000000" w:themeColor="text1"/>
                <w:sz w:val="18"/>
                <w:szCs w:val="18"/>
                <w14:textFill>
                  <w14:solidFill>
                    <w14:schemeClr w14:val="tx1"/>
                  </w14:solidFill>
                </w14:textFill>
              </w:rPr>
              <w:t>项目厂区内</w:t>
            </w:r>
          </w:p>
        </w:tc>
        <w:tc>
          <w:tcPr>
            <w:tcW w:w="71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r>
              <w:rPr>
                <w:rFonts w:ascii="Times New Roman" w:hAnsi="宋体"/>
                <w:color w:val="000000" w:themeColor="text1"/>
                <w:sz w:val="18"/>
                <w:szCs w:val="18"/>
                <w14:textFill>
                  <w14:solidFill>
                    <w14:schemeClr w14:val="tx1"/>
                  </w14:solidFill>
                </w14:textFill>
              </w:rPr>
              <w:t>个</w:t>
            </w:r>
          </w:p>
        </w:tc>
        <w:tc>
          <w:tcPr>
            <w:tcW w:w="2693"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K+、Na+、Ca</w:t>
            </w:r>
            <w:r>
              <w:rPr>
                <w:rFonts w:hint="eastAsia" w:ascii="Times New Roman" w:hAnsi="Times New Roman"/>
                <w:color w:val="000000" w:themeColor="text1"/>
                <w:sz w:val="18"/>
                <w:szCs w:val="18"/>
                <w:vertAlign w:val="superscript"/>
                <w14:textFill>
                  <w14:solidFill>
                    <w14:schemeClr w14:val="tx1"/>
                  </w14:solidFill>
                </w14:textFill>
              </w:rPr>
              <w:t>2+</w:t>
            </w:r>
            <w:r>
              <w:rPr>
                <w:rFonts w:hint="eastAsia" w:ascii="Times New Roman" w:hAnsi="Times New Roman"/>
                <w:color w:val="000000" w:themeColor="text1"/>
                <w:sz w:val="18"/>
                <w:szCs w:val="18"/>
                <w14:textFill>
                  <w14:solidFill>
                    <w14:schemeClr w14:val="tx1"/>
                  </w14:solidFill>
                </w14:textFill>
              </w:rPr>
              <w:t>、Mg</w:t>
            </w:r>
            <w:r>
              <w:rPr>
                <w:rFonts w:hint="eastAsia" w:ascii="Times New Roman" w:hAnsi="Times New Roman"/>
                <w:color w:val="000000" w:themeColor="text1"/>
                <w:sz w:val="18"/>
                <w:szCs w:val="18"/>
                <w:vertAlign w:val="superscript"/>
                <w14:textFill>
                  <w14:solidFill>
                    <w14:schemeClr w14:val="tx1"/>
                  </w14:solidFill>
                </w14:textFill>
              </w:rPr>
              <w:t>2+</w:t>
            </w:r>
            <w:r>
              <w:rPr>
                <w:rFonts w:hint="eastAsia" w:ascii="Times New Roman" w:hAnsi="Times New Roman"/>
                <w:color w:val="000000" w:themeColor="text1"/>
                <w:sz w:val="18"/>
                <w:szCs w:val="18"/>
                <w14:textFill>
                  <w14:solidFill>
                    <w14:schemeClr w14:val="tx1"/>
                  </w14:solidFill>
                </w14:textFill>
              </w:rPr>
              <w:t>、CO</w:t>
            </w:r>
            <w:r>
              <w:rPr>
                <w:rFonts w:hint="eastAsia" w:ascii="Times New Roman" w:hAnsi="Times New Roman"/>
                <w:color w:val="000000" w:themeColor="text1"/>
                <w:sz w:val="18"/>
                <w:szCs w:val="18"/>
                <w:vertAlign w:val="superscript"/>
                <w14:textFill>
                  <w14:solidFill>
                    <w14:schemeClr w14:val="tx1"/>
                  </w14:solidFill>
                </w14:textFill>
              </w:rPr>
              <w:t>3-</w:t>
            </w:r>
            <w:r>
              <w:rPr>
                <w:rFonts w:hint="eastAsia" w:ascii="Times New Roman" w:hAnsi="Times New Roman"/>
                <w:color w:val="000000" w:themeColor="text1"/>
                <w:sz w:val="18"/>
                <w:szCs w:val="18"/>
                <w14:textFill>
                  <w14:solidFill>
                    <w14:schemeClr w14:val="tx1"/>
                  </w14:solidFill>
                </w14:textFill>
              </w:rPr>
              <w:t>、HCO</w:t>
            </w:r>
            <w:r>
              <w:rPr>
                <w:rFonts w:hint="eastAsia" w:ascii="Times New Roman" w:hAnsi="Times New Roman"/>
                <w:color w:val="000000" w:themeColor="text1"/>
                <w:sz w:val="18"/>
                <w:szCs w:val="18"/>
                <w:vertAlign w:val="superscript"/>
                <w14:textFill>
                  <w14:solidFill>
                    <w14:schemeClr w14:val="tx1"/>
                  </w14:solidFill>
                </w14:textFill>
              </w:rPr>
              <w:t>3-</w:t>
            </w:r>
            <w:r>
              <w:rPr>
                <w:rFonts w:hint="eastAsia" w:ascii="Times New Roman" w:hAnsi="Times New Roman"/>
                <w:color w:val="000000" w:themeColor="text1"/>
                <w:sz w:val="18"/>
                <w:szCs w:val="18"/>
                <w14:textFill>
                  <w14:solidFill>
                    <w14:schemeClr w14:val="tx1"/>
                  </w14:solidFill>
                </w14:textFill>
              </w:rPr>
              <w:t>、Cl</w:t>
            </w:r>
            <w:r>
              <w:rPr>
                <w:rFonts w:hint="eastAsia" w:ascii="Times New Roman" w:hAnsi="Times New Roman"/>
                <w:color w:val="000000" w:themeColor="text1"/>
                <w:sz w:val="18"/>
                <w:szCs w:val="18"/>
                <w:vertAlign w:val="superscript"/>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、SO</w:t>
            </w:r>
            <w:r>
              <w:rPr>
                <w:rFonts w:hint="eastAsia" w:ascii="Times New Roman" w:hAnsi="Times New Roman"/>
                <w:color w:val="000000" w:themeColor="text1"/>
                <w:sz w:val="18"/>
                <w:szCs w:val="18"/>
                <w:vertAlign w:val="subscript"/>
                <w14:textFill>
                  <w14:solidFill>
                    <w14:schemeClr w14:val="tx1"/>
                  </w14:solidFill>
                </w14:textFill>
              </w:rPr>
              <w:t>4</w:t>
            </w:r>
            <w:r>
              <w:rPr>
                <w:rFonts w:hint="eastAsia" w:ascii="Times New Roman" w:hAnsi="Times New Roman"/>
                <w:color w:val="000000" w:themeColor="text1"/>
                <w:sz w:val="18"/>
                <w:szCs w:val="18"/>
                <w:vertAlign w:val="superscript"/>
                <w14:textFill>
                  <w14:solidFill>
                    <w14:schemeClr w14:val="tx1"/>
                  </w14:solidFill>
                </w14:textFill>
              </w:rPr>
              <w:t>2-</w:t>
            </w:r>
            <w:r>
              <w:rPr>
                <w:rFonts w:hint="eastAsia" w:ascii="Times New Roman" w:hAnsi="Times New Roman"/>
                <w:color w:val="000000" w:themeColor="text1"/>
                <w:sz w:val="18"/>
                <w:szCs w:val="18"/>
                <w14:textFill>
                  <w14:solidFill>
                    <w14:schemeClr w14:val="tx1"/>
                  </w14:solidFill>
                </w14:textFill>
              </w:rPr>
              <w:t>、pH、氨氮、总溶解性固体、总硬度、氟化物、硝酸盐、亚硝酸盐、挥发酚、氰化物、铬（六价）、耗氧量（以高锰酸盐指数法测定）、砷、汞、铅、镉、铁、锰、总大肠菌群、菌落总数。</w:t>
            </w:r>
          </w:p>
        </w:tc>
        <w:tc>
          <w:tcPr>
            <w:tcW w:w="35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111°</w:t>
            </w:r>
            <w:r>
              <w:rPr>
                <w:rFonts w:hint="eastAsia" w:ascii="Times New Roman" w:hAnsi="Times New Roman"/>
                <w:color w:val="000000" w:themeColor="text1"/>
                <w:sz w:val="18"/>
                <w:szCs w:val="18"/>
                <w14:textFill>
                  <w14:solidFill>
                    <w14:schemeClr w14:val="tx1"/>
                  </w14:solidFill>
                </w14:textFill>
              </w:rPr>
              <w:t>32</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10.28</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N: 30°</w:t>
            </w:r>
            <w:r>
              <w:rPr>
                <w:rFonts w:hint="eastAsia" w:ascii="Times New Roman" w:hAnsi="Times New Roman"/>
                <w:color w:val="000000" w:themeColor="text1"/>
                <w:sz w:val="18"/>
                <w:szCs w:val="18"/>
                <w14:textFill>
                  <w14:solidFill>
                    <w14:schemeClr w14:val="tx1"/>
                  </w14:solidFill>
                </w14:textFill>
              </w:rPr>
              <w:t>14</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38.16</w:t>
            </w: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999"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2</w:t>
            </w:r>
            <w:r>
              <w:rPr>
                <w:rFonts w:ascii="Times New Roman" w:hAnsi="宋体"/>
                <w:color w:val="000000" w:themeColor="text1"/>
                <w:sz w:val="18"/>
                <w:szCs w:val="18"/>
                <w14:textFill>
                  <w14:solidFill>
                    <w14:schemeClr w14:val="tx1"/>
                  </w14:solidFill>
                </w14:textFill>
              </w:rPr>
              <w:t>）地下水</w:t>
            </w:r>
            <w:r>
              <w:rPr>
                <w:rFonts w:hint="eastAsia" w:ascii="Times New Roman" w:hAnsi="宋体"/>
                <w:color w:val="000000" w:themeColor="text1"/>
                <w:sz w:val="18"/>
                <w:szCs w:val="18"/>
                <w14:textFill>
                  <w14:solidFill>
                    <w14:schemeClr w14:val="tx1"/>
                  </w14:solidFill>
                </w14:textFill>
              </w:rPr>
              <w:t>上</w:t>
            </w:r>
            <w:r>
              <w:rPr>
                <w:rFonts w:ascii="Times New Roman" w:hAnsi="宋体"/>
                <w:color w:val="000000" w:themeColor="text1"/>
                <w:sz w:val="18"/>
                <w:szCs w:val="18"/>
                <w14:textFill>
                  <w14:solidFill>
                    <w14:schemeClr w14:val="tx1"/>
                  </w14:solidFill>
                </w14:textFill>
              </w:rPr>
              <w:t>游</w:t>
            </w:r>
          </w:p>
        </w:tc>
        <w:tc>
          <w:tcPr>
            <w:tcW w:w="71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r>
              <w:rPr>
                <w:rFonts w:ascii="Times New Roman" w:hAnsi="宋体"/>
                <w:color w:val="000000" w:themeColor="text1"/>
                <w:sz w:val="18"/>
                <w:szCs w:val="18"/>
                <w14:textFill>
                  <w14:solidFill>
                    <w14:schemeClr w14:val="tx1"/>
                  </w14:solidFill>
                </w14:textFill>
              </w:rPr>
              <w:t>个</w:t>
            </w:r>
          </w:p>
        </w:tc>
        <w:tc>
          <w:tcPr>
            <w:tcW w:w="2693"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35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111°32′20.03"</w:t>
            </w:r>
            <w:r>
              <w:rPr>
                <w:rFonts w:hint="eastAsia"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 xml:space="preserve">N: </w:t>
            </w:r>
            <w:r>
              <w:rPr>
                <w:rFonts w:ascii="Times New Roman" w:hAnsi="Times New Roman"/>
                <w:color w:val="000000" w:themeColor="text1"/>
                <w:sz w:val="18"/>
                <w14:textFill>
                  <w14:solidFill>
                    <w14:schemeClr w14:val="tx1"/>
                  </w14:solidFill>
                </w14:textFill>
              </w:rPr>
              <w:t>30°14′28.08"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999"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3</w:t>
            </w:r>
            <w:r>
              <w:rPr>
                <w:rFonts w:ascii="Times New Roman" w:hAnsi="宋体"/>
                <w:color w:val="000000" w:themeColor="text1"/>
                <w:sz w:val="18"/>
                <w:szCs w:val="18"/>
                <w14:textFill>
                  <w14:solidFill>
                    <w14:schemeClr w14:val="tx1"/>
                  </w14:solidFill>
                </w14:textFill>
              </w:rPr>
              <w:t>）</w:t>
            </w:r>
            <w:r>
              <w:rPr>
                <w:rFonts w:hint="eastAsia" w:ascii="Times New Roman" w:hAnsi="宋体"/>
                <w:color w:val="000000" w:themeColor="text1"/>
                <w:sz w:val="18"/>
                <w:szCs w:val="18"/>
                <w14:textFill>
                  <w14:solidFill>
                    <w14:schemeClr w14:val="tx1"/>
                  </w14:solidFill>
                </w14:textFill>
              </w:rPr>
              <w:t>项目区下游</w:t>
            </w:r>
          </w:p>
        </w:tc>
        <w:tc>
          <w:tcPr>
            <w:tcW w:w="71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r>
              <w:rPr>
                <w:rFonts w:ascii="Times New Roman" w:hAnsi="宋体"/>
                <w:color w:val="000000" w:themeColor="text1"/>
                <w:sz w:val="18"/>
                <w:szCs w:val="18"/>
                <w14:textFill>
                  <w14:solidFill>
                    <w14:schemeClr w14:val="tx1"/>
                  </w14:solidFill>
                </w14:textFill>
              </w:rPr>
              <w:t>个</w:t>
            </w:r>
          </w:p>
        </w:tc>
        <w:tc>
          <w:tcPr>
            <w:tcW w:w="2693"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35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111°32′35.13"</w:t>
            </w:r>
            <w:r>
              <w:rPr>
                <w:rFonts w:hint="eastAsia"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 xml:space="preserve">N: </w:t>
            </w:r>
            <w:r>
              <w:rPr>
                <w:rFonts w:ascii="Times New Roman" w:hAnsi="Times New Roman"/>
                <w:color w:val="000000" w:themeColor="text1"/>
                <w:sz w:val="18"/>
                <w14:textFill>
                  <w14:solidFill>
                    <w14:schemeClr w14:val="tx1"/>
                  </w14:solidFill>
                </w14:textFill>
              </w:rPr>
              <w:t>30°14′35.26"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999"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4</w:t>
            </w:r>
            <w:r>
              <w:rPr>
                <w:rFonts w:ascii="Times New Roman" w:hAnsi="宋体"/>
                <w:color w:val="000000" w:themeColor="text1"/>
                <w:sz w:val="18"/>
                <w:szCs w:val="18"/>
                <w14:textFill>
                  <w14:solidFill>
                    <w14:schemeClr w14:val="tx1"/>
                  </w14:solidFill>
                </w14:textFill>
              </w:rPr>
              <w:t>）</w:t>
            </w:r>
            <w:r>
              <w:rPr>
                <w:rFonts w:hint="eastAsia" w:ascii="Times New Roman" w:hAnsi="宋体"/>
                <w:color w:val="000000" w:themeColor="text1"/>
                <w:sz w:val="18"/>
                <w:szCs w:val="18"/>
                <w14:textFill>
                  <w14:solidFill>
                    <w14:schemeClr w14:val="tx1"/>
                  </w14:solidFill>
                </w14:textFill>
              </w:rPr>
              <w:t>项目区东北侧</w:t>
            </w:r>
          </w:p>
        </w:tc>
        <w:tc>
          <w:tcPr>
            <w:tcW w:w="71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r>
              <w:rPr>
                <w:rFonts w:ascii="Times New Roman" w:hAnsi="宋体"/>
                <w:color w:val="000000" w:themeColor="text1"/>
                <w:sz w:val="18"/>
                <w:szCs w:val="18"/>
                <w14:textFill>
                  <w14:solidFill>
                    <w14:schemeClr w14:val="tx1"/>
                  </w14:solidFill>
                </w14:textFill>
              </w:rPr>
              <w:t>个</w:t>
            </w:r>
          </w:p>
        </w:tc>
        <w:tc>
          <w:tcPr>
            <w:tcW w:w="2693"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35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111°32′28.20"</w:t>
            </w:r>
            <w:r>
              <w:rPr>
                <w:rFonts w:hint="eastAsia"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 xml:space="preserve">N: </w:t>
            </w:r>
            <w:r>
              <w:rPr>
                <w:rFonts w:ascii="Times New Roman" w:hAnsi="Times New Roman"/>
                <w:color w:val="000000" w:themeColor="text1"/>
                <w:sz w:val="18"/>
                <w14:textFill>
                  <w14:solidFill>
                    <w14:schemeClr w14:val="tx1"/>
                  </w14:solidFill>
                </w14:textFill>
              </w:rPr>
              <w:t>30°14′32.92"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999"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w:t>
            </w:r>
            <w:r>
              <w:rPr>
                <w:rFonts w:ascii="宋体"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5</w:t>
            </w:r>
            <w:r>
              <w:rPr>
                <w:rFonts w:ascii="Times New Roman" w:hAnsi="宋体"/>
                <w:color w:val="000000" w:themeColor="text1"/>
                <w:sz w:val="18"/>
                <w:szCs w:val="18"/>
                <w14:textFill>
                  <w14:solidFill>
                    <w14:schemeClr w14:val="tx1"/>
                  </w14:solidFill>
                </w14:textFill>
              </w:rPr>
              <w:t>）</w:t>
            </w:r>
            <w:r>
              <w:rPr>
                <w:rFonts w:hint="eastAsia" w:ascii="Times New Roman" w:hAnsi="宋体"/>
                <w:color w:val="000000" w:themeColor="text1"/>
                <w:sz w:val="18"/>
                <w:szCs w:val="18"/>
                <w14:textFill>
                  <w14:solidFill>
                    <w14:schemeClr w14:val="tx1"/>
                  </w14:solidFill>
                </w14:textFill>
              </w:rPr>
              <w:t>项目区北侧</w:t>
            </w:r>
          </w:p>
        </w:tc>
        <w:tc>
          <w:tcPr>
            <w:tcW w:w="71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r>
              <w:rPr>
                <w:rFonts w:ascii="Times New Roman" w:hAnsi="宋体"/>
                <w:color w:val="000000" w:themeColor="text1"/>
                <w:sz w:val="18"/>
                <w:szCs w:val="18"/>
                <w14:textFill>
                  <w14:solidFill>
                    <w14:schemeClr w14:val="tx1"/>
                  </w14:solidFill>
                </w14:textFill>
              </w:rPr>
              <w:t>个</w:t>
            </w:r>
          </w:p>
        </w:tc>
        <w:tc>
          <w:tcPr>
            <w:tcW w:w="2693"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355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111°32′25.08"</w:t>
            </w:r>
            <w:r>
              <w:rPr>
                <w:rFonts w:hint="eastAsia"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 xml:space="preserve">N: </w:t>
            </w:r>
            <w:r>
              <w:rPr>
                <w:rFonts w:ascii="Times New Roman" w:hAnsi="Times New Roman"/>
                <w:color w:val="000000" w:themeColor="text1"/>
                <w:sz w:val="18"/>
                <w14:textFill>
                  <w14:solidFill>
                    <w14:schemeClr w14:val="tx1"/>
                  </w14:solidFill>
                </w14:textFill>
              </w:rPr>
              <w:t>30°14′34.65"</w:t>
            </w:r>
          </w:p>
        </w:tc>
      </w:tr>
    </w:tbl>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65" w:name="_Toc29725"/>
      <w:bookmarkStart w:id="366" w:name="_Toc29572"/>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9744" behindDoc="0" locked="0" layoutInCell="1" allowOverlap="1">
            <wp:simplePos x="0" y="0"/>
            <wp:positionH relativeFrom="column">
              <wp:posOffset>-53340</wp:posOffset>
            </wp:positionH>
            <wp:positionV relativeFrom="paragraph">
              <wp:posOffset>38100</wp:posOffset>
            </wp:positionV>
            <wp:extent cx="5758180" cy="3815715"/>
            <wp:effectExtent l="0" t="0" r="13970" b="13335"/>
            <wp:wrapNone/>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18"/>
                    <a:stretch>
                      <a:fillRect/>
                    </a:stretch>
                  </pic:blipFill>
                  <pic:spPr>
                    <a:xfrm>
                      <a:off x="0" y="0"/>
                      <a:ext cx="5758180" cy="3815715"/>
                    </a:xfrm>
                    <a:prstGeom prst="rect">
                      <a:avLst/>
                    </a:prstGeom>
                    <a:noFill/>
                    <a:ln>
                      <a:noFill/>
                    </a:ln>
                  </pic:spPr>
                </pic:pic>
              </a:graphicData>
            </a:graphic>
          </wp:anchor>
        </w:drawing>
      </w: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360" w:lineRule="auto"/>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bookmarkEnd w:id="365"/>
    <w:bookmarkEnd w:id="366"/>
    <w:p>
      <w:pPr>
        <w:rPr>
          <w:color w:val="000000" w:themeColor="text1"/>
          <w14:textFill>
            <w14:solidFill>
              <w14:schemeClr w14:val="tx1"/>
            </w14:solidFill>
          </w14:textFill>
        </w:rPr>
      </w:pPr>
    </w:p>
    <w:p>
      <w:pPr>
        <w:adjustRightInd w:val="0"/>
        <w:snapToGrid w:val="0"/>
        <w:spacing w:line="520" w:lineRule="exact"/>
        <w:ind w:firstLine="2650" w:firstLineChars="1100"/>
        <w:jc w:val="left"/>
        <w:rPr>
          <w:rFonts w:ascii="Times New Roman" w:hAnsiTheme="minorEastAsia" w:eastAsiaTheme="minorEastAsia"/>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图</w:t>
      </w:r>
      <w:r>
        <w:rPr>
          <w:rFonts w:hint="eastAsia" w:ascii="Times New Roman" w:hAnsi="Times New Roman"/>
          <w:b/>
          <w:color w:val="000000" w:themeColor="text1"/>
          <w:sz w:val="24"/>
          <w:szCs w:val="24"/>
          <w:lang w:val="en-US" w:eastAsia="zh-CN"/>
          <w14:textFill>
            <w14:solidFill>
              <w14:schemeClr w14:val="tx1"/>
            </w14:solidFill>
          </w14:textFill>
        </w:rPr>
        <w:t>5</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1</w:t>
      </w:r>
      <w:r>
        <w:rPr>
          <w:rFonts w:ascii="Times New Roman" w:hAnsi="Times New Roman"/>
          <w:b/>
          <w:color w:val="000000" w:themeColor="text1"/>
          <w:sz w:val="24"/>
          <w:szCs w:val="24"/>
          <w14:textFill>
            <w14:solidFill>
              <w14:schemeClr w14:val="tx1"/>
            </w14:solidFill>
          </w14:textFill>
        </w:rPr>
        <w:t xml:space="preserve">  地下水现状监测布点图</w:t>
      </w:r>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监测</w:t>
      </w:r>
      <w:r>
        <w:rPr>
          <w:rFonts w:hint="eastAsia" w:ascii="Times New Roman" w:hAnsiTheme="minorEastAsia" w:eastAsiaTheme="minorEastAsia"/>
          <w:color w:val="000000" w:themeColor="text1"/>
          <w:sz w:val="24"/>
          <w:szCs w:val="24"/>
          <w14:textFill>
            <w14:solidFill>
              <w14:schemeClr w14:val="tx1"/>
            </w14:solidFill>
          </w14:textFill>
        </w:rPr>
        <w:t>频次</w:t>
      </w:r>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每个监测点位每天采样1 次，连续监测3天</w:t>
      </w:r>
      <w:r>
        <w:rPr>
          <w:rFonts w:ascii="Times New Roman" w:hAnsiTheme="minorEastAsia" w:eastAsiaTheme="minorEastAsia"/>
          <w:color w:val="000000" w:themeColor="text1"/>
          <w:sz w:val="24"/>
          <w:szCs w:val="24"/>
          <w14:textFill>
            <w14:solidFill>
              <w14:schemeClr w14:val="tx1"/>
            </w14:solidFill>
          </w14:textFill>
        </w:rPr>
        <w:t>。</w:t>
      </w: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（3）评价标准</w:t>
      </w: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地下水评价标准执行《地下水质量标准》(GB/T14848-2017)中的Ⅲ类标准。</w:t>
      </w:r>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（4）</w:t>
      </w:r>
      <w:r>
        <w:rPr>
          <w:rFonts w:ascii="Times New Roman" w:hAnsiTheme="minorEastAsia" w:eastAsiaTheme="minorEastAsia"/>
          <w:color w:val="000000" w:themeColor="text1"/>
          <w:sz w:val="24"/>
          <w:szCs w:val="24"/>
          <w14:textFill>
            <w14:solidFill>
              <w14:schemeClr w14:val="tx1"/>
            </w14:solidFill>
          </w14:textFill>
        </w:rPr>
        <w:t>评价方法</w:t>
      </w:r>
    </w:p>
    <w:p>
      <w:pPr>
        <w:pStyle w:val="339"/>
        <w:spacing w:line="520" w:lineRule="exact"/>
        <w:ind w:firstLine="480"/>
        <w:jc w:val="left"/>
        <w:rPr>
          <w:rFonts w:ascii="Times New Roman" w:hAnsi="Times New Roman" w:eastAsiaTheme="minorEastAsia"/>
          <w:color w:val="000000" w:themeColor="text1"/>
          <w:szCs w:val="24"/>
          <w14:textFill>
            <w14:solidFill>
              <w14:schemeClr w14:val="tx1"/>
            </w14:solidFill>
          </w14:textFill>
        </w:rPr>
      </w:pPr>
      <w:r>
        <w:rPr>
          <w:rFonts w:ascii="Times New Roman" w:hAnsiTheme="minorEastAsia" w:eastAsiaTheme="minorEastAsia"/>
          <w:color w:val="000000" w:themeColor="text1"/>
          <w:szCs w:val="24"/>
          <w14:textFill>
            <w14:solidFill>
              <w14:schemeClr w14:val="tx1"/>
            </w14:solidFill>
          </w14:textFill>
        </w:rPr>
        <w:t>采用单因子标准指数法对监测结果进行评价。其单项水质参数</w:t>
      </w:r>
      <w:r>
        <w:rPr>
          <w:rFonts w:ascii="Times New Roman" w:hAnsi="Times New Roman" w:eastAsiaTheme="minorEastAsia"/>
          <w:color w:val="000000" w:themeColor="text1"/>
          <w:szCs w:val="24"/>
          <w14:textFill>
            <w14:solidFill>
              <w14:schemeClr w14:val="tx1"/>
            </w14:solidFill>
          </w14:textFill>
        </w:rPr>
        <w:t>i</w:t>
      </w:r>
      <w:r>
        <w:rPr>
          <w:rFonts w:ascii="Times New Roman" w:hAnsiTheme="minorEastAsia" w:eastAsiaTheme="minorEastAsia"/>
          <w:color w:val="000000" w:themeColor="text1"/>
          <w:szCs w:val="24"/>
          <w14:textFill>
            <w14:solidFill>
              <w14:schemeClr w14:val="tx1"/>
            </w14:solidFill>
          </w14:textFill>
        </w:rPr>
        <w:t>在第</w:t>
      </w:r>
      <w:r>
        <w:rPr>
          <w:rFonts w:ascii="Times New Roman" w:hAnsi="Times New Roman" w:eastAsiaTheme="minorEastAsia"/>
          <w:color w:val="000000" w:themeColor="text1"/>
          <w:szCs w:val="24"/>
          <w14:textFill>
            <w14:solidFill>
              <w14:schemeClr w14:val="tx1"/>
            </w14:solidFill>
          </w14:textFill>
        </w:rPr>
        <w:t>j</w:t>
      </w:r>
      <w:r>
        <w:rPr>
          <w:rFonts w:ascii="Times New Roman" w:hAnsiTheme="minorEastAsia" w:eastAsiaTheme="minorEastAsia"/>
          <w:color w:val="000000" w:themeColor="text1"/>
          <w:szCs w:val="24"/>
          <w14:textFill>
            <w14:solidFill>
              <w14:schemeClr w14:val="tx1"/>
            </w14:solidFill>
          </w14:textFill>
        </w:rPr>
        <w:t>点的标准指数为：</w:t>
      </w:r>
      <w:r>
        <w:rPr>
          <w:rFonts w:ascii="Times New Roman" w:hAnsi="Times New Roman" w:eastAsiaTheme="minorEastAsia"/>
          <w:color w:val="000000" w:themeColor="text1"/>
          <w:szCs w:val="24"/>
          <w14:textFill>
            <w14:solidFill>
              <w14:schemeClr w14:val="tx1"/>
            </w14:solidFill>
          </w14:textFill>
        </w:rPr>
        <w:t>S</w:t>
      </w:r>
      <w:r>
        <w:rPr>
          <w:rFonts w:ascii="Times New Roman" w:hAnsi="Times New Roman" w:eastAsiaTheme="minorEastAsia"/>
          <w:color w:val="000000" w:themeColor="text1"/>
          <w:szCs w:val="24"/>
          <w:vertAlign w:val="subscript"/>
          <w14:textFill>
            <w14:solidFill>
              <w14:schemeClr w14:val="tx1"/>
            </w14:solidFill>
          </w14:textFill>
        </w:rPr>
        <w:t>i</w:t>
      </w:r>
      <w:r>
        <w:rPr>
          <w:rFonts w:ascii="Times New Roman" w:hAnsi="Times New Roman" w:eastAsiaTheme="minorEastAsia"/>
          <w:color w:val="000000" w:themeColor="text1"/>
          <w:szCs w:val="24"/>
          <w14:textFill>
            <w14:solidFill>
              <w14:schemeClr w14:val="tx1"/>
            </w14:solidFill>
          </w14:textFill>
        </w:rPr>
        <w:t>=C</w:t>
      </w:r>
      <w:r>
        <w:rPr>
          <w:rFonts w:ascii="Times New Roman" w:hAnsi="Times New Roman" w:eastAsiaTheme="minorEastAsia"/>
          <w:color w:val="000000" w:themeColor="text1"/>
          <w:szCs w:val="24"/>
          <w:vertAlign w:val="subscript"/>
          <w14:textFill>
            <w14:solidFill>
              <w14:schemeClr w14:val="tx1"/>
            </w14:solidFill>
          </w14:textFill>
        </w:rPr>
        <w:t>i</w:t>
      </w:r>
      <w:r>
        <w:rPr>
          <w:rFonts w:ascii="Times New Roman" w:hAnsi="Times New Roman" w:eastAsiaTheme="minorEastAsia"/>
          <w:color w:val="000000" w:themeColor="text1"/>
          <w:szCs w:val="24"/>
          <w14:textFill>
            <w14:solidFill>
              <w14:schemeClr w14:val="tx1"/>
            </w14:solidFill>
          </w14:textFill>
        </w:rPr>
        <w:t>/C</w:t>
      </w:r>
      <w:r>
        <w:rPr>
          <w:rFonts w:ascii="Times New Roman" w:hAnsi="Times New Roman" w:eastAsiaTheme="minorEastAsia"/>
          <w:color w:val="000000" w:themeColor="text1"/>
          <w:szCs w:val="24"/>
          <w:vertAlign w:val="subscript"/>
          <w14:textFill>
            <w14:solidFill>
              <w14:schemeClr w14:val="tx1"/>
            </w14:solidFill>
          </w14:textFill>
        </w:rPr>
        <w:t>si</w:t>
      </w:r>
    </w:p>
    <w:p>
      <w:pPr>
        <w:pStyle w:val="339"/>
        <w:spacing w:line="520" w:lineRule="exact"/>
        <w:ind w:firstLine="480"/>
        <w:jc w:val="left"/>
        <w:rPr>
          <w:rFonts w:ascii="Times New Roman" w:hAnsi="Times New Roman" w:eastAsiaTheme="minorEastAsia"/>
          <w:color w:val="000000" w:themeColor="text1"/>
          <w:szCs w:val="24"/>
          <w14:textFill>
            <w14:solidFill>
              <w14:schemeClr w14:val="tx1"/>
            </w14:solidFill>
          </w14:textFill>
        </w:rPr>
      </w:pPr>
      <w:r>
        <w:rPr>
          <w:rFonts w:ascii="Times New Roman" w:hAnsiTheme="minorEastAsia" w:eastAsiaTheme="minorEastAsia"/>
          <w:color w:val="000000" w:themeColor="text1"/>
          <w:szCs w:val="24"/>
          <w14:textFill>
            <w14:solidFill>
              <w14:schemeClr w14:val="tx1"/>
            </w14:solidFill>
          </w14:textFill>
        </w:rPr>
        <w:t>式中：</w:t>
      </w:r>
      <w:r>
        <w:rPr>
          <w:rFonts w:ascii="Times New Roman" w:hAnsi="Times New Roman" w:eastAsiaTheme="minorEastAsia"/>
          <w:color w:val="000000" w:themeColor="text1"/>
          <w:szCs w:val="24"/>
          <w14:textFill>
            <w14:solidFill>
              <w14:schemeClr w14:val="tx1"/>
            </w14:solidFill>
          </w14:textFill>
        </w:rPr>
        <w:t>S</w:t>
      </w:r>
      <w:r>
        <w:rPr>
          <w:rFonts w:ascii="Times New Roman" w:hAnsi="Times New Roman" w:eastAsiaTheme="minorEastAsia"/>
          <w:color w:val="000000" w:themeColor="text1"/>
          <w:szCs w:val="24"/>
          <w:vertAlign w:val="subscript"/>
          <w14:textFill>
            <w14:solidFill>
              <w14:schemeClr w14:val="tx1"/>
            </w14:solidFill>
          </w14:textFill>
        </w:rPr>
        <w:t>i</w:t>
      </w:r>
      <w:r>
        <w:rPr>
          <w:rFonts w:ascii="Times New Roman" w:hAnsi="Times New Roman" w:eastAsiaTheme="minorEastAsia"/>
          <w:color w:val="000000" w:themeColor="text1"/>
          <w:szCs w:val="24"/>
          <w14:textFill>
            <w14:solidFill>
              <w14:schemeClr w14:val="tx1"/>
            </w14:solidFill>
          </w14:textFill>
        </w:rPr>
        <w:t>—</w:t>
      </w:r>
      <w:r>
        <w:rPr>
          <w:rFonts w:ascii="Times New Roman" w:hAnsiTheme="minorEastAsia" w:eastAsiaTheme="minorEastAsia"/>
          <w:color w:val="000000" w:themeColor="text1"/>
          <w:szCs w:val="24"/>
          <w14:textFill>
            <w14:solidFill>
              <w14:schemeClr w14:val="tx1"/>
            </w14:solidFill>
          </w14:textFill>
        </w:rPr>
        <w:t>某污染物的标准指数，无量纲；</w:t>
      </w:r>
    </w:p>
    <w:p>
      <w:pPr>
        <w:pStyle w:val="339"/>
        <w:spacing w:line="520" w:lineRule="exact"/>
        <w:ind w:firstLine="480"/>
        <w:jc w:val="left"/>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C</w:t>
      </w:r>
      <w:r>
        <w:rPr>
          <w:rFonts w:ascii="Times New Roman" w:hAnsi="Times New Roman" w:eastAsiaTheme="minorEastAsia"/>
          <w:color w:val="000000" w:themeColor="text1"/>
          <w:szCs w:val="24"/>
          <w:vertAlign w:val="subscript"/>
          <w14:textFill>
            <w14:solidFill>
              <w14:schemeClr w14:val="tx1"/>
            </w14:solidFill>
          </w14:textFill>
        </w:rPr>
        <w:t>i</w:t>
      </w:r>
      <w:r>
        <w:rPr>
          <w:rFonts w:ascii="Times New Roman" w:hAnsi="Times New Roman" w:eastAsiaTheme="minorEastAsia"/>
          <w:color w:val="000000" w:themeColor="text1"/>
          <w:szCs w:val="24"/>
          <w14:textFill>
            <w14:solidFill>
              <w14:schemeClr w14:val="tx1"/>
            </w14:solidFill>
          </w14:textFill>
        </w:rPr>
        <w:t>—</w:t>
      </w:r>
      <w:r>
        <w:rPr>
          <w:rFonts w:ascii="Times New Roman" w:hAnsiTheme="minorEastAsia" w:eastAsiaTheme="minorEastAsia"/>
          <w:color w:val="000000" w:themeColor="text1"/>
          <w:szCs w:val="24"/>
          <w14:textFill>
            <w14:solidFill>
              <w14:schemeClr w14:val="tx1"/>
            </w14:solidFill>
          </w14:textFill>
        </w:rPr>
        <w:t>某污染物的实际浓度，</w:t>
      </w:r>
      <w:r>
        <w:rPr>
          <w:rFonts w:ascii="Times New Roman" w:hAnsi="Times New Roman" w:eastAsiaTheme="minorEastAsia"/>
          <w:color w:val="000000" w:themeColor="text1"/>
          <w:szCs w:val="24"/>
          <w14:textFill>
            <w14:solidFill>
              <w14:schemeClr w14:val="tx1"/>
            </w14:solidFill>
          </w14:textFill>
        </w:rPr>
        <w:t>mg/L</w:t>
      </w:r>
      <w:r>
        <w:rPr>
          <w:rFonts w:ascii="Times New Roman" w:hAnsiTheme="minorEastAsia" w:eastAsiaTheme="minorEastAsia"/>
          <w:color w:val="000000" w:themeColor="text1"/>
          <w:szCs w:val="24"/>
          <w14:textFill>
            <w14:solidFill>
              <w14:schemeClr w14:val="tx1"/>
            </w14:solidFill>
          </w14:textFill>
        </w:rPr>
        <w:t>；</w:t>
      </w:r>
    </w:p>
    <w:p>
      <w:pPr>
        <w:pStyle w:val="339"/>
        <w:spacing w:line="520" w:lineRule="exact"/>
        <w:ind w:firstLine="480"/>
        <w:jc w:val="left"/>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C</w:t>
      </w:r>
      <w:r>
        <w:rPr>
          <w:rFonts w:ascii="Times New Roman" w:hAnsi="Times New Roman" w:eastAsiaTheme="minorEastAsia"/>
          <w:color w:val="000000" w:themeColor="text1"/>
          <w:szCs w:val="24"/>
          <w:vertAlign w:val="subscript"/>
          <w14:textFill>
            <w14:solidFill>
              <w14:schemeClr w14:val="tx1"/>
            </w14:solidFill>
          </w14:textFill>
        </w:rPr>
        <w:t>si</w:t>
      </w:r>
      <w:r>
        <w:rPr>
          <w:rFonts w:ascii="Times New Roman" w:hAnsi="Times New Roman" w:eastAsiaTheme="minorEastAsia"/>
          <w:color w:val="000000" w:themeColor="text1"/>
          <w:szCs w:val="24"/>
          <w14:textFill>
            <w14:solidFill>
              <w14:schemeClr w14:val="tx1"/>
            </w14:solidFill>
          </w14:textFill>
        </w:rPr>
        <w:t>—</w:t>
      </w:r>
      <w:r>
        <w:rPr>
          <w:rFonts w:ascii="Times New Roman" w:hAnsiTheme="minorEastAsia" w:eastAsiaTheme="minorEastAsia"/>
          <w:color w:val="000000" w:themeColor="text1"/>
          <w:szCs w:val="24"/>
          <w14:textFill>
            <w14:solidFill>
              <w14:schemeClr w14:val="tx1"/>
            </w14:solidFill>
          </w14:textFill>
        </w:rPr>
        <w:t>某污染物的评价标准限值，</w:t>
      </w:r>
      <w:r>
        <w:rPr>
          <w:rFonts w:ascii="Times New Roman" w:hAnsi="Times New Roman" w:eastAsiaTheme="minorEastAsia"/>
          <w:color w:val="000000" w:themeColor="text1"/>
          <w:szCs w:val="24"/>
          <w14:textFill>
            <w14:solidFill>
              <w14:schemeClr w14:val="tx1"/>
            </w14:solidFill>
          </w14:textFill>
        </w:rPr>
        <w:t>mg/L</w:t>
      </w:r>
      <w:r>
        <w:rPr>
          <w:rFonts w:ascii="Times New Roman" w:hAnsiTheme="minorEastAsia" w:eastAsiaTheme="minorEastAsia"/>
          <w:color w:val="000000" w:themeColor="text1"/>
          <w:szCs w:val="24"/>
          <w14:textFill>
            <w14:solidFill>
              <w14:schemeClr w14:val="tx1"/>
            </w14:solidFill>
          </w14:textFill>
        </w:rPr>
        <w:t>；</w:t>
      </w:r>
    </w:p>
    <w:p>
      <w:pPr>
        <w:pStyle w:val="339"/>
        <w:spacing w:line="520" w:lineRule="exact"/>
        <w:ind w:firstLine="480"/>
        <w:jc w:val="left"/>
        <w:rPr>
          <w:rFonts w:ascii="Times New Roman" w:hAnsi="Times New Roman" w:eastAsiaTheme="minorEastAsia"/>
          <w:color w:val="000000" w:themeColor="text1"/>
          <w:szCs w:val="24"/>
          <w14:textFill>
            <w14:solidFill>
              <w14:schemeClr w14:val="tx1"/>
            </w14:solidFill>
          </w14:textFill>
        </w:rPr>
      </w:pPr>
      <w:r>
        <w:rPr>
          <w:rFonts w:ascii="Times New Roman" w:hAnsiTheme="minorEastAsia" w:eastAsiaTheme="minorEastAsia"/>
          <w:color w:val="000000" w:themeColor="text1"/>
          <w:szCs w:val="24"/>
          <w14:textFill>
            <w14:solidFill>
              <w14:schemeClr w14:val="tx1"/>
            </w14:solidFill>
          </w14:textFill>
        </w:rPr>
        <w:t>对于以评价标准为区间值的水质参数</w:t>
      </w:r>
      <w:r>
        <w:rPr>
          <w:rFonts w:ascii="Times New Roman" w:hAnsi="Times New Roman" w:eastAsiaTheme="minorEastAsia"/>
          <w:color w:val="000000" w:themeColor="text1"/>
          <w:szCs w:val="24"/>
          <w14:textFill>
            <w14:solidFill>
              <w14:schemeClr w14:val="tx1"/>
            </w14:solidFill>
          </w14:textFill>
        </w:rPr>
        <w:t>(pH</w:t>
      </w:r>
      <w:r>
        <w:rPr>
          <w:rFonts w:ascii="Times New Roman" w:hAnsiTheme="minorEastAsia" w:eastAsiaTheme="minorEastAsia"/>
          <w:color w:val="000000" w:themeColor="text1"/>
          <w:szCs w:val="24"/>
          <w14:textFill>
            <w14:solidFill>
              <w14:schemeClr w14:val="tx1"/>
            </w14:solidFill>
          </w14:textFill>
        </w:rPr>
        <w:t>为</w:t>
      </w:r>
      <w:r>
        <w:rPr>
          <w:rFonts w:ascii="Times New Roman" w:hAnsi="Times New Roman" w:eastAsiaTheme="minorEastAsia"/>
          <w:color w:val="000000" w:themeColor="text1"/>
          <w:szCs w:val="24"/>
          <w14:textFill>
            <w14:solidFill>
              <w14:schemeClr w14:val="tx1"/>
            </w14:solidFill>
          </w14:textFill>
        </w:rPr>
        <w:t>6.5-8.5)</w:t>
      </w:r>
      <w:r>
        <w:rPr>
          <w:rFonts w:ascii="Times New Roman" w:hAnsiTheme="minorEastAsia" w:eastAsiaTheme="minorEastAsia"/>
          <w:color w:val="000000" w:themeColor="text1"/>
          <w:szCs w:val="24"/>
          <w14:textFill>
            <w14:solidFill>
              <w14:schemeClr w14:val="tx1"/>
            </w14:solidFill>
          </w14:textFill>
        </w:rPr>
        <w:t>时，其单项指数式为：</w:t>
      </w: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pStyle w:val="107"/>
        <w:rPr>
          <w:rFonts w:ascii="Times New Roman" w:hAnsiTheme="minorEastAsia" w:eastAsiaTheme="minorEastAsia"/>
          <w:color w:val="000000" w:themeColor="text1"/>
          <w14:textFill>
            <w14:solidFill>
              <w14:schemeClr w14:val="tx1"/>
            </w14:solidFill>
          </w14:textFill>
        </w:rPr>
      </w:pPr>
    </w:p>
    <w:p>
      <w:pPr>
        <w:rPr>
          <w:rFonts w:ascii="Times New Roman" w:hAnsiTheme="minorEastAsia" w:eastAsiaTheme="minorEastAsia"/>
          <w:color w:val="000000" w:themeColor="text1"/>
          <w:sz w:val="24"/>
          <w:szCs w:val="24"/>
          <w14:textFill>
            <w14:solidFill>
              <w14:schemeClr w14:val="tx1"/>
            </w14:solidFill>
          </w14:textFill>
        </w:rPr>
      </w:pPr>
    </w:p>
    <w:p>
      <w:pPr>
        <w:pStyle w:val="107"/>
        <w:rPr>
          <w:rFonts w:ascii="Times New Roman" w:hAnsiTheme="minorEastAsia" w:eastAsiaTheme="minorEastAsia"/>
          <w:color w:val="000000" w:themeColor="text1"/>
          <w14:textFill>
            <w14:solidFill>
              <w14:schemeClr w14:val="tx1"/>
            </w14:solidFill>
          </w14:textFill>
        </w:rPr>
      </w:pPr>
    </w:p>
    <w:p>
      <w:pPr>
        <w:rPr>
          <w:rFonts w:ascii="Times New Roman" w:hAnsiTheme="minorEastAsia" w:eastAsiaTheme="minorEastAsia"/>
          <w:color w:val="000000" w:themeColor="text1"/>
          <w:sz w:val="24"/>
          <w:szCs w:val="24"/>
          <w14:textFill>
            <w14:solidFill>
              <w14:schemeClr w14:val="tx1"/>
            </w14:solidFill>
          </w14:textFill>
        </w:rPr>
      </w:pPr>
    </w:p>
    <w:p>
      <w:pPr>
        <w:pStyle w:val="107"/>
        <w:rPr>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mc:AlternateContent>
          <mc:Choice Requires="wpg">
            <w:drawing>
              <wp:anchor distT="0" distB="0" distL="114300" distR="114300" simplePos="0" relativeHeight="251680768" behindDoc="0" locked="0" layoutInCell="1" allowOverlap="1">
                <wp:simplePos x="0" y="0"/>
                <wp:positionH relativeFrom="column">
                  <wp:posOffset>1426210</wp:posOffset>
                </wp:positionH>
                <wp:positionV relativeFrom="paragraph">
                  <wp:posOffset>67310</wp:posOffset>
                </wp:positionV>
                <wp:extent cx="2148205" cy="889000"/>
                <wp:effectExtent l="0" t="0" r="80645" b="6350"/>
                <wp:wrapNone/>
                <wp:docPr id="41" name="组合 78"/>
                <wp:cNvGraphicFramePr/>
                <a:graphic xmlns:a="http://schemas.openxmlformats.org/drawingml/2006/main">
                  <a:graphicData uri="http://schemas.microsoft.com/office/word/2010/wordprocessingGroup">
                    <wpg:wgp>
                      <wpg:cNvGrpSpPr/>
                      <wpg:grpSpPr>
                        <a:xfrm>
                          <a:off x="0" y="0"/>
                          <a:ext cx="2148205" cy="889000"/>
                          <a:chOff x="64" y="10287"/>
                          <a:chExt cx="33" cy="14"/>
                        </a:xfrm>
                        <a:effectLst/>
                      </wpg:grpSpPr>
                      <pic:pic xmlns:pic="http://schemas.openxmlformats.org/drawingml/2006/picture">
                        <pic:nvPicPr>
                          <pic:cNvPr id="42" name="对象 79"/>
                          <pic:cNvPicPr>
                            <a:picLocks noChangeAspect="1"/>
                          </pic:cNvPicPr>
                        </pic:nvPicPr>
                        <pic:blipFill>
                          <a:blip r:embed="rId19"/>
                          <a:stretch>
                            <a:fillRect/>
                          </a:stretch>
                        </pic:blipFill>
                        <pic:spPr>
                          <a:xfrm>
                            <a:off x="64" y="10287"/>
                            <a:ext cx="17" cy="14"/>
                          </a:xfrm>
                          <a:prstGeom prst="rect">
                            <a:avLst/>
                          </a:prstGeom>
                          <a:noFill/>
                          <a:ln>
                            <a:noFill/>
                          </a:ln>
                          <a:effectLst/>
                        </pic:spPr>
                      </pic:pic>
                      <pic:pic xmlns:pic="http://schemas.openxmlformats.org/drawingml/2006/picture">
                        <pic:nvPicPr>
                          <pic:cNvPr id="43" name="对象 27"/>
                          <pic:cNvPicPr>
                            <a:picLocks noChangeAspect="1"/>
                          </pic:cNvPicPr>
                        </pic:nvPicPr>
                        <pic:blipFill>
                          <a:blip r:embed="rId20"/>
                          <a:stretch>
                            <a:fillRect/>
                          </a:stretch>
                        </pic:blipFill>
                        <pic:spPr>
                          <a:xfrm>
                            <a:off x="88" y="10288"/>
                            <a:ext cx="10" cy="12"/>
                          </a:xfrm>
                          <a:prstGeom prst="rect">
                            <a:avLst/>
                          </a:prstGeom>
                          <a:noFill/>
                          <a:ln>
                            <a:noFill/>
                          </a:ln>
                          <a:effectLst/>
                        </pic:spPr>
                      </pic:pic>
                    </wpg:wgp>
                  </a:graphicData>
                </a:graphic>
              </wp:anchor>
            </w:drawing>
          </mc:Choice>
          <mc:Fallback>
            <w:pict>
              <v:group id="组合 78" o:spid="_x0000_s1026" o:spt="203" style="position:absolute;left:0pt;margin-left:112.3pt;margin-top:5.3pt;height:70pt;width:169.15pt;z-index:251680768;mso-width-relative:page;mso-height-relative:page;" coordorigin="64,10287" coordsize="33,14" o:gfxdata="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">
                <o:lock v:ext="edit" aspectratio="f"/>
                <v:shape id="对象 79" o:spid="_x0000_s1026" o:spt="75" type="#_x0000_t75" style="position:absolute;left:64;top:10287;height:14;width:17;" filled="f" o:preferrelative="t" stroked="f" coordsize="21600,21600" o:gfxdata="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BvjL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对象 27" o:spid="_x0000_s1026" o:spt="75" type="#_x0000_t75" style="position:absolute;left:88;top:10288;height:12;width:10;" filled="f" o:preferrelative="t" stroked="f" coordsize="21600,21600" o:gfxdata="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fLeW8AAAA&#10;2wAAAA8AAAAAAAAAAQAgAAAAIgAAAGRycy9kb3ducmV2LnhtbFBLAQIUABQAAAAIAIdO4kAzLwWe&#10;OwAAADkAAAAQAAAAAAAAAAEAIAAAAAsBAABkcnMvc2hhcGV4bWwueG1sUEsFBgAAAAAGAAYAWwEA&#10;ALUDAAAAAA==&#10;">
                  <v:fill on="f" focussize="0,0"/>
                  <v:stroke on="f"/>
                  <v:imagedata r:id="rId20" o:title=""/>
                  <o:lock v:ext="edit" aspectratio="t"/>
                </v:shape>
              </v:group>
            </w:pict>
          </mc:Fallback>
        </mc:AlternateContent>
      </w: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pStyle w:val="339"/>
        <w:spacing w:line="520" w:lineRule="exact"/>
        <w:ind w:firstLine="1200" w:firstLineChars="500"/>
        <w:jc w:val="left"/>
        <w:rPr>
          <w:rFonts w:ascii="Times New Roman" w:hAnsi="Times New Roman" w:eastAsiaTheme="minorEastAsia"/>
          <w:color w:val="000000" w:themeColor="text1"/>
          <w:szCs w:val="24"/>
          <w14:textFill>
            <w14:solidFill>
              <w14:schemeClr w14:val="tx1"/>
            </w14:solidFill>
          </w14:textFill>
        </w:rPr>
      </w:pPr>
      <w:r>
        <w:rPr>
          <w:rFonts w:hint="eastAsia" w:ascii="Times New Roman" w:hAnsiTheme="minorEastAsia" w:eastAsiaTheme="minorEastAsia"/>
          <w:color w:val="000000" w:themeColor="text1"/>
          <w:szCs w:val="24"/>
          <w14:textFill>
            <w14:solidFill>
              <w14:schemeClr w14:val="tx1"/>
            </w14:solidFill>
          </w14:textFill>
        </w:rPr>
        <w:tab/>
      </w:r>
      <w:r>
        <w:rPr>
          <w:rFonts w:ascii="Times New Roman" w:hAnsi="Times New Roman" w:eastAsiaTheme="minorEastAsia"/>
          <w:color w:val="000000" w:themeColor="text1"/>
          <w:szCs w:val="24"/>
          <w14:textFill>
            <w14:solidFill>
              <w14:schemeClr w14:val="tx1"/>
            </w14:solidFill>
          </w14:textFill>
        </w:rPr>
        <w:t>pH</w:t>
      </w:r>
      <w:r>
        <w:rPr>
          <w:rFonts w:ascii="Times New Roman" w:hAnsiTheme="minorEastAsia" w:eastAsiaTheme="minorEastAsia"/>
          <w:color w:val="000000" w:themeColor="text1"/>
          <w:szCs w:val="24"/>
          <w14:textFill>
            <w14:solidFill>
              <w14:schemeClr w14:val="tx1"/>
            </w14:solidFill>
          </w14:textFill>
        </w:rPr>
        <w:t>的标准指数为：</w:t>
      </w:r>
    </w:p>
    <w:p>
      <w:pPr>
        <w:pStyle w:val="339"/>
        <w:spacing w:line="520" w:lineRule="exact"/>
        <w:ind w:firstLine="1200" w:firstLineChars="500"/>
        <w:jc w:val="left"/>
        <w:rPr>
          <w:rFonts w:ascii="Times New Roman" w:hAnsi="Times New Roman" w:eastAsiaTheme="minorEastAsia"/>
          <w:color w:val="000000" w:themeColor="text1"/>
          <w:szCs w:val="24"/>
          <w14:textFill>
            <w14:solidFill>
              <w14:schemeClr w14:val="tx1"/>
            </w14:solidFill>
          </w14:textFill>
        </w:rPr>
      </w:pPr>
      <w:r>
        <w:rPr>
          <w:rFonts w:ascii="Times New Roman" w:hAnsiTheme="minorEastAsia" w:eastAsiaTheme="minorEastAsia"/>
          <w:color w:val="000000" w:themeColor="text1"/>
          <w:szCs w:val="24"/>
          <w14:textFill>
            <w14:solidFill>
              <w14:schemeClr w14:val="tx1"/>
            </w14:solidFill>
          </w14:textFill>
        </w:rPr>
        <w:t>式中：</w:t>
      </w:r>
      <w:r>
        <w:rPr>
          <w:rFonts w:ascii="Times New Roman" w:hAnsi="Times New Roman" w:eastAsiaTheme="minorEastAsia"/>
          <w:color w:val="000000" w:themeColor="text1"/>
          <w:szCs w:val="24"/>
          <w14:textFill>
            <w14:solidFill>
              <w14:schemeClr w14:val="tx1"/>
            </w14:solidFill>
          </w14:textFill>
        </w:rPr>
        <w:t>S</w:t>
      </w:r>
      <w:r>
        <w:rPr>
          <w:rFonts w:ascii="Times New Roman" w:hAnsi="Times New Roman" w:eastAsiaTheme="minorEastAsia"/>
          <w:color w:val="000000" w:themeColor="text1"/>
          <w:szCs w:val="24"/>
          <w:vertAlign w:val="subscript"/>
          <w14:textFill>
            <w14:solidFill>
              <w14:schemeClr w14:val="tx1"/>
            </w14:solidFill>
          </w14:textFill>
        </w:rPr>
        <w:t>PH</w:t>
      </w:r>
      <w:r>
        <w:rPr>
          <w:rFonts w:ascii="Times New Roman" w:hAnsiTheme="minorEastAsia" w:eastAsiaTheme="minorEastAsia"/>
          <w:color w:val="000000" w:themeColor="text1"/>
          <w:szCs w:val="24"/>
          <w:vertAlign w:val="subscript"/>
          <w14:textFill>
            <w14:solidFill>
              <w14:schemeClr w14:val="tx1"/>
            </w14:solidFill>
          </w14:textFill>
        </w:rPr>
        <w:t>，</w:t>
      </w:r>
      <w:r>
        <w:rPr>
          <w:rFonts w:ascii="Times New Roman" w:hAnsi="Times New Roman" w:eastAsiaTheme="minorEastAsia"/>
          <w:color w:val="000000" w:themeColor="text1"/>
          <w:szCs w:val="24"/>
          <w:vertAlign w:val="subscript"/>
          <w14:textFill>
            <w14:solidFill>
              <w14:schemeClr w14:val="tx1"/>
            </w14:solidFill>
          </w14:textFill>
        </w:rPr>
        <w:t>j</w:t>
      </w:r>
      <w:r>
        <w:rPr>
          <w:rFonts w:ascii="Times New Roman" w:hAnsi="Times New Roman" w:eastAsiaTheme="minorEastAsia"/>
          <w:color w:val="000000" w:themeColor="text1"/>
          <w:szCs w:val="24"/>
          <w14:textFill>
            <w14:solidFill>
              <w14:schemeClr w14:val="tx1"/>
            </w14:solidFill>
          </w14:textFill>
        </w:rPr>
        <w:t>—pH</w:t>
      </w:r>
      <w:r>
        <w:rPr>
          <w:rFonts w:ascii="Times New Roman" w:hAnsiTheme="minorEastAsia" w:eastAsiaTheme="minorEastAsia"/>
          <w:color w:val="000000" w:themeColor="text1"/>
          <w:szCs w:val="24"/>
          <w14:textFill>
            <w14:solidFill>
              <w14:schemeClr w14:val="tx1"/>
            </w14:solidFill>
          </w14:textFill>
        </w:rPr>
        <w:t>标准指数；</w:t>
      </w:r>
    </w:p>
    <w:p>
      <w:pPr>
        <w:pStyle w:val="339"/>
        <w:spacing w:line="520" w:lineRule="exact"/>
        <w:ind w:firstLine="1920" w:firstLineChars="800"/>
        <w:jc w:val="left"/>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pH</w:t>
      </w:r>
      <w:r>
        <w:rPr>
          <w:rFonts w:ascii="Times New Roman" w:hAnsi="Times New Roman" w:eastAsiaTheme="minorEastAsia"/>
          <w:color w:val="000000" w:themeColor="text1"/>
          <w:szCs w:val="24"/>
          <w:vertAlign w:val="subscript"/>
          <w14:textFill>
            <w14:solidFill>
              <w14:schemeClr w14:val="tx1"/>
            </w14:solidFill>
          </w14:textFill>
        </w:rPr>
        <w:t>j</w:t>
      </w:r>
      <w:r>
        <w:rPr>
          <w:rFonts w:ascii="Times New Roman" w:hAnsi="Times New Roman" w:eastAsiaTheme="minorEastAsia"/>
          <w:color w:val="000000" w:themeColor="text1"/>
          <w:szCs w:val="24"/>
          <w14:textFill>
            <w14:solidFill>
              <w14:schemeClr w14:val="tx1"/>
            </w14:solidFill>
          </w14:textFill>
        </w:rPr>
        <w:t>—j</w:t>
      </w:r>
      <w:r>
        <w:rPr>
          <w:rFonts w:ascii="Times New Roman" w:hAnsiTheme="minorEastAsia" w:eastAsiaTheme="minorEastAsia"/>
          <w:color w:val="000000" w:themeColor="text1"/>
          <w:szCs w:val="24"/>
          <w14:textFill>
            <w14:solidFill>
              <w14:schemeClr w14:val="tx1"/>
            </w14:solidFill>
          </w14:textFill>
        </w:rPr>
        <w:t>点实测</w:t>
      </w:r>
      <w:r>
        <w:rPr>
          <w:rFonts w:ascii="Times New Roman" w:hAnsi="Times New Roman" w:eastAsiaTheme="minorEastAsia"/>
          <w:color w:val="000000" w:themeColor="text1"/>
          <w:szCs w:val="24"/>
          <w14:textFill>
            <w14:solidFill>
              <w14:schemeClr w14:val="tx1"/>
            </w14:solidFill>
          </w14:textFill>
        </w:rPr>
        <w:t>pH</w:t>
      </w:r>
      <w:r>
        <w:rPr>
          <w:rFonts w:ascii="Times New Roman" w:hAnsiTheme="minorEastAsia" w:eastAsiaTheme="minorEastAsia"/>
          <w:color w:val="000000" w:themeColor="text1"/>
          <w:szCs w:val="24"/>
          <w14:textFill>
            <w14:solidFill>
              <w14:schemeClr w14:val="tx1"/>
            </w14:solidFill>
          </w14:textFill>
        </w:rPr>
        <w:t>值；</w:t>
      </w:r>
    </w:p>
    <w:p>
      <w:pPr>
        <w:pStyle w:val="339"/>
        <w:spacing w:line="520" w:lineRule="exact"/>
        <w:ind w:firstLine="1920" w:firstLineChars="800"/>
        <w:jc w:val="left"/>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pH</w:t>
      </w:r>
      <w:r>
        <w:rPr>
          <w:rFonts w:ascii="Times New Roman" w:hAnsi="Times New Roman" w:eastAsiaTheme="minorEastAsia"/>
          <w:color w:val="000000" w:themeColor="text1"/>
          <w:szCs w:val="24"/>
          <w:vertAlign w:val="subscript"/>
          <w14:textFill>
            <w14:solidFill>
              <w14:schemeClr w14:val="tx1"/>
            </w14:solidFill>
          </w14:textFill>
        </w:rPr>
        <w:t>sd</w:t>
      </w:r>
      <w:r>
        <w:rPr>
          <w:rFonts w:ascii="Times New Roman" w:hAnsi="Times New Roman" w:eastAsiaTheme="minorEastAsia"/>
          <w:color w:val="000000" w:themeColor="text1"/>
          <w:szCs w:val="24"/>
          <w14:textFill>
            <w14:solidFill>
              <w14:schemeClr w14:val="tx1"/>
            </w14:solidFill>
          </w14:textFill>
        </w:rPr>
        <w:t>—</w:t>
      </w:r>
      <w:r>
        <w:rPr>
          <w:rFonts w:ascii="Times New Roman" w:hAnsiTheme="minorEastAsia" w:eastAsiaTheme="minorEastAsia"/>
          <w:color w:val="000000" w:themeColor="text1"/>
          <w:szCs w:val="24"/>
          <w14:textFill>
            <w14:solidFill>
              <w14:schemeClr w14:val="tx1"/>
            </w14:solidFill>
          </w14:textFill>
        </w:rPr>
        <w:t>标准中</w:t>
      </w:r>
      <w:r>
        <w:rPr>
          <w:rFonts w:ascii="Times New Roman" w:hAnsi="Times New Roman" w:eastAsiaTheme="minorEastAsia"/>
          <w:color w:val="000000" w:themeColor="text1"/>
          <w:szCs w:val="24"/>
          <w14:textFill>
            <w14:solidFill>
              <w14:schemeClr w14:val="tx1"/>
            </w14:solidFill>
          </w14:textFill>
        </w:rPr>
        <w:t>pH</w:t>
      </w:r>
      <w:r>
        <w:rPr>
          <w:rFonts w:ascii="Times New Roman" w:hAnsiTheme="minorEastAsia" w:eastAsiaTheme="minorEastAsia"/>
          <w:color w:val="000000" w:themeColor="text1"/>
          <w:szCs w:val="24"/>
          <w14:textFill>
            <w14:solidFill>
              <w14:schemeClr w14:val="tx1"/>
            </w14:solidFill>
          </w14:textFill>
        </w:rPr>
        <w:t>的下限值</w:t>
      </w:r>
      <w:r>
        <w:rPr>
          <w:rFonts w:ascii="Times New Roman" w:hAnsi="Times New Roman" w:eastAsiaTheme="minorEastAsia"/>
          <w:color w:val="000000" w:themeColor="text1"/>
          <w:szCs w:val="24"/>
          <w14:textFill>
            <w14:solidFill>
              <w14:schemeClr w14:val="tx1"/>
            </w14:solidFill>
          </w14:textFill>
        </w:rPr>
        <w:t>(6.5)</w:t>
      </w:r>
      <w:r>
        <w:rPr>
          <w:rFonts w:ascii="Times New Roman" w:hAnsiTheme="minorEastAsia" w:eastAsiaTheme="minorEastAsia"/>
          <w:color w:val="000000" w:themeColor="text1"/>
          <w:szCs w:val="24"/>
          <w14:textFill>
            <w14:solidFill>
              <w14:schemeClr w14:val="tx1"/>
            </w14:solidFill>
          </w14:textFill>
        </w:rPr>
        <w:t>；</w:t>
      </w:r>
    </w:p>
    <w:p>
      <w:pPr>
        <w:pStyle w:val="339"/>
        <w:spacing w:line="520" w:lineRule="exact"/>
        <w:ind w:firstLine="1920" w:firstLineChars="800"/>
        <w:jc w:val="left"/>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pH</w:t>
      </w:r>
      <w:r>
        <w:rPr>
          <w:rFonts w:ascii="Times New Roman" w:hAnsi="Times New Roman" w:eastAsiaTheme="minorEastAsia"/>
          <w:color w:val="000000" w:themeColor="text1"/>
          <w:szCs w:val="24"/>
          <w:vertAlign w:val="subscript"/>
          <w14:textFill>
            <w14:solidFill>
              <w14:schemeClr w14:val="tx1"/>
            </w14:solidFill>
          </w14:textFill>
        </w:rPr>
        <w:t>su</w:t>
      </w:r>
      <w:r>
        <w:rPr>
          <w:rFonts w:ascii="Times New Roman" w:hAnsi="Times New Roman" w:eastAsiaTheme="minorEastAsia"/>
          <w:color w:val="000000" w:themeColor="text1"/>
          <w:szCs w:val="24"/>
          <w14:textFill>
            <w14:solidFill>
              <w14:schemeClr w14:val="tx1"/>
            </w14:solidFill>
          </w14:textFill>
        </w:rPr>
        <w:t>—</w:t>
      </w:r>
      <w:r>
        <w:rPr>
          <w:rFonts w:ascii="Times New Roman" w:hAnsiTheme="minorEastAsia" w:eastAsiaTheme="minorEastAsia"/>
          <w:color w:val="000000" w:themeColor="text1"/>
          <w:szCs w:val="24"/>
          <w14:textFill>
            <w14:solidFill>
              <w14:schemeClr w14:val="tx1"/>
            </w14:solidFill>
          </w14:textFill>
        </w:rPr>
        <w:t>标准中</w:t>
      </w:r>
      <w:r>
        <w:rPr>
          <w:rFonts w:ascii="Times New Roman" w:hAnsi="Times New Roman" w:eastAsiaTheme="minorEastAsia"/>
          <w:color w:val="000000" w:themeColor="text1"/>
          <w:szCs w:val="24"/>
          <w14:textFill>
            <w14:solidFill>
              <w14:schemeClr w14:val="tx1"/>
            </w14:solidFill>
          </w14:textFill>
        </w:rPr>
        <w:t>pH</w:t>
      </w:r>
      <w:r>
        <w:rPr>
          <w:rFonts w:ascii="Times New Roman" w:hAnsiTheme="minorEastAsia" w:eastAsiaTheme="minorEastAsia"/>
          <w:color w:val="000000" w:themeColor="text1"/>
          <w:szCs w:val="24"/>
          <w14:textFill>
            <w14:solidFill>
              <w14:schemeClr w14:val="tx1"/>
            </w14:solidFill>
          </w14:textFill>
        </w:rPr>
        <w:t>的上限值</w:t>
      </w:r>
      <w:r>
        <w:rPr>
          <w:rFonts w:ascii="Times New Roman" w:hAnsi="Times New Roman" w:eastAsiaTheme="minorEastAsia"/>
          <w:color w:val="000000" w:themeColor="text1"/>
          <w:szCs w:val="24"/>
          <w14:textFill>
            <w14:solidFill>
              <w14:schemeClr w14:val="tx1"/>
            </w14:solidFill>
          </w14:textFill>
        </w:rPr>
        <w:t>(8.5)</w:t>
      </w:r>
      <w:r>
        <w:rPr>
          <w:rFonts w:ascii="Times New Roman" w:hAnsiTheme="minorEastAsia" w:eastAsiaTheme="minorEastAsia"/>
          <w:color w:val="000000" w:themeColor="text1"/>
          <w:szCs w:val="24"/>
          <w14:textFill>
            <w14:solidFill>
              <w14:schemeClr w14:val="tx1"/>
            </w14:solidFill>
          </w14:textFill>
        </w:rPr>
        <w:t>。</w:t>
      </w:r>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监测结果及评价</w:t>
      </w:r>
    </w:p>
    <w:p>
      <w:pPr>
        <w:pStyle w:val="433"/>
        <w:spacing w:before="4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水质监测及评价结果见下表。</w:t>
      </w: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ind w:firstLine="0" w:firstLineChars="0"/>
        <w:rPr>
          <w:rFonts w:ascii="Times New Roman"/>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jc w:val="center"/>
        <w:rPr>
          <w:rFonts w:ascii="Times New Roman" w:hAnsi="Times New Roman"/>
          <w:b/>
          <w:snapToGrid w:val="0"/>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5</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10</w:t>
      </w:r>
      <w:r>
        <w:rPr>
          <w:rFonts w:ascii="Times New Roman" w:hAnsi="Times New Roman"/>
          <w:b/>
          <w:color w:val="000000" w:themeColor="text1"/>
          <w:sz w:val="24"/>
          <w:szCs w:val="24"/>
          <w14:textFill>
            <w14:solidFill>
              <w14:schemeClr w14:val="tx1"/>
            </w14:solidFill>
          </w14:textFill>
        </w:rPr>
        <w:t xml:space="preserve"> </w:t>
      </w:r>
      <w:r>
        <w:rPr>
          <w:rFonts w:ascii="Times New Roman" w:hAnsi="Times New Roman"/>
          <w:b/>
          <w:snapToGrid w:val="0"/>
          <w:color w:val="000000" w:themeColor="text1"/>
          <w:sz w:val="24"/>
          <w:szCs w:val="24"/>
          <w14:textFill>
            <w14:solidFill>
              <w14:schemeClr w14:val="tx1"/>
            </w14:solidFill>
          </w14:textFill>
        </w:rPr>
        <w:t>地下水水质监测及评价结果（单位：mg/L）</w:t>
      </w:r>
    </w:p>
    <w:tbl>
      <w:tblPr>
        <w:tblStyle w:val="87"/>
        <w:tblW w:w="141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682"/>
        <w:gridCol w:w="1194"/>
        <w:gridCol w:w="1085"/>
        <w:gridCol w:w="1221"/>
        <w:gridCol w:w="1085"/>
        <w:gridCol w:w="1176"/>
        <w:gridCol w:w="1085"/>
        <w:gridCol w:w="1176"/>
        <w:gridCol w:w="1085"/>
        <w:gridCol w:w="1176"/>
        <w:gridCol w:w="1085"/>
        <w:gridCol w:w="1221"/>
        <w:gridCol w:w="9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tblHeader/>
          <w:jc w:val="center"/>
        </w:trPr>
        <w:tc>
          <w:tcPr>
            <w:tcW w:w="682"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序号</w:t>
            </w:r>
          </w:p>
        </w:tc>
        <w:tc>
          <w:tcPr>
            <w:tcW w:w="1194"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检测项目</w:t>
            </w:r>
          </w:p>
        </w:tc>
        <w:tc>
          <w:tcPr>
            <w:tcW w:w="2306" w:type="dxa"/>
            <w:gridSpan w:val="2"/>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地下水监测点</w:t>
            </w:r>
          </w:p>
        </w:tc>
        <w:tc>
          <w:tcPr>
            <w:tcW w:w="2261" w:type="dxa"/>
            <w:gridSpan w:val="2"/>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w:t>
            </w:r>
            <w:r>
              <w:rPr>
                <w:rFonts w:ascii="Times New Roman" w:hAnsi="Times New Roman"/>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地下水监测点</w:t>
            </w:r>
          </w:p>
        </w:tc>
        <w:tc>
          <w:tcPr>
            <w:tcW w:w="2261" w:type="dxa"/>
            <w:gridSpan w:val="2"/>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地下水监测点</w:t>
            </w:r>
          </w:p>
        </w:tc>
        <w:tc>
          <w:tcPr>
            <w:tcW w:w="2261" w:type="dxa"/>
            <w:gridSpan w:val="2"/>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w:t>
            </w:r>
            <w:r>
              <w:rPr>
                <w:rFonts w:ascii="Times New Roman" w:hAnsi="Times New Roman"/>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地下水监测点</w:t>
            </w:r>
          </w:p>
        </w:tc>
        <w:tc>
          <w:tcPr>
            <w:tcW w:w="2306" w:type="dxa"/>
            <w:gridSpan w:val="2"/>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w:t>
            </w:r>
            <w:r>
              <w:rPr>
                <w:rFonts w:ascii="Times New Roman" w:hAnsi="Times New Roman"/>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地下水监测点</w:t>
            </w:r>
          </w:p>
        </w:tc>
        <w:tc>
          <w:tcPr>
            <w:tcW w:w="904"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tblHeader/>
          <w:jc w:val="center"/>
        </w:trPr>
        <w:tc>
          <w:tcPr>
            <w:tcW w:w="682" w:type="dxa"/>
            <w:vMerge w:val="continue"/>
            <w:vAlign w:val="center"/>
          </w:tcPr>
          <w:p>
            <w:pPr>
              <w:rPr>
                <w:rFonts w:ascii="Times New Roman" w:hAnsi="Times New Roman"/>
                <w:color w:val="000000" w:themeColor="text1"/>
                <w:sz w:val="18"/>
                <w:szCs w:val="18"/>
                <w14:textFill>
                  <w14:solidFill>
                    <w14:schemeClr w14:val="tx1"/>
                  </w14:solidFill>
                </w14:textFill>
              </w:rPr>
            </w:pPr>
          </w:p>
        </w:tc>
        <w:tc>
          <w:tcPr>
            <w:tcW w:w="1194" w:type="dxa"/>
            <w:vMerge w:val="continue"/>
            <w:vAlign w:val="center"/>
          </w:tcPr>
          <w:p>
            <w:pPr>
              <w:rPr>
                <w:rFonts w:ascii="Times New Roman" w:hAnsi="Times New Roman"/>
                <w:color w:val="000000" w:themeColor="text1"/>
                <w:sz w:val="18"/>
                <w:szCs w:val="18"/>
                <w14:textFill>
                  <w14:solidFill>
                    <w14:schemeClr w14:val="tx1"/>
                  </w14:solidFill>
                </w14:textFill>
              </w:rPr>
            </w:pP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检测值</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单因子指数</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检测值</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单因子指数</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检测值</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单因子指数</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检测值</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单因子指数</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检测值</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单因子指数</w:t>
            </w:r>
          </w:p>
        </w:tc>
        <w:tc>
          <w:tcPr>
            <w:tcW w:w="904" w:type="dxa"/>
            <w:vMerge w:val="continue"/>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pH</w:t>
            </w:r>
            <w:r>
              <w:rPr>
                <w:rFonts w:ascii="Times New Roman"/>
                <w:color w:val="000000" w:themeColor="text1"/>
                <w:sz w:val="18"/>
                <w:szCs w:val="18"/>
                <w14:textFill>
                  <w14:solidFill>
                    <w14:schemeClr w14:val="tx1"/>
                  </w14:solidFill>
                </w14:textFill>
              </w:rPr>
              <w:t>值</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7.42</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7.82</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8.14</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7.33</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8.41</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 xml:space="preserve"> 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总硬度</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197</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0.44</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242</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0.54</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292</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0.65</w:t>
            </w:r>
            <w:r>
              <w:rPr>
                <w:rFonts w:ascii="Times New Roman" w:hAnsi="Times New Roman"/>
                <w:color w:val="000000" w:themeColor="text1"/>
                <w:sz w:val="18"/>
                <w:szCs w:val="18"/>
                <w14:textFill>
                  <w14:solidFill>
                    <w14:schemeClr w14:val="tx1"/>
                  </w14:solidFill>
                </w14:textFill>
              </w:rPr>
              <w:t xml:space="preserve"> </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156</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0.35</w:t>
            </w:r>
            <w:r>
              <w:rPr>
                <w:rFonts w:ascii="Times New Roman" w:hAnsi="Times New Roman"/>
                <w:color w:val="000000" w:themeColor="text1"/>
                <w:sz w:val="18"/>
                <w:szCs w:val="18"/>
                <w14:textFill>
                  <w14:solidFill>
                    <w14:schemeClr w14:val="tx1"/>
                  </w14:solidFill>
                </w14:textFill>
              </w:rPr>
              <w:t xml:space="preserve"> </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242</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0.54</w:t>
            </w:r>
            <w:r>
              <w:rPr>
                <w:rFonts w:ascii="Times New Roman" w:hAnsi="Times New Roman"/>
                <w:color w:val="000000" w:themeColor="text1"/>
                <w:sz w:val="18"/>
                <w:szCs w:val="18"/>
                <w14:textFill>
                  <w14:solidFill>
                    <w14:schemeClr w14:val="tx1"/>
                  </w14:solidFill>
                </w14:textFill>
              </w:rPr>
              <w:t xml:space="preserve"> </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钙</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75</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溶解性总固体</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423</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345</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0.35</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424</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370</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0.37</w:t>
            </w:r>
            <w:r>
              <w:rPr>
                <w:rFonts w:ascii="Times New Roman" w:hAnsi="Times New Roman"/>
                <w:color w:val="000000" w:themeColor="text1"/>
                <w:sz w:val="18"/>
                <w:szCs w:val="18"/>
                <w14:textFill>
                  <w14:solidFill>
                    <w14:schemeClr w14:val="tx1"/>
                  </w14:solidFill>
                </w14:textFill>
              </w:rPr>
              <w:t xml:space="preserve"> </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460</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0.46</w:t>
            </w:r>
            <w:r>
              <w:rPr>
                <w:rFonts w:ascii="Times New Roman" w:hAnsi="Times New Roman"/>
                <w:color w:val="000000" w:themeColor="text1"/>
                <w:sz w:val="18"/>
                <w:szCs w:val="18"/>
                <w14:textFill>
                  <w14:solidFill>
                    <w14:schemeClr w14:val="tx1"/>
                  </w14:solidFill>
                </w14:textFill>
              </w:rPr>
              <w:t xml:space="preserve"> </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碳酸氢根</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201</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碳酸根</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氨氮</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0.035</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0.07</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0.165</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0.33</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0.166</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0.33</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0.162</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0.189</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0.38</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耗氧量</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r>
              <w:rPr>
                <w:rFonts w:hint="eastAsia" w:ascii="Times New Roman" w:hAnsi="Times New Roman"/>
                <w:color w:val="000000" w:themeColor="text1"/>
                <w:sz w:val="18"/>
                <w:szCs w:val="18"/>
                <w14:textFill>
                  <w14:solidFill>
                    <w14:schemeClr w14:val="tx1"/>
                  </w14:solidFill>
                </w14:textFill>
              </w:rPr>
              <w:t>.5</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0.5</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3.49</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1.16</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1.58</w:t>
            </w: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0.53</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2.04</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0.68</w:t>
            </w:r>
            <w:r>
              <w:rPr>
                <w:rFonts w:ascii="Times New Roman" w:hAnsi="Times New Roman"/>
                <w:color w:val="000000" w:themeColor="text1"/>
                <w:sz w:val="18"/>
                <w:szCs w:val="18"/>
                <w14:textFill>
                  <w14:solidFill>
                    <w14:schemeClr w14:val="tx1"/>
                  </w14:solidFill>
                </w14:textFill>
              </w:rPr>
              <w:t xml:space="preserve"> </w:t>
            </w:r>
          </w:p>
        </w:tc>
        <w:tc>
          <w:tcPr>
            <w:tcW w:w="1085" w:type="dxa"/>
            <w:shd w:val="solid" w:color="DCD8C2" w:themeColor="background2" w:themeShade="E5"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3.49</w:t>
            </w:r>
          </w:p>
        </w:tc>
        <w:tc>
          <w:tcPr>
            <w:tcW w:w="1221" w:type="dxa"/>
            <w:shd w:val="solid" w:color="DCD8C2" w:themeColor="background2" w:themeShade="E5"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1.16</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菌落总数</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总大肠菌群</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挥发酚</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氰化物</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六价铬</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氯化物</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17.8</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3.9</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13.6</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0.05</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6.9</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0.03</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7.5</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0.03</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23"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硫酸盐</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29.5</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0.03</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0.10</w:t>
            </w:r>
            <w:r>
              <w:rPr>
                <w:rFonts w:ascii="Times New Roman" w:hAnsi="Times New Roman"/>
                <w:color w:val="000000" w:themeColor="text1"/>
                <w:sz w:val="18"/>
                <w:szCs w:val="18"/>
                <w14:textFill>
                  <w14:solidFill>
                    <w14:schemeClr w14:val="tx1"/>
                  </w14:solidFill>
                </w14:textFill>
              </w:rPr>
              <w:t xml:space="preserve"> </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0.11</w:t>
            </w:r>
            <w:r>
              <w:rPr>
                <w:rFonts w:ascii="Times New Roman" w:hAnsi="Times New Roman"/>
                <w:color w:val="000000" w:themeColor="text1"/>
                <w:sz w:val="18"/>
                <w:szCs w:val="18"/>
                <w14:textFill>
                  <w14:solidFill>
                    <w14:schemeClr w14:val="tx1"/>
                  </w14:solidFill>
                </w14:textFill>
              </w:rPr>
              <w:t xml:space="preserve"> </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硝酸盐</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3.62</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0.18</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6.22</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0.31</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2.01</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0.10</w:t>
            </w:r>
            <w:r>
              <w:rPr>
                <w:rFonts w:ascii="Times New Roman" w:hAnsi="Times New Roman"/>
                <w:color w:val="000000" w:themeColor="text1"/>
                <w:sz w:val="18"/>
                <w:szCs w:val="18"/>
                <w14:textFill>
                  <w14:solidFill>
                    <w14:schemeClr w14:val="tx1"/>
                  </w14:solidFill>
                </w14:textFill>
              </w:rPr>
              <w:t xml:space="preserve"> </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4.48</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0.22</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1.87</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0.09</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17</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亚硝酸盐</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0.089</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0.09</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0.163</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0.139</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0.14</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氟化物</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0.144</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0.144</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0.163</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0.34</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0.34</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19</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砷</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0.004</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0.007</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0.70</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0.005</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0.50</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汞</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钾</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2.53</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22</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钠</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13.1</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23</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镁</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2.35</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24</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铁</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0.011</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0.04</w:t>
            </w:r>
            <w:r>
              <w:rPr>
                <w:rFonts w:ascii="Times New Roman" w:hAnsi="Times New Roman"/>
                <w:color w:val="000000" w:themeColor="text1"/>
                <w:sz w:val="18"/>
                <w:szCs w:val="18"/>
                <w14:textFill>
                  <w14:solidFill>
                    <w14:schemeClr w14:val="tx1"/>
                  </w14:solidFill>
                </w14:textFill>
              </w:rPr>
              <w:t xml:space="preserve"> </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0.002</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0.01</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锰</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铅</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0.003</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0.30</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0.004</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0.003</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0.30</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0.002</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0.20</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27</w:t>
            </w:r>
          </w:p>
        </w:tc>
        <w:tc>
          <w:tcPr>
            <w:tcW w:w="119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镉</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0.20</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w:t>
            </w:r>
          </w:p>
        </w:tc>
        <w:tc>
          <w:tcPr>
            <w:tcW w:w="1194" w:type="dxa"/>
            <w:shd w:val="clear" w:color="auto" w:fill="auto"/>
            <w:vAlign w:val="center"/>
          </w:tcPr>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铜</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0.002</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29</w:t>
            </w:r>
          </w:p>
        </w:tc>
        <w:tc>
          <w:tcPr>
            <w:tcW w:w="1194" w:type="dxa"/>
            <w:shd w:val="clear" w:color="auto" w:fill="auto"/>
            <w:vAlign w:val="center"/>
          </w:tcPr>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锌</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0.047</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0.05</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30</w:t>
            </w:r>
          </w:p>
        </w:tc>
        <w:tc>
          <w:tcPr>
            <w:tcW w:w="1194" w:type="dxa"/>
            <w:shd w:val="clear" w:color="auto" w:fill="auto"/>
            <w:vAlign w:val="center"/>
          </w:tcPr>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镍</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0.05</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68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w:t>
            </w:r>
          </w:p>
        </w:tc>
        <w:tc>
          <w:tcPr>
            <w:tcW w:w="1194" w:type="dxa"/>
            <w:shd w:val="clear" w:color="auto" w:fill="auto"/>
            <w:vAlign w:val="center"/>
          </w:tcPr>
          <w:p>
            <w:pPr>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石油类</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1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0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ND</w:t>
            </w:r>
          </w:p>
        </w:tc>
        <w:tc>
          <w:tcPr>
            <w:tcW w:w="1221"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90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0.05</w:t>
            </w:r>
          </w:p>
        </w:tc>
      </w:tr>
    </w:tbl>
    <w:p>
      <w:pPr>
        <w:pStyle w:val="433"/>
        <w:spacing w:before="4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由监测统计结果可知，</w:t>
      </w:r>
      <w:r>
        <w:rPr>
          <w:rFonts w:hint="eastAsia" w:ascii="Times New Roman"/>
          <w:color w:val="000000" w:themeColor="text1"/>
          <w14:textFill>
            <w14:solidFill>
              <w14:schemeClr w14:val="tx1"/>
            </w14:solidFill>
          </w14:textFill>
        </w:rPr>
        <w:t>除5#地下水监测点位因</w:t>
      </w:r>
      <w:r>
        <w:rPr>
          <w:rFonts w:ascii="Times New Roman"/>
          <w:color w:val="000000" w:themeColor="text1"/>
          <w14:textFill>
            <w14:solidFill>
              <w14:schemeClr w14:val="tx1"/>
            </w14:solidFill>
          </w14:textFill>
        </w:rPr>
        <w:t>受农业活动影响，有轻微的耗氧量超标</w:t>
      </w:r>
      <w:r>
        <w:rPr>
          <w:rFonts w:hint="eastAsia" w:ascii="Times New Roman"/>
          <w:color w:val="000000" w:themeColor="text1"/>
          <w14:textFill>
            <w14:solidFill>
              <w14:schemeClr w14:val="tx1"/>
            </w14:solidFill>
          </w14:textFill>
        </w:rPr>
        <w:t>外，其余监测指标</w:t>
      </w:r>
      <w:r>
        <w:rPr>
          <w:rFonts w:ascii="Times New Roman"/>
          <w:color w:val="000000" w:themeColor="text1"/>
          <w14:textFill>
            <w14:solidFill>
              <w14:schemeClr w14:val="tx1"/>
            </w14:solidFill>
          </w14:textFill>
        </w:rPr>
        <w:t>均</w:t>
      </w:r>
      <w:r>
        <w:rPr>
          <w:rFonts w:hint="eastAsia" w:ascii="Times New Roman"/>
          <w:color w:val="000000" w:themeColor="text1"/>
          <w14:textFill>
            <w14:solidFill>
              <w14:schemeClr w14:val="tx1"/>
            </w14:solidFill>
          </w14:textFill>
        </w:rPr>
        <w:t>能够满足</w:t>
      </w:r>
      <w:r>
        <w:rPr>
          <w:rFonts w:ascii="Times New Roman"/>
          <w:color w:val="000000" w:themeColor="text1"/>
          <w14:textFill>
            <w14:solidFill>
              <w14:schemeClr w14:val="tx1"/>
            </w14:solidFill>
          </w14:textFill>
        </w:rPr>
        <w:t>《地下水质量标准》（</w:t>
      </w:r>
      <w:r>
        <w:rPr>
          <w:rFonts w:ascii="Times New Roman" w:hAnsi="Times New Roman"/>
          <w:color w:val="000000" w:themeColor="text1"/>
          <w14:textFill>
            <w14:solidFill>
              <w14:schemeClr w14:val="tx1"/>
            </w14:solidFill>
          </w14:textFill>
        </w:rPr>
        <w:t>GB/T14848-1993</w:t>
      </w:r>
      <w:r>
        <w:rPr>
          <w:rFonts w:ascii="Times New Roman"/>
          <w:color w:val="000000" w:themeColor="text1"/>
          <w14:textFill>
            <w14:solidFill>
              <w14:schemeClr w14:val="tx1"/>
            </w14:solidFill>
          </w14:textFill>
        </w:rPr>
        <w:t>）Ⅲ类水质标准。</w:t>
      </w: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rPr>
          <w:rFonts w:ascii="Times New Roman"/>
          <w:color w:val="000000" w:themeColor="text1"/>
          <w14:textFill>
            <w14:solidFill>
              <w14:schemeClr w14:val="tx1"/>
            </w14:solidFill>
          </w14:textFill>
        </w:rPr>
      </w:pPr>
    </w:p>
    <w:p>
      <w:pPr>
        <w:pStyle w:val="433"/>
        <w:spacing w:before="48"/>
        <w:ind w:firstLine="0" w:firstLineChars="0"/>
        <w:rPr>
          <w:rFonts w:ascii="Times New Roman"/>
          <w:color w:val="000000" w:themeColor="text1"/>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r>
        <w:rPr>
          <w:rFonts w:hint="eastAsia" w:ascii="Times New Roman" w:hAnsi="Times New Roman" w:eastAsia="黑体" w:cs="Times New Roman"/>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cs="Times New Roman"/>
          <w:b/>
          <w:color w:val="000000" w:themeColor="text1"/>
          <w:kern w:val="0"/>
          <w:sz w:val="28"/>
          <w:szCs w:val="28"/>
          <w14:textFill>
            <w14:solidFill>
              <w14:schemeClr w14:val="tx1"/>
            </w14:solidFill>
          </w14:textFill>
        </w:rPr>
        <w:t>.3.4声环境质量现状评价</w:t>
      </w:r>
    </w:p>
    <w:p>
      <w:pPr>
        <w:autoSpaceDE w:val="0"/>
        <w:autoSpaceDN w:val="0"/>
        <w:adjustRightInd w:val="0"/>
        <w:snapToGrid w:val="0"/>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为了解项目区域环境噪声现状，本次评价</w:t>
      </w:r>
      <w:r>
        <w:rPr>
          <w:rFonts w:ascii="Times New Roman" w:hAnsi="Times New Roman"/>
          <w:snapToGrid w:val="0"/>
          <w:color w:val="000000" w:themeColor="text1"/>
          <w:sz w:val="24"/>
          <w:szCs w:val="24"/>
          <w:lang w:val="zh-CN"/>
          <w14:textFill>
            <w14:solidFill>
              <w14:schemeClr w14:val="tx1"/>
            </w14:solidFill>
          </w14:textFill>
        </w:rPr>
        <w:t>期间委托</w:t>
      </w:r>
      <w:r>
        <w:rPr>
          <w:rFonts w:hint="eastAsia" w:ascii="Times New Roman" w:hAnsi="Times New Roman"/>
          <w:color w:val="000000" w:themeColor="text1"/>
          <w:sz w:val="24"/>
          <w:szCs w:val="24"/>
          <w14:textFill>
            <w14:solidFill>
              <w14:schemeClr w14:val="tx1"/>
            </w14:solidFill>
          </w14:textFill>
        </w:rPr>
        <w:t>湖北恒驰检测技术有限公司</w:t>
      </w:r>
      <w:r>
        <w:rPr>
          <w:rFonts w:ascii="Times New Roman" w:hAnsi="Times New Roman"/>
          <w:color w:val="000000" w:themeColor="text1"/>
          <w:sz w:val="24"/>
          <w:szCs w:val="24"/>
          <w14:textFill>
            <w14:solidFill>
              <w14:schemeClr w14:val="tx1"/>
            </w14:solidFill>
          </w14:textFill>
        </w:rPr>
        <w:t>对项目所在</w:t>
      </w:r>
      <w:r>
        <w:rPr>
          <w:rFonts w:hint="eastAsia"/>
          <w:color w:val="000000" w:themeColor="text1"/>
          <w:sz w:val="24"/>
          <w:szCs w:val="24"/>
          <w14:textFill>
            <w14:solidFill>
              <w14:schemeClr w14:val="tx1"/>
            </w14:solidFill>
          </w14:textFill>
        </w:rPr>
        <w:t>厂区声环境质量进行了现状监测。</w:t>
      </w:r>
    </w:p>
    <w:p>
      <w:pPr>
        <w:autoSpaceDE w:val="0"/>
        <w:autoSpaceDN w:val="0"/>
        <w:adjustRightInd w:val="0"/>
        <w:snapToGrid w:val="0"/>
        <w:spacing w:line="520" w:lineRule="exact"/>
        <w:ind w:firstLine="480" w:firstLineChars="200"/>
        <w:rPr>
          <w:rFonts w:ascii="Times New Roman" w:hAnsi="Times New Roman" w:eastAsiaTheme="minorEastAsia"/>
          <w:color w:val="000000" w:themeColor="text1"/>
          <w:sz w:val="24"/>
          <w:szCs w:val="24"/>
          <w:lang w:val="zh-CN"/>
          <w14:textFill>
            <w14:solidFill>
              <w14:schemeClr w14:val="tx1"/>
            </w14:solidFill>
          </w14:textFill>
        </w:rPr>
      </w:pPr>
      <w:r>
        <w:rPr>
          <w:rFonts w:hint="eastAsia" w:ascii="Times New Roman" w:hAnsiTheme="minorEastAsia" w:eastAsiaTheme="minorEastAsia"/>
          <w:color w:val="000000" w:themeColor="text1"/>
          <w:sz w:val="24"/>
          <w:szCs w:val="24"/>
          <w:lang w:val="zh-CN"/>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1</w:t>
      </w:r>
      <w:r>
        <w:rPr>
          <w:rFonts w:hint="eastAsia" w:ascii="Times New Roman" w:hAnsiTheme="minorEastAsia" w:eastAsiaTheme="minorEastAsia"/>
          <w:color w:val="000000" w:themeColor="text1"/>
          <w:sz w:val="24"/>
          <w:szCs w:val="24"/>
          <w:lang w:val="zh-CN"/>
          <w14:textFill>
            <w14:solidFill>
              <w14:schemeClr w14:val="tx1"/>
            </w14:solidFill>
          </w14:textFill>
        </w:rPr>
        <w:t>）</w:t>
      </w:r>
      <w:r>
        <w:rPr>
          <w:rFonts w:ascii="Times New Roman" w:hAnsiTheme="minorEastAsia" w:eastAsiaTheme="minorEastAsia"/>
          <w:color w:val="000000" w:themeColor="text1"/>
          <w:sz w:val="24"/>
          <w:szCs w:val="24"/>
          <w:lang w:val="zh-CN"/>
          <w14:textFill>
            <w14:solidFill>
              <w14:schemeClr w14:val="tx1"/>
            </w14:solidFill>
          </w14:textFill>
        </w:rPr>
        <w:t>监测布点</w:t>
      </w:r>
    </w:p>
    <w:p>
      <w:pPr>
        <w:pStyle w:val="431"/>
        <w:spacing w:line="500" w:lineRule="exact"/>
        <w:rPr>
          <w:rFonts w:ascii="Times New Roman" w:hAnsi="Times New Roman" w:eastAsia="宋体"/>
          <w:snapToGrid w:val="0"/>
          <w:color w:val="000000" w:themeColor="text1"/>
          <w:kern w:val="2"/>
          <w14:textFill>
            <w14:solidFill>
              <w14:schemeClr w14:val="tx1"/>
            </w14:solidFill>
          </w14:textFill>
        </w:rPr>
      </w:pPr>
      <w:r>
        <w:rPr>
          <w:rFonts w:ascii="Times New Roman" w:hAnsi="Times New Roman" w:eastAsia="宋体"/>
          <w:snapToGrid w:val="0"/>
          <w:color w:val="000000" w:themeColor="text1"/>
          <w:kern w:val="2"/>
          <w14:textFill>
            <w14:solidFill>
              <w14:schemeClr w14:val="tx1"/>
            </w14:solidFill>
          </w14:textFill>
        </w:rPr>
        <w:t>依据项目噪声源分布具体情况，</w:t>
      </w:r>
      <w:r>
        <w:rPr>
          <w:rFonts w:hint="eastAsia"/>
          <w:color w:val="000000" w:themeColor="text1"/>
          <w14:textFill>
            <w14:solidFill>
              <w14:schemeClr w14:val="tx1"/>
            </w14:solidFill>
          </w14:textFill>
        </w:rPr>
        <w:t>检测单位</w:t>
      </w:r>
      <w:r>
        <w:rPr>
          <w:rFonts w:ascii="Times New Roman" w:hAnsi="Times New Roman" w:eastAsia="宋体"/>
          <w:snapToGrid w:val="0"/>
          <w:color w:val="000000" w:themeColor="text1"/>
          <w:kern w:val="2"/>
          <w14:textFill>
            <w14:solidFill>
              <w14:schemeClr w14:val="tx1"/>
            </w14:solidFill>
          </w14:textFill>
        </w:rPr>
        <w:t>在厂界外1m处布置4个监测点进行监测，各监测点具体位置见表</w:t>
      </w:r>
      <w:r>
        <w:rPr>
          <w:rFonts w:hint="eastAsia" w:ascii="Times New Roman" w:hAnsi="Times New Roman" w:eastAsia="宋体"/>
          <w:snapToGrid w:val="0"/>
          <w:color w:val="000000" w:themeColor="text1"/>
          <w:kern w:val="2"/>
          <w:lang w:val="en-US" w:eastAsia="zh-CN"/>
          <w14:textFill>
            <w14:solidFill>
              <w14:schemeClr w14:val="tx1"/>
            </w14:solidFill>
          </w14:textFill>
        </w:rPr>
        <w:t>5</w:t>
      </w:r>
      <w:r>
        <w:rPr>
          <w:rFonts w:hint="eastAsia" w:ascii="Times New Roman" w:hAnsi="Times New Roman" w:eastAsia="宋体"/>
          <w:snapToGrid w:val="0"/>
          <w:color w:val="000000" w:themeColor="text1"/>
          <w:kern w:val="2"/>
          <w14:textFill>
            <w14:solidFill>
              <w14:schemeClr w14:val="tx1"/>
            </w14:solidFill>
          </w14:textFill>
        </w:rPr>
        <w:t>.3-11</w:t>
      </w:r>
      <w:r>
        <w:rPr>
          <w:rFonts w:ascii="Times New Roman" w:hAnsi="Times New Roman" w:eastAsia="宋体"/>
          <w:snapToGrid w:val="0"/>
          <w:color w:val="000000" w:themeColor="text1"/>
          <w:kern w:val="2"/>
          <w14:textFill>
            <w14:solidFill>
              <w14:schemeClr w14:val="tx1"/>
            </w14:solidFill>
          </w14:textFill>
        </w:rPr>
        <w:t>。</w:t>
      </w:r>
    </w:p>
    <w:p>
      <w:pPr>
        <w:widowControl/>
        <w:adjustRightInd w:val="0"/>
        <w:snapToGrid w:val="0"/>
        <w:spacing w:line="520" w:lineRule="exact"/>
        <w:jc w:val="center"/>
        <w:rPr>
          <w:rFonts w:ascii="Times New Roman" w:hAnsiTheme="minorEastAsia" w:eastAsiaTheme="minorEastAsia"/>
          <w:b/>
          <w:color w:val="000000" w:themeColor="text1"/>
          <w:sz w:val="24"/>
          <w:szCs w:val="24"/>
          <w:lang w:val="zh-CN"/>
          <w14:textFill>
            <w14:solidFill>
              <w14:schemeClr w14:val="tx1"/>
            </w14:solidFill>
          </w14:textFill>
        </w:rPr>
      </w:pPr>
      <w:r>
        <w:rPr>
          <w:rFonts w:ascii="Times New Roman" w:hAnsiTheme="minorEastAsia" w:eastAsiaTheme="minorEastAsia"/>
          <w:b/>
          <w:color w:val="000000" w:themeColor="text1"/>
          <w:sz w:val="24"/>
          <w:szCs w:val="24"/>
          <w:lang w:val="zh-CN"/>
          <w14:textFill>
            <w14:solidFill>
              <w14:schemeClr w14:val="tx1"/>
            </w14:solidFill>
          </w14:textFill>
        </w:rPr>
        <w:t>表</w:t>
      </w:r>
      <w:r>
        <w:rPr>
          <w:rFonts w:hint="eastAsia" w:ascii="Times New Roman" w:hAnsiTheme="minorEastAsia" w:eastAsiaTheme="minorEastAsia"/>
          <w:b/>
          <w:color w:val="000000" w:themeColor="text1"/>
          <w:sz w:val="24"/>
          <w:szCs w:val="24"/>
          <w:lang w:val="en-US" w:eastAsia="zh-CN"/>
          <w14:textFill>
            <w14:solidFill>
              <w14:schemeClr w14:val="tx1"/>
            </w14:solidFill>
          </w14:textFill>
        </w:rPr>
        <w:t>5</w:t>
      </w:r>
      <w:r>
        <w:rPr>
          <w:rFonts w:hint="eastAsia" w:ascii="Times New Roman" w:hAnsiTheme="minorEastAsia" w:eastAsiaTheme="minorEastAsia"/>
          <w:b/>
          <w:color w:val="000000" w:themeColor="text1"/>
          <w:sz w:val="24"/>
          <w:szCs w:val="24"/>
          <w14:textFill>
            <w14:solidFill>
              <w14:schemeClr w14:val="tx1"/>
            </w14:solidFill>
          </w14:textFill>
        </w:rPr>
        <w:t>.3-11</w:t>
      </w:r>
      <w:r>
        <w:rPr>
          <w:rFonts w:ascii="Times New Roman" w:hAnsiTheme="minorEastAsia" w:eastAsiaTheme="minorEastAsia"/>
          <w:b/>
          <w:color w:val="000000" w:themeColor="text1"/>
          <w:sz w:val="24"/>
          <w:szCs w:val="24"/>
          <w:lang w:val="zh-CN"/>
          <w14:textFill>
            <w14:solidFill>
              <w14:schemeClr w14:val="tx1"/>
            </w14:solidFill>
          </w14:textFill>
        </w:rPr>
        <w:t xml:space="preserve"> </w:t>
      </w:r>
      <w:r>
        <w:rPr>
          <w:rFonts w:hint="eastAsia" w:ascii="Times New Roman" w:hAnsiTheme="minorEastAsia" w:eastAsiaTheme="minorEastAsia"/>
          <w:b/>
          <w:color w:val="000000" w:themeColor="text1"/>
          <w:sz w:val="24"/>
          <w:szCs w:val="24"/>
          <w:lang w:val="zh-CN"/>
          <w14:textFill>
            <w14:solidFill>
              <w14:schemeClr w14:val="tx1"/>
            </w14:solidFill>
          </w14:textFill>
        </w:rPr>
        <w:t xml:space="preserve"> </w:t>
      </w:r>
      <w:r>
        <w:rPr>
          <w:rFonts w:ascii="Times New Roman" w:hAnsiTheme="minorEastAsia" w:eastAsiaTheme="minorEastAsia"/>
          <w:b/>
          <w:color w:val="000000" w:themeColor="text1"/>
          <w:sz w:val="24"/>
          <w:szCs w:val="24"/>
          <w:lang w:val="zh-CN"/>
          <w14:textFill>
            <w14:solidFill>
              <w14:schemeClr w14:val="tx1"/>
            </w14:solidFill>
          </w14:textFill>
        </w:rPr>
        <w:t>声环境质量现状监测点位一览表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4721"/>
        <w:gridCol w:w="24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监测区域</w:t>
            </w:r>
          </w:p>
        </w:tc>
        <w:tc>
          <w:tcPr>
            <w:tcW w:w="4721"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监测点位置</w:t>
            </w:r>
          </w:p>
        </w:tc>
        <w:tc>
          <w:tcPr>
            <w:tcW w:w="2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2"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厂界</w:t>
            </w:r>
          </w:p>
        </w:tc>
        <w:tc>
          <w:tcPr>
            <w:tcW w:w="472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项目东侧厂界外1m处</w:t>
            </w:r>
          </w:p>
        </w:tc>
        <w:tc>
          <w:tcPr>
            <w:tcW w:w="2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2"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472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项目南侧厂界外1m处</w:t>
            </w:r>
          </w:p>
        </w:tc>
        <w:tc>
          <w:tcPr>
            <w:tcW w:w="2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2"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472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项目</w:t>
            </w:r>
            <w:r>
              <w:rPr>
                <w:rFonts w:ascii="Times New Roman" w:hAnsi="Times New Roman"/>
                <w:color w:val="000000" w:themeColor="text1"/>
                <w:sz w:val="18"/>
                <w:szCs w:val="18"/>
                <w14:textFill>
                  <w14:solidFill>
                    <w14:schemeClr w14:val="tx1"/>
                  </w14:solidFill>
                </w14:textFill>
              </w:rPr>
              <w:t>西</w:t>
            </w:r>
            <w:r>
              <w:rPr>
                <w:rFonts w:hint="eastAsia" w:ascii="Times New Roman" w:hAnsi="Times New Roman"/>
                <w:color w:val="000000" w:themeColor="text1"/>
                <w:sz w:val="18"/>
                <w:szCs w:val="18"/>
                <w14:textFill>
                  <w14:solidFill>
                    <w14:schemeClr w14:val="tx1"/>
                  </w14:solidFill>
                </w14:textFill>
              </w:rPr>
              <w:t>侧厂界外1m处</w:t>
            </w:r>
          </w:p>
        </w:tc>
        <w:tc>
          <w:tcPr>
            <w:tcW w:w="2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2"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472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项目北侧厂界外1m处</w:t>
            </w:r>
          </w:p>
        </w:tc>
        <w:tc>
          <w:tcPr>
            <w:tcW w:w="2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w:t>
            </w:r>
          </w:p>
        </w:tc>
      </w:tr>
    </w:tbl>
    <w:p>
      <w:pPr>
        <w:pStyle w:val="431"/>
        <w:spacing w:line="500" w:lineRule="exact"/>
        <w:rPr>
          <w:rFonts w:ascii="Times New Roman" w:hAnsi="Times New Roman" w:eastAsia="宋体"/>
          <w:snapToGrid w:val="0"/>
          <w:color w:val="000000" w:themeColor="text1"/>
          <w:kern w:val="2"/>
          <w14:textFill>
            <w14:solidFill>
              <w14:schemeClr w14:val="tx1"/>
            </w14:solidFill>
          </w14:textFill>
        </w:rPr>
      </w:pPr>
      <w:r>
        <w:rPr>
          <w:rFonts w:ascii="Times New Roman" w:hAnsi="Times New Roman" w:eastAsia="宋体"/>
          <w:snapToGrid w:val="0"/>
          <w:color w:val="000000" w:themeColor="text1"/>
          <w:kern w:val="2"/>
          <w14:textFill>
            <w14:solidFill>
              <w14:schemeClr w14:val="tx1"/>
            </w14:solidFill>
          </w14:textFill>
        </w:rPr>
        <w:t>（2）监测时间及频次</w:t>
      </w:r>
    </w:p>
    <w:p>
      <w:pPr>
        <w:pStyle w:val="431"/>
        <w:spacing w:line="500" w:lineRule="exact"/>
        <w:rPr>
          <w:rFonts w:ascii="Times New Roman" w:hAnsi="Times New Roman" w:eastAsia="宋体"/>
          <w:snapToGrid w:val="0"/>
          <w:color w:val="000000" w:themeColor="text1"/>
          <w:kern w:val="2"/>
          <w14:textFill>
            <w14:solidFill>
              <w14:schemeClr w14:val="tx1"/>
            </w14:solidFill>
          </w14:textFill>
        </w:rPr>
      </w:pPr>
      <w:r>
        <w:rPr>
          <w:rFonts w:ascii="Times New Roman" w:hAnsi="Times New Roman" w:eastAsia="宋体"/>
          <w:snapToGrid w:val="0"/>
          <w:color w:val="000000" w:themeColor="text1"/>
          <w:kern w:val="2"/>
          <w14:textFill>
            <w14:solidFill>
              <w14:schemeClr w14:val="tx1"/>
            </w14:solidFill>
          </w14:textFill>
        </w:rPr>
        <w:t>20</w:t>
      </w:r>
      <w:r>
        <w:rPr>
          <w:rFonts w:hint="eastAsia" w:ascii="Times New Roman" w:hAnsi="Times New Roman" w:eastAsia="宋体"/>
          <w:snapToGrid w:val="0"/>
          <w:color w:val="000000" w:themeColor="text1"/>
          <w:kern w:val="2"/>
          <w14:textFill>
            <w14:solidFill>
              <w14:schemeClr w14:val="tx1"/>
            </w14:solidFill>
          </w14:textFill>
        </w:rPr>
        <w:t>21</w:t>
      </w:r>
      <w:r>
        <w:rPr>
          <w:rFonts w:ascii="Times New Roman" w:hAnsi="Times New Roman" w:eastAsia="宋体"/>
          <w:snapToGrid w:val="0"/>
          <w:color w:val="000000" w:themeColor="text1"/>
          <w:kern w:val="2"/>
          <w14:textFill>
            <w14:solidFill>
              <w14:schemeClr w14:val="tx1"/>
            </w14:solidFill>
          </w14:textFill>
        </w:rPr>
        <w:t>年</w:t>
      </w:r>
      <w:r>
        <w:rPr>
          <w:rFonts w:hint="eastAsia" w:ascii="Times New Roman" w:hAnsi="Times New Roman" w:eastAsia="宋体"/>
          <w:snapToGrid w:val="0"/>
          <w:color w:val="000000" w:themeColor="text1"/>
          <w:kern w:val="2"/>
          <w14:textFill>
            <w14:solidFill>
              <w14:schemeClr w14:val="tx1"/>
            </w14:solidFill>
          </w14:textFill>
        </w:rPr>
        <w:t>6</w:t>
      </w:r>
      <w:r>
        <w:rPr>
          <w:rFonts w:ascii="Times New Roman" w:hAnsi="Times New Roman" w:eastAsia="宋体"/>
          <w:snapToGrid w:val="0"/>
          <w:color w:val="000000" w:themeColor="text1"/>
          <w:kern w:val="2"/>
          <w14:textFill>
            <w14:solidFill>
              <w14:schemeClr w14:val="tx1"/>
            </w14:solidFill>
          </w14:textFill>
        </w:rPr>
        <w:t>月</w:t>
      </w:r>
      <w:r>
        <w:rPr>
          <w:rFonts w:hint="eastAsia" w:ascii="Times New Roman" w:hAnsi="Times New Roman" w:eastAsia="宋体"/>
          <w:snapToGrid w:val="0"/>
          <w:color w:val="000000" w:themeColor="text1"/>
          <w:kern w:val="2"/>
          <w14:textFill>
            <w14:solidFill>
              <w14:schemeClr w14:val="tx1"/>
            </w14:solidFill>
          </w14:textFill>
        </w:rPr>
        <w:t>11</w:t>
      </w:r>
      <w:r>
        <w:rPr>
          <w:rFonts w:ascii="Times New Roman" w:hAnsi="Times New Roman" w:eastAsia="宋体"/>
          <w:snapToGrid w:val="0"/>
          <w:color w:val="000000" w:themeColor="text1"/>
          <w:kern w:val="2"/>
          <w14:textFill>
            <w14:solidFill>
              <w14:schemeClr w14:val="tx1"/>
            </w14:solidFill>
          </w14:textFill>
        </w:rPr>
        <w:t>日</w:t>
      </w:r>
      <w:r>
        <w:rPr>
          <w:rFonts w:hint="eastAsia" w:ascii="Times New Roman" w:hAnsi="Times New Roman" w:eastAsia="宋体"/>
          <w:snapToGrid w:val="0"/>
          <w:color w:val="000000" w:themeColor="text1"/>
          <w:kern w:val="2"/>
          <w14:textFill>
            <w14:solidFill>
              <w14:schemeClr w14:val="tx1"/>
            </w14:solidFill>
          </w14:textFill>
        </w:rPr>
        <w:t>和6</w:t>
      </w:r>
      <w:r>
        <w:rPr>
          <w:rFonts w:ascii="Times New Roman" w:hAnsi="Times New Roman" w:eastAsia="宋体"/>
          <w:snapToGrid w:val="0"/>
          <w:color w:val="000000" w:themeColor="text1"/>
          <w:kern w:val="2"/>
          <w14:textFill>
            <w14:solidFill>
              <w14:schemeClr w14:val="tx1"/>
            </w14:solidFill>
          </w14:textFill>
        </w:rPr>
        <w:t>月</w:t>
      </w:r>
      <w:r>
        <w:rPr>
          <w:rFonts w:hint="eastAsia" w:ascii="Times New Roman" w:hAnsi="Times New Roman" w:eastAsia="宋体"/>
          <w:snapToGrid w:val="0"/>
          <w:color w:val="000000" w:themeColor="text1"/>
          <w:kern w:val="2"/>
          <w14:textFill>
            <w14:solidFill>
              <w14:schemeClr w14:val="tx1"/>
            </w14:solidFill>
          </w14:textFill>
        </w:rPr>
        <w:t>12</w:t>
      </w:r>
      <w:r>
        <w:rPr>
          <w:rFonts w:ascii="Times New Roman" w:hAnsi="Times New Roman" w:eastAsia="宋体"/>
          <w:snapToGrid w:val="0"/>
          <w:color w:val="000000" w:themeColor="text1"/>
          <w:kern w:val="2"/>
          <w14:textFill>
            <w14:solidFill>
              <w14:schemeClr w14:val="tx1"/>
            </w14:solidFill>
          </w14:textFill>
        </w:rPr>
        <w:t>日昼、夜各监测一次。</w:t>
      </w:r>
    </w:p>
    <w:p>
      <w:pPr>
        <w:pStyle w:val="433"/>
        <w:spacing w:before="4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监测布点图如下：</w:t>
      </w:r>
    </w:p>
    <w:p>
      <w:pPr>
        <w:pStyle w:val="107"/>
        <w:rPr>
          <w:color w:val="000000" w:themeColor="text1"/>
          <w:lang w:val="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81792" behindDoc="0" locked="0" layoutInCell="1" allowOverlap="1">
            <wp:simplePos x="0" y="0"/>
            <wp:positionH relativeFrom="column">
              <wp:posOffset>9525</wp:posOffset>
            </wp:positionH>
            <wp:positionV relativeFrom="paragraph">
              <wp:posOffset>43815</wp:posOffset>
            </wp:positionV>
            <wp:extent cx="5752465" cy="3806825"/>
            <wp:effectExtent l="0" t="0" r="635" b="3175"/>
            <wp:wrapNone/>
            <wp:docPr id="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pic:cNvPicPr>
                      <a:picLocks noChangeAspect="1"/>
                    </pic:cNvPicPr>
                  </pic:nvPicPr>
                  <pic:blipFill>
                    <a:blip r:embed="rId21"/>
                    <a:stretch>
                      <a:fillRect/>
                    </a:stretch>
                  </pic:blipFill>
                  <pic:spPr>
                    <a:xfrm>
                      <a:off x="0" y="0"/>
                      <a:ext cx="5752465" cy="3806825"/>
                    </a:xfrm>
                    <a:prstGeom prst="rect">
                      <a:avLst/>
                    </a:prstGeom>
                    <a:noFill/>
                    <a:ln>
                      <a:noFill/>
                    </a:ln>
                  </pic:spPr>
                </pic:pic>
              </a:graphicData>
            </a:graphic>
          </wp:anchor>
        </w:drawing>
      </w: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pPr>
    </w:p>
    <w:p>
      <w:pPr>
        <w:autoSpaceDE w:val="0"/>
        <w:autoSpaceDN w:val="0"/>
        <w:adjustRightInd w:val="0"/>
        <w:snapToGrid w:val="0"/>
        <w:spacing w:line="520" w:lineRule="exact"/>
        <w:ind w:firstLine="2409" w:firstLineChars="1000"/>
        <w:rPr>
          <w:rFonts w:ascii="Times New Roman"/>
          <w:b/>
          <w:color w:val="000000" w:themeColor="text1"/>
          <w:sz w:val="24"/>
          <w:szCs w:val="24"/>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Times New Roman"/>
          <w:b/>
          <w:color w:val="000000" w:themeColor="text1"/>
          <w:sz w:val="24"/>
          <w:szCs w:val="24"/>
          <w14:textFill>
            <w14:solidFill>
              <w14:schemeClr w14:val="tx1"/>
            </w14:solidFill>
          </w14:textFill>
        </w:rPr>
        <w:t>图</w:t>
      </w:r>
      <w:r>
        <w:rPr>
          <w:rFonts w:hint="eastAsia" w:ascii="Times New Roman"/>
          <w:b/>
          <w:color w:val="000000" w:themeColor="text1"/>
          <w:sz w:val="24"/>
          <w:szCs w:val="24"/>
          <w:lang w:val="en-US" w:eastAsia="zh-CN"/>
          <w14:textFill>
            <w14:solidFill>
              <w14:schemeClr w14:val="tx1"/>
            </w14:solidFill>
          </w14:textFill>
        </w:rPr>
        <w:t>5</w:t>
      </w:r>
      <w:r>
        <w:rPr>
          <w:rFonts w:hint="eastAsia" w:ascii="Times New Roman"/>
          <w:b/>
          <w:color w:val="000000" w:themeColor="text1"/>
          <w:sz w:val="24"/>
          <w:szCs w:val="24"/>
          <w14:textFill>
            <w14:solidFill>
              <w14:schemeClr w14:val="tx1"/>
            </w14:solidFill>
          </w14:textFill>
        </w:rPr>
        <w:t xml:space="preserve">.3-2 厂区噪声环境现状监测布点图                        </w:t>
      </w:r>
    </w:p>
    <w:p>
      <w:pPr>
        <w:pStyle w:val="107"/>
        <w:rPr>
          <w:color w:val="000000" w:themeColor="text1"/>
          <w14:textFill>
            <w14:solidFill>
              <w14:schemeClr w14:val="tx1"/>
            </w14:solidFill>
          </w14:textFill>
        </w:rPr>
      </w:pPr>
    </w:p>
    <w:p>
      <w:pPr>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lang w:val="zh-CN"/>
          <w14:textFill>
            <w14:solidFill>
              <w14:schemeClr w14:val="tx1"/>
            </w14:solidFill>
          </w14:textFill>
        </w:rPr>
      </w:pPr>
      <w:r>
        <w:rPr>
          <w:rFonts w:hint="eastAsia" w:ascii="Times New Roman" w:hAnsi="Times New Roman" w:eastAsiaTheme="minorEastAsia"/>
          <w:color w:val="000000" w:themeColor="text1"/>
          <w:sz w:val="24"/>
          <w:lang w:val="zh-CN"/>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3</w:t>
      </w:r>
      <w:r>
        <w:rPr>
          <w:rFonts w:hint="eastAsia" w:ascii="Times New Roman" w:hAnsi="Times New Roman" w:eastAsiaTheme="minorEastAsia"/>
          <w:color w:val="000000" w:themeColor="text1"/>
          <w:sz w:val="24"/>
          <w:lang w:val="zh-CN"/>
          <w14:textFill>
            <w14:solidFill>
              <w14:schemeClr w14:val="tx1"/>
            </w14:solidFill>
          </w14:textFill>
        </w:rPr>
        <w:t>）</w:t>
      </w:r>
      <w:r>
        <w:rPr>
          <w:rFonts w:ascii="Times New Roman" w:hAnsiTheme="minorEastAsia" w:eastAsiaTheme="minorEastAsia"/>
          <w:color w:val="000000" w:themeColor="text1"/>
          <w:sz w:val="24"/>
          <w:lang w:val="zh-CN"/>
          <w14:textFill>
            <w14:solidFill>
              <w14:schemeClr w14:val="tx1"/>
            </w14:solidFill>
          </w14:textFill>
        </w:rPr>
        <w:t>监测及评价方法</w:t>
      </w:r>
    </w:p>
    <w:p>
      <w:pPr>
        <w:autoSpaceDE w:val="0"/>
        <w:autoSpaceDN w:val="0"/>
        <w:adjustRightInd w:val="0"/>
        <w:snapToGrid w:val="0"/>
        <w:spacing w:line="520" w:lineRule="exact"/>
        <w:ind w:firstLine="480" w:firstLineChars="200"/>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按照《声环境质量标准》</w:t>
      </w:r>
      <w:r>
        <w:rPr>
          <w:rFonts w:hint="eastAsia" w:ascii="Times New Roman" w:hAnsi="Times New Roman"/>
          <w:color w:val="000000" w:themeColor="text1"/>
          <w:sz w:val="24"/>
          <w:szCs w:val="24"/>
          <w:lang w:val="zh-CN"/>
          <w14:textFill>
            <w14:solidFill>
              <w14:schemeClr w14:val="tx1"/>
            </w14:solidFill>
          </w14:textFill>
        </w:rPr>
        <w:t>（</w:t>
      </w:r>
      <w:r>
        <w:rPr>
          <w:rFonts w:ascii="Times New Roman" w:hAnsi="Times New Roman"/>
          <w:color w:val="000000" w:themeColor="text1"/>
          <w:sz w:val="24"/>
          <w:szCs w:val="24"/>
          <w:lang w:val="zh-CN"/>
          <w14:textFill>
            <w14:solidFill>
              <w14:schemeClr w14:val="tx1"/>
            </w14:solidFill>
          </w14:textFill>
        </w:rPr>
        <w:t>GB3096-2008</w:t>
      </w:r>
      <w:r>
        <w:rPr>
          <w:rFonts w:hint="eastAsia" w:ascii="Times New Roman" w:hAnsi="Times New Roman"/>
          <w:color w:val="000000" w:themeColor="text1"/>
          <w:sz w:val="24"/>
          <w:szCs w:val="24"/>
          <w:lang w:val="zh-CN"/>
          <w14:textFill>
            <w14:solidFill>
              <w14:schemeClr w14:val="tx1"/>
            </w14:solidFill>
          </w14:textFill>
        </w:rPr>
        <w:t>）</w:t>
      </w:r>
      <w:r>
        <w:rPr>
          <w:rFonts w:ascii="Times New Roman" w:hAnsi="Times New Roman"/>
          <w:color w:val="000000" w:themeColor="text1"/>
          <w:sz w:val="24"/>
          <w:szCs w:val="24"/>
          <w:lang w:val="zh-CN"/>
          <w14:textFill>
            <w14:solidFill>
              <w14:schemeClr w14:val="tx1"/>
            </w14:solidFill>
          </w14:textFill>
        </w:rPr>
        <w:t>附录B《声环境功能区监测方法》有关规定，对评价区昼、夜间噪声进行监测，将监测结果进行统计，以等效声级Leq</w:t>
      </w:r>
      <w:r>
        <w:rPr>
          <w:rFonts w:hint="eastAsia" w:ascii="Times New Roman" w:hAnsi="Times New Roman"/>
          <w:color w:val="000000" w:themeColor="text1"/>
          <w:sz w:val="24"/>
          <w:szCs w:val="24"/>
          <w:lang w:val="zh-CN"/>
          <w14:textFill>
            <w14:solidFill>
              <w14:schemeClr w14:val="tx1"/>
            </w14:solidFill>
          </w14:textFill>
        </w:rPr>
        <w:t>（A）</w:t>
      </w:r>
      <w:r>
        <w:rPr>
          <w:rFonts w:ascii="Times New Roman" w:hAnsi="Times New Roman"/>
          <w:color w:val="000000" w:themeColor="text1"/>
          <w:sz w:val="24"/>
          <w:szCs w:val="24"/>
          <w:lang w:val="zh-CN"/>
          <w14:textFill>
            <w14:solidFill>
              <w14:schemeClr w14:val="tx1"/>
            </w14:solidFill>
          </w14:textFill>
        </w:rPr>
        <w:t>为评价量。</w:t>
      </w:r>
    </w:p>
    <w:p>
      <w:pPr>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lang w:val="zh-CN"/>
          <w14:textFill>
            <w14:solidFill>
              <w14:schemeClr w14:val="tx1"/>
            </w14:solidFill>
          </w14:textFill>
        </w:rPr>
      </w:pPr>
      <w:r>
        <w:rPr>
          <w:rFonts w:hint="eastAsia" w:ascii="Times New Roman" w:hAnsi="Times New Roman" w:eastAsiaTheme="minorEastAsia"/>
          <w:color w:val="000000" w:themeColor="text1"/>
          <w:sz w:val="24"/>
          <w:lang w:val="zh-CN"/>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4</w:t>
      </w:r>
      <w:r>
        <w:rPr>
          <w:rFonts w:hint="eastAsia" w:ascii="Times New Roman" w:hAnsi="Times New Roman" w:eastAsiaTheme="minorEastAsia"/>
          <w:color w:val="000000" w:themeColor="text1"/>
          <w:sz w:val="24"/>
          <w:lang w:val="zh-CN"/>
          <w14:textFill>
            <w14:solidFill>
              <w14:schemeClr w14:val="tx1"/>
            </w14:solidFill>
          </w14:textFill>
        </w:rPr>
        <w:t>）</w:t>
      </w:r>
      <w:r>
        <w:rPr>
          <w:rFonts w:ascii="Times New Roman" w:hAnsiTheme="minorEastAsia" w:eastAsiaTheme="minorEastAsia"/>
          <w:color w:val="000000" w:themeColor="text1"/>
          <w:sz w:val="24"/>
          <w:lang w:val="zh-CN"/>
          <w14:textFill>
            <w14:solidFill>
              <w14:schemeClr w14:val="tx1"/>
            </w14:solidFill>
          </w14:textFill>
        </w:rPr>
        <w:t>评价标准</w:t>
      </w:r>
    </w:p>
    <w:p>
      <w:pPr>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lang w:val="zh-CN"/>
          <w14:textFill>
            <w14:solidFill>
              <w14:schemeClr w14:val="tx1"/>
            </w14:solidFill>
          </w14:textFill>
        </w:rPr>
      </w:pPr>
      <w:r>
        <w:rPr>
          <w:rFonts w:ascii="Times New Roman" w:hAnsiTheme="minorEastAsia" w:eastAsiaTheme="minorEastAsia"/>
          <w:color w:val="000000" w:themeColor="text1"/>
          <w:sz w:val="24"/>
          <w:lang w:val="zh-CN"/>
          <w14:textFill>
            <w14:solidFill>
              <w14:schemeClr w14:val="tx1"/>
            </w14:solidFill>
          </w14:textFill>
        </w:rPr>
        <w:t>根据该厂所在位置和该区功能区划，此次评价区域环境噪声采用《声环境质量标准》</w:t>
      </w:r>
      <w:r>
        <w:rPr>
          <w:rFonts w:ascii="Times New Roman" w:hAnsi="Times New Roman" w:eastAsiaTheme="minorEastAsia"/>
          <w:color w:val="000000" w:themeColor="text1"/>
          <w:sz w:val="24"/>
          <w:lang w:val="zh-CN"/>
          <w14:textFill>
            <w14:solidFill>
              <w14:schemeClr w14:val="tx1"/>
            </w14:solidFill>
          </w14:textFill>
        </w:rPr>
        <w:t>(GB</w:t>
      </w:r>
      <w:r>
        <w:rPr>
          <w:rFonts w:ascii="Times New Roman" w:hAnsi="Times New Roman" w:eastAsiaTheme="minorEastAsia"/>
          <w:color w:val="000000" w:themeColor="text1"/>
          <w:sz w:val="24"/>
          <w14:textFill>
            <w14:solidFill>
              <w14:schemeClr w14:val="tx1"/>
            </w14:solidFill>
          </w14:textFill>
        </w:rPr>
        <w:t>3096</w:t>
      </w:r>
      <w:r>
        <w:rPr>
          <w:rFonts w:ascii="Times New Roman" w:hAnsi="Times New Roman" w:eastAsiaTheme="minorEastAsia"/>
          <w:color w:val="000000" w:themeColor="text1"/>
          <w:sz w:val="24"/>
          <w:lang w:val="zh-CN"/>
          <w14:textFill>
            <w14:solidFill>
              <w14:schemeClr w14:val="tx1"/>
            </w14:solidFill>
          </w14:textFill>
        </w:rPr>
        <w:t>-2008)</w:t>
      </w:r>
      <w:r>
        <w:rPr>
          <w:rFonts w:ascii="Times New Roman" w:hAnsiTheme="minorEastAsia" w:eastAsiaTheme="minorEastAsia"/>
          <w:color w:val="000000" w:themeColor="text1"/>
          <w:sz w:val="24"/>
          <w:lang w:val="zh-CN"/>
          <w14:textFill>
            <w14:solidFill>
              <w14:schemeClr w14:val="tx1"/>
            </w14:solidFill>
          </w14:textFill>
        </w:rPr>
        <w:t>中</w:t>
      </w:r>
      <w:r>
        <w:rPr>
          <w:rFonts w:ascii="Times New Roman" w:hAnsi="Times New Roman" w:eastAsiaTheme="minorEastAsia"/>
          <w:color w:val="000000" w:themeColor="text1"/>
          <w:sz w:val="24"/>
          <w14:textFill>
            <w14:solidFill>
              <w14:schemeClr w14:val="tx1"/>
            </w14:solidFill>
          </w14:textFill>
        </w:rPr>
        <w:t>3</w:t>
      </w:r>
      <w:r>
        <w:rPr>
          <w:rFonts w:ascii="Times New Roman" w:hAnsiTheme="minorEastAsia" w:eastAsiaTheme="minorEastAsia"/>
          <w:color w:val="000000" w:themeColor="text1"/>
          <w:sz w:val="24"/>
          <w:lang w:val="zh-CN"/>
          <w14:textFill>
            <w14:solidFill>
              <w14:schemeClr w14:val="tx1"/>
            </w14:solidFill>
          </w14:textFill>
        </w:rPr>
        <w:t>类标准，见表</w:t>
      </w:r>
      <w:r>
        <w:rPr>
          <w:rFonts w:hint="eastAsia" w:ascii="Times New Roman" w:hAnsi="Times New Roman" w:eastAsiaTheme="minorEastAsia"/>
          <w:color w:val="000000" w:themeColor="text1"/>
          <w:sz w:val="24"/>
          <w:szCs w:val="24"/>
          <w:lang w:val="en-US" w:eastAsia="zh-CN"/>
          <w14:textFill>
            <w14:solidFill>
              <w14:schemeClr w14:val="tx1"/>
            </w14:solidFill>
          </w14:textFill>
        </w:rPr>
        <w:t>5</w:t>
      </w:r>
      <w:r>
        <w:rPr>
          <w:rFonts w:hint="eastAsia" w:ascii="Times New Roman" w:hAnsi="Times New Roman" w:eastAsiaTheme="minorEastAsia"/>
          <w:color w:val="000000" w:themeColor="text1"/>
          <w:sz w:val="24"/>
          <w:szCs w:val="24"/>
          <w14:textFill>
            <w14:solidFill>
              <w14:schemeClr w14:val="tx1"/>
            </w14:solidFill>
          </w14:textFill>
        </w:rPr>
        <w:t>.3-12</w:t>
      </w:r>
      <w:r>
        <w:rPr>
          <w:rFonts w:ascii="Times New Roman" w:hAnsiTheme="minorEastAsia" w:eastAsiaTheme="minorEastAsia"/>
          <w:color w:val="000000" w:themeColor="text1"/>
          <w:sz w:val="24"/>
          <w:lang w:val="zh-CN"/>
          <w14:textFill>
            <w14:solidFill>
              <w14:schemeClr w14:val="tx1"/>
            </w14:solidFill>
          </w14:textFill>
        </w:rPr>
        <w:t>。</w:t>
      </w:r>
    </w:p>
    <w:p>
      <w:pPr>
        <w:widowControl/>
        <w:adjustRightInd w:val="0"/>
        <w:snapToGrid w:val="0"/>
        <w:spacing w:before="120" w:beforeLines="50"/>
        <w:jc w:val="center"/>
        <w:rPr>
          <w:rFonts w:ascii="Times New Roman" w:hAnsi="Times New Roman" w:eastAsiaTheme="minorEastAsia"/>
          <w:b/>
          <w:color w:val="000000" w:themeColor="text1"/>
          <w:sz w:val="24"/>
          <w:szCs w:val="24"/>
          <w:lang w:val="zh-CN"/>
          <w14:textFill>
            <w14:solidFill>
              <w14:schemeClr w14:val="tx1"/>
            </w14:solidFill>
          </w14:textFill>
        </w:rPr>
      </w:pPr>
      <w:r>
        <w:rPr>
          <w:rFonts w:ascii="Times New Roman" w:hAnsi="Times New Roman" w:eastAsiaTheme="minorEastAsia"/>
          <w:b/>
          <w:color w:val="000000" w:themeColor="text1"/>
          <w:sz w:val="24"/>
          <w:szCs w:val="24"/>
          <w:lang w:val="zh-CN"/>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5</w:t>
      </w:r>
      <w:r>
        <w:rPr>
          <w:rFonts w:hint="eastAsia" w:ascii="Times New Roman" w:hAnsi="Times New Roman" w:eastAsiaTheme="minorEastAsia"/>
          <w:b/>
          <w:color w:val="000000" w:themeColor="text1"/>
          <w:sz w:val="24"/>
          <w:szCs w:val="24"/>
          <w14:textFill>
            <w14:solidFill>
              <w14:schemeClr w14:val="tx1"/>
            </w14:solidFill>
          </w14:textFill>
        </w:rPr>
        <w:t>.3-12</w:t>
      </w:r>
      <w:r>
        <w:rPr>
          <w:rFonts w:ascii="Times New Roman" w:hAnsi="Times New Roman" w:eastAsiaTheme="minorEastAsia"/>
          <w:b/>
          <w:color w:val="000000" w:themeColor="text1"/>
          <w:sz w:val="24"/>
          <w:szCs w:val="24"/>
          <w:lang w:val="zh-CN"/>
          <w14:textFill>
            <w14:solidFill>
              <w14:schemeClr w14:val="tx1"/>
            </w14:solidFill>
          </w14:textFill>
        </w:rPr>
        <w:t xml:space="preserve">  </w:t>
      </w:r>
      <w:r>
        <w:rPr>
          <w:rFonts w:ascii="Times New Roman" w:hAnsiTheme="minorEastAsia" w:eastAsiaTheme="minorEastAsia"/>
          <w:b/>
          <w:color w:val="000000" w:themeColor="text1"/>
          <w:sz w:val="24"/>
          <w:szCs w:val="24"/>
          <w:lang w:val="zh-CN"/>
          <w14:textFill>
            <w14:solidFill>
              <w14:schemeClr w14:val="tx1"/>
            </w14:solidFill>
          </w14:textFill>
        </w:rPr>
        <w:t>噪声评价标准</w:t>
      </w:r>
      <w:r>
        <w:rPr>
          <w:rFonts w:ascii="Times New Roman" w:hAnsi="Times New Roman" w:eastAsiaTheme="minorEastAsia"/>
          <w:b/>
          <w:color w:val="000000" w:themeColor="text1"/>
          <w:sz w:val="24"/>
          <w:szCs w:val="24"/>
          <w:lang w:val="zh-CN"/>
          <w14:textFill>
            <w14:solidFill>
              <w14:schemeClr w14:val="tx1"/>
            </w14:solidFill>
          </w14:textFill>
        </w:rPr>
        <w:t xml:space="preserve">  </w:t>
      </w:r>
      <w:r>
        <w:rPr>
          <w:rFonts w:ascii="Times New Roman" w:hAnsiTheme="minorEastAsia" w:eastAsiaTheme="minorEastAsia"/>
          <w:b/>
          <w:color w:val="000000" w:themeColor="text1"/>
          <w:sz w:val="24"/>
          <w:szCs w:val="24"/>
          <w:lang w:val="zh-CN"/>
          <w14:textFill>
            <w14:solidFill>
              <w14:schemeClr w14:val="tx1"/>
            </w14:solidFill>
          </w14:textFill>
        </w:rPr>
        <w:t>单位：</w:t>
      </w:r>
      <w:r>
        <w:rPr>
          <w:rFonts w:ascii="Times New Roman" w:hAnsi="Times New Roman" w:eastAsiaTheme="minorEastAsia"/>
          <w:b/>
          <w:color w:val="000000" w:themeColor="text1"/>
          <w:sz w:val="24"/>
          <w:szCs w:val="24"/>
          <w:lang w:val="zh-CN"/>
          <w14:textFill>
            <w14:solidFill>
              <w14:schemeClr w14:val="tx1"/>
            </w14:solidFill>
          </w14:textFill>
        </w:rPr>
        <w:t>dB(A)</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76"/>
        <w:gridCol w:w="3745"/>
        <w:gridCol w:w="1637"/>
        <w:gridCol w:w="16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6"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方位</w:t>
            </w:r>
          </w:p>
        </w:tc>
        <w:tc>
          <w:tcPr>
            <w:tcW w:w="3745"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标准</w:t>
            </w:r>
          </w:p>
        </w:tc>
        <w:tc>
          <w:tcPr>
            <w:tcW w:w="1637"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昼间</w:t>
            </w:r>
          </w:p>
        </w:tc>
        <w:tc>
          <w:tcPr>
            <w:tcW w:w="1637"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6"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heme="minorEastAsia" w:eastAsiaTheme="minorEastAsia"/>
                <w:color w:val="000000" w:themeColor="text1"/>
                <w:sz w:val="18"/>
                <w:szCs w:val="18"/>
                <w14:textFill>
                  <w14:solidFill>
                    <w14:schemeClr w14:val="tx1"/>
                  </w14:solidFill>
                </w14:textFill>
              </w:rPr>
              <w:t>项目</w:t>
            </w:r>
            <w:r>
              <w:rPr>
                <w:rFonts w:ascii="Times New Roman" w:hAnsiTheme="minorEastAsia" w:eastAsiaTheme="minorEastAsia"/>
                <w:color w:val="000000" w:themeColor="text1"/>
                <w:sz w:val="18"/>
                <w:szCs w:val="18"/>
                <w14:textFill>
                  <w14:solidFill>
                    <w14:schemeClr w14:val="tx1"/>
                  </w14:solidFill>
                </w14:textFill>
              </w:rPr>
              <w:t>各边界</w:t>
            </w:r>
          </w:p>
        </w:tc>
        <w:tc>
          <w:tcPr>
            <w:tcW w:w="3745"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lang w:val="zh-CN"/>
                <w14:textFill>
                  <w14:solidFill>
                    <w14:schemeClr w14:val="tx1"/>
                  </w14:solidFill>
                </w14:textFill>
              </w:rPr>
              <w:t>《声环境质量标准》</w:t>
            </w:r>
            <w:r>
              <w:rPr>
                <w:rFonts w:ascii="Times New Roman" w:hAnsi="Times New Roman" w:eastAsiaTheme="minorEastAsia"/>
                <w:color w:val="000000" w:themeColor="text1"/>
                <w:sz w:val="18"/>
                <w:szCs w:val="18"/>
                <w14:textFill>
                  <w14:solidFill>
                    <w14:schemeClr w14:val="tx1"/>
                  </w14:solidFill>
                </w14:textFill>
              </w:rPr>
              <w:t>GB3096-2008</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3</w:t>
            </w:r>
            <w:r>
              <w:rPr>
                <w:rFonts w:ascii="Times New Roman" w:hAnsiTheme="minorEastAsia" w:eastAsiaTheme="minorEastAsia"/>
                <w:color w:val="000000" w:themeColor="text1"/>
                <w:sz w:val="18"/>
                <w:szCs w:val="18"/>
                <w14:textFill>
                  <w14:solidFill>
                    <w14:schemeClr w14:val="tx1"/>
                  </w14:solidFill>
                </w14:textFill>
              </w:rPr>
              <w:t>类</w:t>
            </w:r>
          </w:p>
        </w:tc>
        <w:tc>
          <w:tcPr>
            <w:tcW w:w="1637"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65</w:t>
            </w:r>
          </w:p>
        </w:tc>
        <w:tc>
          <w:tcPr>
            <w:tcW w:w="1637" w:type="dxa"/>
            <w:tcMar>
              <w:left w:w="28" w:type="dxa"/>
              <w:right w:w="28" w:type="dxa"/>
            </w:tcMar>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55</w:t>
            </w:r>
          </w:p>
        </w:tc>
      </w:tr>
    </w:tbl>
    <w:p>
      <w:pPr>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szCs w:val="24"/>
          <w:lang w:val="zh-CN"/>
          <w14:textFill>
            <w14:solidFill>
              <w14:schemeClr w14:val="tx1"/>
            </w14:solidFill>
          </w14:textFill>
        </w:rPr>
      </w:pPr>
      <w:r>
        <w:rPr>
          <w:rFonts w:hint="eastAsia" w:ascii="Times New Roman" w:hAnsiTheme="minorEastAsia" w:eastAsiaTheme="minorEastAsia"/>
          <w:color w:val="000000" w:themeColor="text1"/>
          <w:sz w:val="24"/>
          <w:szCs w:val="24"/>
          <w:lang w:val="zh-CN"/>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5</w:t>
      </w:r>
      <w:r>
        <w:rPr>
          <w:rFonts w:hint="eastAsia" w:ascii="Times New Roman" w:hAnsiTheme="minorEastAsia" w:eastAsiaTheme="minorEastAsia"/>
          <w:color w:val="000000" w:themeColor="text1"/>
          <w:sz w:val="24"/>
          <w:szCs w:val="24"/>
          <w:lang w:val="zh-CN"/>
          <w14:textFill>
            <w14:solidFill>
              <w14:schemeClr w14:val="tx1"/>
            </w14:solidFill>
          </w14:textFill>
        </w:rPr>
        <w:t>）</w:t>
      </w:r>
      <w:r>
        <w:rPr>
          <w:rFonts w:ascii="Times New Roman" w:hAnsiTheme="minorEastAsia" w:eastAsiaTheme="minorEastAsia"/>
          <w:color w:val="000000" w:themeColor="text1"/>
          <w:sz w:val="24"/>
          <w:szCs w:val="24"/>
          <w:lang w:val="zh-CN"/>
          <w14:textFill>
            <w14:solidFill>
              <w14:schemeClr w14:val="tx1"/>
            </w14:solidFill>
          </w14:textFill>
        </w:rPr>
        <w:t>监测结果</w:t>
      </w:r>
    </w:p>
    <w:p>
      <w:pPr>
        <w:autoSpaceDE w:val="0"/>
        <w:autoSpaceDN w:val="0"/>
        <w:adjustRightInd w:val="0"/>
        <w:snapToGrid w:val="0"/>
        <w:spacing w:line="520" w:lineRule="exact"/>
        <w:ind w:firstLine="480" w:firstLineChars="200"/>
        <w:rPr>
          <w:rFonts w:ascii="Times New Roman" w:hAnsi="Times New Roman" w:eastAsiaTheme="minorEastAsia"/>
          <w:color w:val="000000" w:themeColor="text1"/>
          <w:sz w:val="24"/>
          <w:szCs w:val="24"/>
          <w:lang w:val="zh-CN"/>
          <w14:textFill>
            <w14:solidFill>
              <w14:schemeClr w14:val="tx1"/>
            </w14:solidFill>
          </w14:textFill>
        </w:rPr>
      </w:pPr>
      <w:r>
        <w:rPr>
          <w:rFonts w:ascii="Times New Roman" w:hAnsiTheme="minorEastAsia" w:eastAsiaTheme="minorEastAsia"/>
          <w:color w:val="000000" w:themeColor="text1"/>
          <w:sz w:val="24"/>
          <w:szCs w:val="24"/>
          <w:lang w:val="zh-CN"/>
          <w14:textFill>
            <w14:solidFill>
              <w14:schemeClr w14:val="tx1"/>
            </w14:solidFill>
          </w14:textFill>
        </w:rPr>
        <w:t>环境噪声现状监测结果详见表</w:t>
      </w:r>
      <w:r>
        <w:rPr>
          <w:rFonts w:hint="eastAsia" w:ascii="Times New Roman" w:hAnsi="Times New Roman" w:eastAsiaTheme="minorEastAsia"/>
          <w:color w:val="000000" w:themeColor="text1"/>
          <w:sz w:val="24"/>
          <w:szCs w:val="24"/>
          <w:lang w:val="en-US" w:eastAsia="zh-CN"/>
          <w14:textFill>
            <w14:solidFill>
              <w14:schemeClr w14:val="tx1"/>
            </w14:solidFill>
          </w14:textFill>
        </w:rPr>
        <w:t>5</w:t>
      </w:r>
      <w:r>
        <w:rPr>
          <w:rFonts w:hint="eastAsia" w:ascii="Times New Roman" w:hAnsi="Times New Roman" w:eastAsiaTheme="minorEastAsia"/>
          <w:color w:val="000000" w:themeColor="text1"/>
          <w:sz w:val="24"/>
          <w:szCs w:val="24"/>
          <w14:textFill>
            <w14:solidFill>
              <w14:schemeClr w14:val="tx1"/>
            </w14:solidFill>
          </w14:textFill>
        </w:rPr>
        <w:t>.3-13</w:t>
      </w:r>
      <w:r>
        <w:rPr>
          <w:rFonts w:ascii="Times New Roman" w:hAnsiTheme="minorEastAsia" w:eastAsiaTheme="minorEastAsia"/>
          <w:color w:val="000000" w:themeColor="text1"/>
          <w:sz w:val="24"/>
          <w:szCs w:val="24"/>
          <w:lang w:val="zh-CN"/>
          <w14:textFill>
            <w14:solidFill>
              <w14:schemeClr w14:val="tx1"/>
            </w14:solidFill>
          </w14:textFill>
        </w:rPr>
        <w:t>。</w:t>
      </w:r>
    </w:p>
    <w:p>
      <w:pPr>
        <w:widowControl/>
        <w:adjustRightInd w:val="0"/>
        <w:snapToGrid w:val="0"/>
        <w:spacing w:before="120" w:beforeLines="50"/>
        <w:jc w:val="center"/>
        <w:rPr>
          <w:rFonts w:ascii="Times New Roman" w:hAnsi="Times New Roman" w:eastAsiaTheme="minorEastAsia"/>
          <w:b/>
          <w:color w:val="000000" w:themeColor="text1"/>
          <w:sz w:val="24"/>
          <w:szCs w:val="24"/>
          <w:lang w:val="zh-CN"/>
          <w14:textFill>
            <w14:solidFill>
              <w14:schemeClr w14:val="tx1"/>
            </w14:solidFill>
          </w14:textFill>
        </w:rPr>
      </w:pPr>
      <w:r>
        <w:rPr>
          <w:rFonts w:ascii="Times New Roman" w:hAnsiTheme="minorEastAsia" w:eastAsiaTheme="minorEastAsia"/>
          <w:b/>
          <w:color w:val="000000" w:themeColor="text1"/>
          <w:sz w:val="24"/>
          <w:szCs w:val="24"/>
          <w:lang w:val="zh-CN"/>
          <w14:textFill>
            <w14:solidFill>
              <w14:schemeClr w14:val="tx1"/>
            </w14:solidFill>
          </w14:textFill>
        </w:rPr>
        <w:t>表</w:t>
      </w:r>
      <w:r>
        <w:rPr>
          <w:rFonts w:hint="eastAsia" w:ascii="Times New Roman" w:hAnsiTheme="minorEastAsia" w:eastAsiaTheme="minorEastAsia"/>
          <w:b/>
          <w:color w:val="000000" w:themeColor="text1"/>
          <w:sz w:val="24"/>
          <w:szCs w:val="24"/>
          <w:lang w:val="en-US" w:eastAsia="zh-CN"/>
          <w14:textFill>
            <w14:solidFill>
              <w14:schemeClr w14:val="tx1"/>
            </w14:solidFill>
          </w14:textFill>
        </w:rPr>
        <w:t>5</w:t>
      </w:r>
      <w:r>
        <w:rPr>
          <w:rFonts w:hint="eastAsia" w:ascii="Times New Roman" w:hAnsiTheme="minorEastAsia" w:eastAsiaTheme="minorEastAsia"/>
          <w:b/>
          <w:color w:val="000000" w:themeColor="text1"/>
          <w:sz w:val="24"/>
          <w:szCs w:val="24"/>
          <w14:textFill>
            <w14:solidFill>
              <w14:schemeClr w14:val="tx1"/>
            </w14:solidFill>
          </w14:textFill>
        </w:rPr>
        <w:t>.3-13</w:t>
      </w:r>
      <w:r>
        <w:rPr>
          <w:rFonts w:ascii="Times New Roman" w:hAnsi="Times New Roman" w:eastAsiaTheme="minorEastAsia"/>
          <w:b/>
          <w:color w:val="000000" w:themeColor="text1"/>
          <w:sz w:val="24"/>
          <w:szCs w:val="24"/>
          <w:lang w:val="zh-CN"/>
          <w14:textFill>
            <w14:solidFill>
              <w14:schemeClr w14:val="tx1"/>
            </w14:solidFill>
          </w14:textFill>
        </w:rPr>
        <w:t xml:space="preserve">  </w:t>
      </w:r>
      <w:r>
        <w:rPr>
          <w:rFonts w:ascii="Times New Roman" w:hAnsiTheme="minorEastAsia" w:eastAsiaTheme="minorEastAsia"/>
          <w:b/>
          <w:color w:val="000000" w:themeColor="text1"/>
          <w:sz w:val="24"/>
          <w:szCs w:val="24"/>
          <w:lang w:val="zh-CN"/>
          <w14:textFill>
            <w14:solidFill>
              <w14:schemeClr w14:val="tx1"/>
            </w14:solidFill>
          </w14:textFill>
        </w:rPr>
        <w:t>环境噪声现状监测结果表</w:t>
      </w:r>
      <w:r>
        <w:rPr>
          <w:rFonts w:ascii="Times New Roman" w:hAnsi="Times New Roman" w:eastAsiaTheme="minorEastAsia"/>
          <w:b/>
          <w:color w:val="000000" w:themeColor="text1"/>
          <w:sz w:val="24"/>
          <w:szCs w:val="24"/>
          <w:lang w:val="zh-CN"/>
          <w14:textFill>
            <w14:solidFill>
              <w14:schemeClr w14:val="tx1"/>
            </w14:solidFill>
          </w14:textFill>
        </w:rPr>
        <w:t xml:space="preserve">   </w:t>
      </w:r>
      <w:r>
        <w:rPr>
          <w:rFonts w:ascii="Times New Roman" w:hAnsiTheme="minorEastAsia" w:eastAsiaTheme="minorEastAsia"/>
          <w:b/>
          <w:color w:val="000000" w:themeColor="text1"/>
          <w:sz w:val="24"/>
          <w:szCs w:val="24"/>
          <w:lang w:val="zh-CN"/>
          <w14:textFill>
            <w14:solidFill>
              <w14:schemeClr w14:val="tx1"/>
            </w14:solidFill>
          </w14:textFill>
        </w:rPr>
        <w:t>单位：</w:t>
      </w:r>
      <w:r>
        <w:rPr>
          <w:rFonts w:ascii="Times New Roman" w:hAnsi="Times New Roman" w:eastAsiaTheme="minorEastAsia"/>
          <w:b/>
          <w:color w:val="000000" w:themeColor="text1"/>
          <w:sz w:val="24"/>
          <w:szCs w:val="24"/>
          <w:lang w:val="zh-CN"/>
          <w14:textFill>
            <w14:solidFill>
              <w14:schemeClr w14:val="tx1"/>
            </w14:solidFill>
          </w14:textFill>
        </w:rPr>
        <w:t>dB(A)</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53"/>
        <w:gridCol w:w="2145"/>
        <w:gridCol w:w="1459"/>
        <w:gridCol w:w="1053"/>
        <w:gridCol w:w="1189"/>
        <w:gridCol w:w="1249"/>
        <w:gridCol w:w="11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3"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测点编号</w:t>
            </w:r>
          </w:p>
        </w:tc>
        <w:tc>
          <w:tcPr>
            <w:tcW w:w="2145"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测点位置</w:t>
            </w:r>
          </w:p>
        </w:tc>
        <w:tc>
          <w:tcPr>
            <w:tcW w:w="1459"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主要声源</w:t>
            </w:r>
          </w:p>
        </w:tc>
        <w:tc>
          <w:tcPr>
            <w:tcW w:w="4638" w:type="dxa"/>
            <w:gridSpan w:val="4"/>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监测结果</w:t>
            </w:r>
            <w:r>
              <w:rPr>
                <w:rFonts w:ascii="Times New Roman" w:hAnsi="Times New Roman" w:eastAsiaTheme="minorEastAsia"/>
                <w:color w:val="000000" w:themeColor="text1"/>
                <w:sz w:val="18"/>
                <w:szCs w:val="18"/>
                <w14:textFill>
                  <w14:solidFill>
                    <w14:schemeClr w14:val="tx1"/>
                  </w14:solidFill>
                </w14:textFill>
              </w:rPr>
              <w:t>[</w:t>
            </w:r>
            <w:r>
              <w:rPr>
                <w:rFonts w:ascii="Times New Roman" w:hAnsiTheme="minorEastAsia" w:eastAsiaTheme="minorEastAsia"/>
                <w:color w:val="000000" w:themeColor="text1"/>
                <w:sz w:val="18"/>
                <w:szCs w:val="18"/>
                <w14:textFill>
                  <w14:solidFill>
                    <w14:schemeClr w14:val="tx1"/>
                  </w14:solidFill>
                </w14:textFill>
              </w:rPr>
              <w:t>单位：</w:t>
            </w:r>
            <w:r>
              <w:rPr>
                <w:rFonts w:ascii="Times New Roman" w:hAnsi="Times New Roman" w:eastAsiaTheme="minorEastAsia"/>
                <w:color w:val="000000" w:themeColor="text1"/>
                <w:sz w:val="18"/>
                <w:szCs w:val="18"/>
                <w14:textFill>
                  <w14:solidFill>
                    <w14:schemeClr w14:val="tx1"/>
                  </w14:solidFill>
                </w14:textFill>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3"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2145"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1459"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2242" w:type="dxa"/>
            <w:gridSpan w:val="2"/>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2021.6.11</w:t>
            </w:r>
          </w:p>
        </w:tc>
        <w:tc>
          <w:tcPr>
            <w:tcW w:w="2396" w:type="dxa"/>
            <w:gridSpan w:val="2"/>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2021.6.12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3"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2145"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1459"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10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昼间</w:t>
            </w:r>
          </w:p>
        </w:tc>
        <w:tc>
          <w:tcPr>
            <w:tcW w:w="118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夜间</w:t>
            </w:r>
          </w:p>
        </w:tc>
        <w:tc>
          <w:tcPr>
            <w:tcW w:w="12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昼间</w:t>
            </w:r>
          </w:p>
        </w:tc>
        <w:tc>
          <w:tcPr>
            <w:tcW w:w="114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w:t>
            </w:r>
          </w:p>
        </w:tc>
        <w:tc>
          <w:tcPr>
            <w:tcW w:w="214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东侧边界外</w:t>
            </w:r>
            <w:r>
              <w:rPr>
                <w:rFonts w:ascii="Times New Roman" w:hAnsi="Times New Roman" w:eastAsiaTheme="minorEastAsia"/>
                <w:color w:val="000000" w:themeColor="text1"/>
                <w:sz w:val="18"/>
                <w:szCs w:val="18"/>
                <w14:textFill>
                  <w14:solidFill>
                    <w14:schemeClr w14:val="tx1"/>
                  </w14:solidFill>
                </w14:textFill>
              </w:rPr>
              <w:t>1m</w:t>
            </w:r>
            <w:r>
              <w:rPr>
                <w:rFonts w:ascii="Times New Roman" w:hAnsiTheme="minorEastAsia" w:eastAsiaTheme="minorEastAsia"/>
                <w:color w:val="000000" w:themeColor="text1"/>
                <w:sz w:val="18"/>
                <w:szCs w:val="18"/>
                <w14:textFill>
                  <w14:solidFill>
                    <w14:schemeClr w14:val="tx1"/>
                  </w14:solidFill>
                </w14:textFill>
              </w:rPr>
              <w:t>处</w:t>
            </w:r>
          </w:p>
        </w:tc>
        <w:tc>
          <w:tcPr>
            <w:tcW w:w="145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环境噪声</w:t>
            </w:r>
          </w:p>
        </w:tc>
        <w:tc>
          <w:tcPr>
            <w:tcW w:w="10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55.6</w:t>
            </w:r>
          </w:p>
        </w:tc>
        <w:tc>
          <w:tcPr>
            <w:tcW w:w="118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47.5</w:t>
            </w:r>
          </w:p>
        </w:tc>
        <w:tc>
          <w:tcPr>
            <w:tcW w:w="12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55.3</w:t>
            </w:r>
          </w:p>
        </w:tc>
        <w:tc>
          <w:tcPr>
            <w:tcW w:w="114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2#</w:t>
            </w:r>
          </w:p>
        </w:tc>
        <w:tc>
          <w:tcPr>
            <w:tcW w:w="214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南侧边界外</w:t>
            </w:r>
            <w:r>
              <w:rPr>
                <w:rFonts w:ascii="Times New Roman" w:hAnsi="Times New Roman" w:eastAsiaTheme="minorEastAsia"/>
                <w:color w:val="000000" w:themeColor="text1"/>
                <w:sz w:val="18"/>
                <w:szCs w:val="18"/>
                <w14:textFill>
                  <w14:solidFill>
                    <w14:schemeClr w14:val="tx1"/>
                  </w14:solidFill>
                </w14:textFill>
              </w:rPr>
              <w:t>1m</w:t>
            </w:r>
            <w:r>
              <w:rPr>
                <w:rFonts w:ascii="Times New Roman" w:hAnsiTheme="minorEastAsia" w:eastAsiaTheme="minorEastAsia"/>
                <w:color w:val="000000" w:themeColor="text1"/>
                <w:sz w:val="18"/>
                <w:szCs w:val="18"/>
                <w14:textFill>
                  <w14:solidFill>
                    <w14:schemeClr w14:val="tx1"/>
                  </w14:solidFill>
                </w14:textFill>
              </w:rPr>
              <w:t>处</w:t>
            </w:r>
          </w:p>
        </w:tc>
        <w:tc>
          <w:tcPr>
            <w:tcW w:w="145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环境噪声</w:t>
            </w:r>
          </w:p>
        </w:tc>
        <w:tc>
          <w:tcPr>
            <w:tcW w:w="10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51.3</w:t>
            </w:r>
          </w:p>
        </w:tc>
        <w:tc>
          <w:tcPr>
            <w:tcW w:w="118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45.2</w:t>
            </w:r>
          </w:p>
        </w:tc>
        <w:tc>
          <w:tcPr>
            <w:tcW w:w="12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51.5</w:t>
            </w:r>
          </w:p>
        </w:tc>
        <w:tc>
          <w:tcPr>
            <w:tcW w:w="114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3#</w:t>
            </w:r>
          </w:p>
        </w:tc>
        <w:tc>
          <w:tcPr>
            <w:tcW w:w="214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西侧边界外</w:t>
            </w:r>
            <w:r>
              <w:rPr>
                <w:rFonts w:ascii="Times New Roman" w:hAnsi="Times New Roman" w:eastAsiaTheme="minorEastAsia"/>
                <w:color w:val="000000" w:themeColor="text1"/>
                <w:sz w:val="18"/>
                <w:szCs w:val="18"/>
                <w14:textFill>
                  <w14:solidFill>
                    <w14:schemeClr w14:val="tx1"/>
                  </w14:solidFill>
                </w14:textFill>
              </w:rPr>
              <w:t>1m</w:t>
            </w:r>
            <w:r>
              <w:rPr>
                <w:rFonts w:ascii="Times New Roman" w:hAnsiTheme="minorEastAsia" w:eastAsiaTheme="minorEastAsia"/>
                <w:color w:val="000000" w:themeColor="text1"/>
                <w:sz w:val="18"/>
                <w:szCs w:val="18"/>
                <w14:textFill>
                  <w14:solidFill>
                    <w14:schemeClr w14:val="tx1"/>
                  </w14:solidFill>
                </w14:textFill>
              </w:rPr>
              <w:t>处</w:t>
            </w:r>
          </w:p>
        </w:tc>
        <w:tc>
          <w:tcPr>
            <w:tcW w:w="145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环境噪声</w:t>
            </w:r>
          </w:p>
        </w:tc>
        <w:tc>
          <w:tcPr>
            <w:tcW w:w="10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49.6</w:t>
            </w:r>
          </w:p>
        </w:tc>
        <w:tc>
          <w:tcPr>
            <w:tcW w:w="118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43.1</w:t>
            </w:r>
          </w:p>
        </w:tc>
        <w:tc>
          <w:tcPr>
            <w:tcW w:w="12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49.1</w:t>
            </w:r>
          </w:p>
        </w:tc>
        <w:tc>
          <w:tcPr>
            <w:tcW w:w="114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w:t>
            </w:r>
          </w:p>
        </w:tc>
        <w:tc>
          <w:tcPr>
            <w:tcW w:w="214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北侧边界外</w:t>
            </w:r>
            <w:r>
              <w:rPr>
                <w:rFonts w:ascii="Times New Roman" w:hAnsi="Times New Roman" w:eastAsiaTheme="minorEastAsia"/>
                <w:color w:val="000000" w:themeColor="text1"/>
                <w:sz w:val="18"/>
                <w:szCs w:val="18"/>
                <w14:textFill>
                  <w14:solidFill>
                    <w14:schemeClr w14:val="tx1"/>
                  </w14:solidFill>
                </w14:textFill>
              </w:rPr>
              <w:t>1m</w:t>
            </w:r>
            <w:r>
              <w:rPr>
                <w:rFonts w:ascii="Times New Roman" w:hAnsiTheme="minorEastAsia" w:eastAsiaTheme="minorEastAsia"/>
                <w:color w:val="000000" w:themeColor="text1"/>
                <w:sz w:val="18"/>
                <w:szCs w:val="18"/>
                <w14:textFill>
                  <w14:solidFill>
                    <w14:schemeClr w14:val="tx1"/>
                  </w14:solidFill>
                </w14:textFill>
              </w:rPr>
              <w:t>处</w:t>
            </w:r>
          </w:p>
        </w:tc>
        <w:tc>
          <w:tcPr>
            <w:tcW w:w="145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环境噪声</w:t>
            </w:r>
          </w:p>
        </w:tc>
        <w:tc>
          <w:tcPr>
            <w:tcW w:w="1053"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50.9</w:t>
            </w:r>
          </w:p>
        </w:tc>
        <w:tc>
          <w:tcPr>
            <w:tcW w:w="118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46.2</w:t>
            </w:r>
          </w:p>
        </w:tc>
        <w:tc>
          <w:tcPr>
            <w:tcW w:w="12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50.3</w:t>
            </w:r>
          </w:p>
        </w:tc>
        <w:tc>
          <w:tcPr>
            <w:tcW w:w="114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46.4</w:t>
            </w:r>
          </w:p>
        </w:tc>
      </w:tr>
    </w:tbl>
    <w:p>
      <w:pPr>
        <w:autoSpaceDE w:val="0"/>
        <w:autoSpaceDN w:val="0"/>
        <w:adjustRightInd w:val="0"/>
        <w:snapToGrid w:val="0"/>
        <w:spacing w:line="520" w:lineRule="exact"/>
        <w:ind w:firstLine="480" w:firstLineChars="200"/>
        <w:jc w:val="left"/>
        <w:rPr>
          <w:rFonts w:ascii="Times New Roman" w:hAnsi="Times New Roman" w:eastAsiaTheme="minorEastAsia"/>
          <w:color w:val="000000" w:themeColor="text1"/>
          <w:sz w:val="24"/>
          <w:lang w:val="zh-CN"/>
          <w14:textFill>
            <w14:solidFill>
              <w14:schemeClr w14:val="tx1"/>
            </w14:solidFill>
          </w14:textFill>
        </w:rPr>
      </w:pPr>
      <w:r>
        <w:rPr>
          <w:rFonts w:hint="eastAsia" w:ascii="Times New Roman" w:hAnsiTheme="minorEastAsia" w:eastAsiaTheme="minorEastAsia"/>
          <w:color w:val="000000" w:themeColor="text1"/>
          <w:sz w:val="24"/>
          <w:szCs w:val="24"/>
          <w:lang w:val="zh-CN"/>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6</w:t>
      </w:r>
      <w:r>
        <w:rPr>
          <w:rFonts w:hint="eastAsia" w:ascii="Times New Roman" w:hAnsiTheme="minorEastAsia" w:eastAsiaTheme="minorEastAsia"/>
          <w:color w:val="000000" w:themeColor="text1"/>
          <w:sz w:val="24"/>
          <w:szCs w:val="24"/>
          <w:lang w:val="zh-CN"/>
          <w14:textFill>
            <w14:solidFill>
              <w14:schemeClr w14:val="tx1"/>
            </w14:solidFill>
          </w14:textFill>
        </w:rPr>
        <w:t>）</w:t>
      </w:r>
      <w:r>
        <w:rPr>
          <w:rFonts w:ascii="Times New Roman" w:hAnsiTheme="minorEastAsia" w:eastAsiaTheme="minorEastAsia"/>
          <w:color w:val="000000" w:themeColor="text1"/>
          <w:sz w:val="24"/>
          <w:lang w:val="zh-CN"/>
          <w14:textFill>
            <w14:solidFill>
              <w14:schemeClr w14:val="tx1"/>
            </w14:solidFill>
          </w14:textFill>
        </w:rPr>
        <w:t>环境噪声监测现状评价结论</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hint="eastAsia" w:ascii="Times New Roman" w:cs="Times New Roman" w:hAnsiTheme="minorEastAsia"/>
          <w:color w:val="000000" w:themeColor="text1"/>
          <w:sz w:val="24"/>
          <w:lang w:val="zh-CN"/>
          <w14:textFill>
            <w14:solidFill>
              <w14:schemeClr w14:val="tx1"/>
            </w14:solidFill>
          </w14:textFill>
        </w:rPr>
        <w:t>监测结果表明</w:t>
      </w:r>
      <w:r>
        <w:rPr>
          <w:rFonts w:ascii="Times New Roman" w:cs="Times New Roman" w:hAnsiTheme="minorEastAsia"/>
          <w:color w:val="000000" w:themeColor="text1"/>
          <w:sz w:val="24"/>
          <w:lang w:val="zh-CN"/>
          <w14:textFill>
            <w14:solidFill>
              <w14:schemeClr w14:val="tx1"/>
            </w14:solidFill>
          </w14:textFill>
        </w:rPr>
        <w:t>，</w:t>
      </w:r>
      <w:r>
        <w:rPr>
          <w:rFonts w:hint="eastAsia" w:ascii="Times New Roman" w:cs="Times New Roman" w:hAnsiTheme="minorEastAsia"/>
          <w:color w:val="000000" w:themeColor="text1"/>
          <w:sz w:val="24"/>
          <w:lang w:val="zh-CN"/>
          <w14:textFill>
            <w14:solidFill>
              <w14:schemeClr w14:val="tx1"/>
            </w14:solidFill>
          </w14:textFill>
        </w:rPr>
        <w:t>本项目厂界噪声监测值能够满足</w:t>
      </w:r>
      <w:r>
        <w:rPr>
          <w:rFonts w:ascii="Times New Roman" w:hAnsiTheme="minorEastAsia"/>
          <w:color w:val="000000" w:themeColor="text1"/>
          <w:sz w:val="24"/>
          <w:lang w:val="zh-CN"/>
          <w14:textFill>
            <w14:solidFill>
              <w14:schemeClr w14:val="tx1"/>
            </w14:solidFill>
          </w14:textFill>
        </w:rPr>
        <w:t>《声环境质量标准》</w:t>
      </w:r>
      <w:r>
        <w:rPr>
          <w:rFonts w:ascii="Times New Roman" w:hAnsi="Times New Roman"/>
          <w:color w:val="000000" w:themeColor="text1"/>
          <w:sz w:val="24"/>
          <w:lang w:val="zh-CN"/>
          <w14:textFill>
            <w14:solidFill>
              <w14:schemeClr w14:val="tx1"/>
            </w14:solidFill>
          </w14:textFill>
        </w:rPr>
        <w:t>(GB</w:t>
      </w:r>
      <w:r>
        <w:rPr>
          <w:rFonts w:ascii="Times New Roman" w:hAnsi="Times New Roman"/>
          <w:color w:val="000000" w:themeColor="text1"/>
          <w:sz w:val="24"/>
          <w14:textFill>
            <w14:solidFill>
              <w14:schemeClr w14:val="tx1"/>
            </w14:solidFill>
          </w14:textFill>
        </w:rPr>
        <w:t>3096</w:t>
      </w:r>
      <w:r>
        <w:rPr>
          <w:rFonts w:ascii="Times New Roman" w:hAnsi="Times New Roman"/>
          <w:color w:val="000000" w:themeColor="text1"/>
          <w:sz w:val="24"/>
          <w:lang w:val="zh-CN"/>
          <w14:textFill>
            <w14:solidFill>
              <w14:schemeClr w14:val="tx1"/>
            </w14:solidFill>
          </w14:textFill>
        </w:rPr>
        <w:t>-2008)</w:t>
      </w:r>
      <w:r>
        <w:rPr>
          <w:rFonts w:ascii="Times New Roman" w:hAnsiTheme="minorEastAsia"/>
          <w:color w:val="000000" w:themeColor="text1"/>
          <w:sz w:val="24"/>
          <w:lang w:val="zh-CN"/>
          <w14:textFill>
            <w14:solidFill>
              <w14:schemeClr w14:val="tx1"/>
            </w14:solidFill>
          </w14:textFill>
        </w:rPr>
        <w:t>中</w:t>
      </w:r>
      <w:r>
        <w:rPr>
          <w:rFonts w:ascii="Times New Roman" w:hAnsi="Times New Roman"/>
          <w:color w:val="000000" w:themeColor="text1"/>
          <w:sz w:val="24"/>
          <w14:textFill>
            <w14:solidFill>
              <w14:schemeClr w14:val="tx1"/>
            </w14:solidFill>
          </w14:textFill>
        </w:rPr>
        <w:t>3</w:t>
      </w:r>
      <w:r>
        <w:rPr>
          <w:rFonts w:ascii="Times New Roman" w:hAnsiTheme="minorEastAsia"/>
          <w:color w:val="000000" w:themeColor="text1"/>
          <w:sz w:val="24"/>
          <w:lang w:val="zh-CN"/>
          <w14:textFill>
            <w14:solidFill>
              <w14:schemeClr w14:val="tx1"/>
            </w14:solidFill>
          </w14:textFill>
        </w:rPr>
        <w:t>类标准</w:t>
      </w:r>
      <w:r>
        <w:rPr>
          <w:rFonts w:hint="eastAsia" w:ascii="Times New Roman" w:hAnsiTheme="minorEastAsia"/>
          <w:color w:val="000000" w:themeColor="text1"/>
          <w:sz w:val="24"/>
          <w:lang w:val="zh-CN"/>
          <w14:textFill>
            <w14:solidFill>
              <w14:schemeClr w14:val="tx1"/>
            </w14:solidFill>
          </w14:textFill>
        </w:rPr>
        <w:t>要求，</w:t>
      </w:r>
      <w:r>
        <w:rPr>
          <w:rFonts w:ascii="Times New Roman" w:cs="Times New Roman" w:hAnsiTheme="minorEastAsia"/>
          <w:color w:val="000000" w:themeColor="text1"/>
          <w:sz w:val="24"/>
          <w:lang w:val="zh-CN"/>
          <w14:textFill>
            <w14:solidFill>
              <w14:schemeClr w14:val="tx1"/>
            </w14:solidFill>
          </w14:textFill>
        </w:rPr>
        <w:t>项目所处区域声环境质量良好。</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67" w:name="_Toc24516"/>
      <w:bookmarkStart w:id="368" w:name="_Toc20021"/>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.3.5土壤环境质量现状监测与评价</w:t>
      </w:r>
      <w:bookmarkEnd w:id="367"/>
      <w:bookmarkEnd w:id="368"/>
    </w:p>
    <w:p>
      <w:pPr>
        <w:pStyle w:val="2"/>
        <w:snapToGrid w:val="0"/>
        <w:spacing w:after="0" w:line="520" w:lineRule="exact"/>
        <w:ind w:firstLine="480" w:firstLineChars="200"/>
        <w:rPr>
          <w:rFonts w:ascii="Times New Roman" w:hAnsi="Times New Roman" w:cs="Times New Roman"/>
          <w:color w:val="000000" w:themeColor="text1"/>
          <w:sz w:val="24"/>
          <w:lang w:val="zh-CN"/>
          <w14:textFill>
            <w14:solidFill>
              <w14:schemeClr w14:val="tx1"/>
            </w14:solidFill>
          </w14:textFill>
        </w:rPr>
      </w:pPr>
      <w:r>
        <w:rPr>
          <w:rFonts w:hint="eastAsia" w:ascii="Times New Roman" w:hAnsi="Times New Roman" w:cs="Times New Roman"/>
          <w:color w:val="000000" w:themeColor="text1"/>
          <w:sz w:val="24"/>
          <w:lang w:val="zh-CN"/>
          <w14:textFill>
            <w14:solidFill>
              <w14:schemeClr w14:val="tx1"/>
            </w14:solidFill>
          </w14:textFill>
        </w:rPr>
        <w:t>为了解项目区域土壤环境质量现状，本次环评期间委托湖北恒驰检测技术有限公司对项目所在区域土壤进行了监测，监测时间为202</w:t>
      </w:r>
      <w:r>
        <w:rPr>
          <w:rFonts w:hint="eastAsia"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lang w:val="zh-CN"/>
          <w14:textFill>
            <w14:solidFill>
              <w14:schemeClr w14:val="tx1"/>
            </w14:solidFill>
          </w14:textFill>
        </w:rPr>
        <w:t>年</w:t>
      </w:r>
      <w:r>
        <w:rPr>
          <w:rFonts w:hint="eastAsia" w:ascii="Times New Roman" w:hAnsi="Times New Roman" w:cs="Times New Roman"/>
          <w:color w:val="000000" w:themeColor="text1"/>
          <w:sz w:val="24"/>
          <w14:textFill>
            <w14:solidFill>
              <w14:schemeClr w14:val="tx1"/>
            </w14:solidFill>
          </w14:textFill>
        </w:rPr>
        <w:t>6</w:t>
      </w:r>
      <w:r>
        <w:rPr>
          <w:rFonts w:hint="eastAsia" w:ascii="Times New Roman" w:hAnsi="Times New Roman" w:cs="Times New Roman"/>
          <w:color w:val="000000" w:themeColor="text1"/>
          <w:sz w:val="24"/>
          <w:lang w:val="zh-CN"/>
          <w14:textFill>
            <w14:solidFill>
              <w14:schemeClr w14:val="tx1"/>
            </w14:solidFill>
          </w14:textFill>
        </w:rPr>
        <w:t>月</w:t>
      </w:r>
      <w:r>
        <w:rPr>
          <w:rFonts w:hint="eastAsia" w:ascii="Times New Roman" w:hAnsi="Times New Roman" w:cs="Times New Roman"/>
          <w:color w:val="000000" w:themeColor="text1"/>
          <w:sz w:val="24"/>
          <w14:textFill>
            <w14:solidFill>
              <w14:schemeClr w14:val="tx1"/>
            </w14:solidFill>
          </w14:textFill>
        </w:rPr>
        <w:t>11</w:t>
      </w:r>
      <w:r>
        <w:rPr>
          <w:rFonts w:hint="eastAsia" w:ascii="Times New Roman" w:hAnsi="Times New Roman" w:cs="Times New Roman"/>
          <w:color w:val="000000" w:themeColor="text1"/>
          <w:sz w:val="24"/>
          <w:lang w:val="zh-CN"/>
          <w14:textFill>
            <w14:solidFill>
              <w14:schemeClr w14:val="tx1"/>
            </w14:solidFill>
          </w14:textFill>
        </w:rPr>
        <w:t>日。</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ascii="Times New Roman" w:cs="Times New Roman" w:hAnsiTheme="minorEastAsia"/>
          <w:color w:val="000000" w:themeColor="text1"/>
          <w:sz w:val="24"/>
          <w:lang w:val="zh-CN"/>
          <w14:textFill>
            <w14:solidFill>
              <w14:schemeClr w14:val="tx1"/>
            </w14:solidFill>
          </w14:textFill>
        </w:rPr>
        <w:t>根据《环境影响评价技术导则 土壤环境（试行）》（HJ964-2018），</w:t>
      </w:r>
      <w:r>
        <w:rPr>
          <w:rFonts w:hint="eastAsia" w:ascii="Times New Roman" w:cs="Times New Roman" w:hAnsiTheme="minorEastAsia"/>
          <w:color w:val="000000" w:themeColor="text1"/>
          <w:sz w:val="24"/>
          <w:lang w:val="zh-CN"/>
          <w14:textFill>
            <w14:solidFill>
              <w14:schemeClr w14:val="tx1"/>
            </w14:solidFill>
          </w14:textFill>
        </w:rPr>
        <w:t>在项目厂界内取3个柱状样点和1个表层样点、厂界外2个表层样点（表层样应在0-0.2m取样；柱状样通常在0-0.5m、0.5-1.5m、1.5-3m、3-5m处分别取1个样）</w:t>
      </w:r>
      <w:r>
        <w:rPr>
          <w:rFonts w:ascii="Times New Roman" w:cs="Times New Roman" w:hAnsiTheme="minorEastAsia"/>
          <w:color w:val="000000" w:themeColor="text1"/>
          <w:sz w:val="24"/>
          <w:lang w:val="zh-CN"/>
          <w14:textFill>
            <w14:solidFill>
              <w14:schemeClr w14:val="tx1"/>
            </w14:solidFill>
          </w14:textFill>
        </w:rPr>
        <w:t>，具体监测点位见监测布点图。</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ascii="Times New Roman" w:cs="Times New Roman" w:hAnsiTheme="minorEastAsia"/>
          <w:color w:val="000000" w:themeColor="text1"/>
          <w:sz w:val="24"/>
          <w:lang w:val="zh-CN"/>
          <w14:textFill>
            <w14:solidFill>
              <w14:schemeClr w14:val="tx1"/>
            </w14:solidFill>
          </w14:textFill>
        </w:rPr>
        <w:t>（</w:t>
      </w:r>
      <w:r>
        <w:rPr>
          <w:rFonts w:hint="eastAsia" w:ascii="Times New Roman" w:cs="Times New Roman" w:hAnsiTheme="minorEastAsia"/>
          <w:color w:val="000000" w:themeColor="text1"/>
          <w:sz w:val="24"/>
          <w:lang w:val="zh-CN"/>
          <w14:textFill>
            <w14:solidFill>
              <w14:schemeClr w14:val="tx1"/>
            </w14:solidFill>
          </w14:textFill>
        </w:rPr>
        <w:t>1</w:t>
      </w:r>
      <w:r>
        <w:rPr>
          <w:rFonts w:ascii="Times New Roman" w:cs="Times New Roman" w:hAnsiTheme="minorEastAsia"/>
          <w:color w:val="000000" w:themeColor="text1"/>
          <w:sz w:val="24"/>
          <w:lang w:val="zh-CN"/>
          <w14:textFill>
            <w14:solidFill>
              <w14:schemeClr w14:val="tx1"/>
            </w14:solidFill>
          </w14:textFill>
        </w:rPr>
        <w:t>）监测因子</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ascii="Times New Roman" w:cs="Times New Roman" w:hAnsiTheme="minorEastAsia"/>
          <w:color w:val="000000" w:themeColor="text1"/>
          <w:sz w:val="24"/>
          <w:lang w:val="zh-CN"/>
          <w14:textFill>
            <w14:solidFill>
              <w14:schemeClr w14:val="tx1"/>
            </w14:solidFill>
          </w14:textFill>
        </w:rPr>
        <w:t>本项目特征因子：</w:t>
      </w:r>
      <w:r>
        <w:rPr>
          <w:rFonts w:hint="eastAsia" w:ascii="Times New Roman" w:cs="Times New Roman" w:hAnsiTheme="minorEastAsia"/>
          <w:color w:val="000000" w:themeColor="text1"/>
          <w:sz w:val="24"/>
          <w:lang w:val="zh-CN"/>
          <w14:textFill>
            <w14:solidFill>
              <w14:schemeClr w14:val="tx1"/>
            </w14:solidFill>
          </w14:textFill>
        </w:rPr>
        <w:t>砷、镉、铬（六价）、铜、铅、汞、镍</w:t>
      </w:r>
      <w:r>
        <w:rPr>
          <w:rFonts w:ascii="Times New Roman" w:cs="Times New Roman" w:hAnsiTheme="minorEastAsia"/>
          <w:color w:val="000000" w:themeColor="text1"/>
          <w:sz w:val="24"/>
          <w:lang w:val="zh-CN"/>
          <w14:textFill>
            <w14:solidFill>
              <w14:schemeClr w14:val="tx1"/>
            </w14:solidFill>
          </w14:textFill>
        </w:rPr>
        <w:t>。</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ascii="Times New Roman" w:cs="Times New Roman" w:hAnsiTheme="minorEastAsia"/>
          <w:color w:val="000000" w:themeColor="text1"/>
          <w:sz w:val="24"/>
          <w:lang w:val="zh-CN"/>
          <w14:textFill>
            <w14:solidFill>
              <w14:schemeClr w14:val="tx1"/>
            </w14:solidFill>
          </w14:textFill>
        </w:rPr>
        <w:t>本项目基本监测因子：</w:t>
      </w:r>
      <w:r>
        <w:rPr>
          <w:rFonts w:hint="eastAsia" w:ascii="Times New Roman" w:cs="Times New Roman" w:hAnsiTheme="minorEastAsia"/>
          <w:color w:val="000000" w:themeColor="text1"/>
          <w:sz w:val="24"/>
          <w:lang w:val="zh-CN"/>
          <w14:textFill>
            <w14:solidFill>
              <w14:schemeClr w14:val="tx1"/>
            </w14:solidFill>
          </w14:textFill>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ascii="Times New Roman" w:cs="Times New Roman" w:hAnsiTheme="minorEastAsia"/>
          <w:color w:val="000000" w:themeColor="text1"/>
          <w:sz w:val="24"/>
          <w:lang w:val="zh-CN"/>
          <w14:textFill>
            <w14:solidFill>
              <w14:schemeClr w14:val="tx1"/>
            </w14:solidFill>
          </w14:textFill>
        </w:rPr>
        <w:t>。</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ascii="Times New Roman" w:cs="Times New Roman" w:hAnsiTheme="minorEastAsia"/>
          <w:color w:val="000000" w:themeColor="text1"/>
          <w:sz w:val="24"/>
          <w:lang w:val="zh-CN"/>
          <w14:textFill>
            <w14:solidFill>
              <w14:schemeClr w14:val="tx1"/>
            </w14:solidFill>
          </w14:textFill>
        </w:rPr>
        <w:t>理化特性：</w:t>
      </w:r>
      <w:r>
        <w:rPr>
          <w:rFonts w:hint="eastAsia" w:ascii="Times New Roman" w:cs="Times New Roman" w:hAnsiTheme="minorEastAsia"/>
          <w:color w:val="000000" w:themeColor="text1"/>
          <w:sz w:val="24"/>
          <w:lang w:val="zh-CN"/>
          <w14:textFill>
            <w14:solidFill>
              <w14:schemeClr w14:val="tx1"/>
            </w14:solidFill>
          </w14:textFill>
        </w:rPr>
        <w:t>颜色、结构、质地、砂砾含量、其他异物、PH、阳离子交换量、氧化还原电位、饱和导水率（cm/s）、土壤容重（kg/m</w:t>
      </w:r>
      <w:r>
        <w:rPr>
          <w:rFonts w:hint="eastAsia" w:ascii="Times New Roman" w:cs="Times New Roman" w:hAnsiTheme="minorEastAsia"/>
          <w:color w:val="000000" w:themeColor="text1"/>
          <w:sz w:val="24"/>
          <w:vertAlign w:val="superscript"/>
          <w:lang w:val="zh-CN"/>
          <w14:textFill>
            <w14:solidFill>
              <w14:schemeClr w14:val="tx1"/>
            </w14:solidFill>
          </w14:textFill>
        </w:rPr>
        <w:t>3</w:t>
      </w:r>
      <w:r>
        <w:rPr>
          <w:rFonts w:hint="eastAsia" w:ascii="Times New Roman" w:cs="Times New Roman" w:hAnsiTheme="minorEastAsia"/>
          <w:color w:val="000000" w:themeColor="text1"/>
          <w:sz w:val="24"/>
          <w:lang w:val="zh-CN"/>
          <w14:textFill>
            <w14:solidFill>
              <w14:schemeClr w14:val="tx1"/>
            </w14:solidFill>
          </w14:textFill>
        </w:rPr>
        <w:t>）、孔隙度</w:t>
      </w:r>
      <w:r>
        <w:rPr>
          <w:rFonts w:ascii="Times New Roman" w:cs="Times New Roman" w:hAnsiTheme="minorEastAsia"/>
          <w:color w:val="000000" w:themeColor="text1"/>
          <w:sz w:val="24"/>
          <w:lang w:val="zh-CN"/>
          <w14:textFill>
            <w14:solidFill>
              <w14:schemeClr w14:val="tx1"/>
            </w14:solidFill>
          </w14:textFill>
        </w:rPr>
        <w:t>。</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ascii="Times New Roman" w:cs="Times New Roman" w:hAnsiTheme="minorEastAsia"/>
          <w:color w:val="000000" w:themeColor="text1"/>
          <w:sz w:val="24"/>
          <w:lang w:val="zh-CN"/>
          <w14:textFill>
            <w14:solidFill>
              <w14:schemeClr w14:val="tx1"/>
            </w14:solidFill>
          </w14:textFill>
        </w:rPr>
        <w:t>（</w:t>
      </w:r>
      <w:r>
        <w:rPr>
          <w:rFonts w:hint="eastAsia" w:ascii="Times New Roman" w:cs="Times New Roman" w:hAnsiTheme="minorEastAsia"/>
          <w:color w:val="000000" w:themeColor="text1"/>
          <w:sz w:val="24"/>
          <w:lang w:val="zh-CN"/>
          <w14:textFill>
            <w14:solidFill>
              <w14:schemeClr w14:val="tx1"/>
            </w14:solidFill>
          </w14:textFill>
        </w:rPr>
        <w:t>2</w:t>
      </w:r>
      <w:r>
        <w:rPr>
          <w:rFonts w:ascii="Times New Roman" w:cs="Times New Roman" w:hAnsiTheme="minorEastAsia"/>
          <w:color w:val="000000" w:themeColor="text1"/>
          <w:sz w:val="24"/>
          <w:lang w:val="zh-CN"/>
          <w14:textFill>
            <w14:solidFill>
              <w14:schemeClr w14:val="tx1"/>
            </w14:solidFill>
          </w14:textFill>
        </w:rPr>
        <w:t>）监测频次：按环评技术导则规定，监测1天，每天1次。</w:t>
      </w:r>
    </w:p>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r>
        <w:rPr>
          <w:rFonts w:ascii="Times New Roman" w:cs="Times New Roman" w:hAnsiTheme="minorEastAsia"/>
          <w:color w:val="000000" w:themeColor="text1"/>
          <w:sz w:val="24"/>
          <w:lang w:val="zh-CN"/>
          <w14:textFill>
            <w14:solidFill>
              <w14:schemeClr w14:val="tx1"/>
            </w14:solidFill>
          </w14:textFill>
        </w:rPr>
        <w:t>（</w:t>
      </w:r>
      <w:r>
        <w:rPr>
          <w:rFonts w:hint="eastAsia" w:ascii="Times New Roman" w:cs="Times New Roman" w:hAnsiTheme="minorEastAsia"/>
          <w:color w:val="000000" w:themeColor="text1"/>
          <w:sz w:val="24"/>
          <w:lang w:val="zh-CN"/>
          <w14:textFill>
            <w14:solidFill>
              <w14:schemeClr w14:val="tx1"/>
            </w14:solidFill>
          </w14:textFill>
        </w:rPr>
        <w:t>3</w:t>
      </w:r>
      <w:r>
        <w:rPr>
          <w:rFonts w:ascii="Times New Roman" w:cs="Times New Roman" w:hAnsiTheme="minorEastAsia"/>
          <w:color w:val="000000" w:themeColor="text1"/>
          <w:sz w:val="24"/>
          <w:lang w:val="zh-CN"/>
          <w14:textFill>
            <w14:solidFill>
              <w14:schemeClr w14:val="tx1"/>
            </w14:solidFill>
          </w14:textFill>
        </w:rPr>
        <w:t>）监测</w:t>
      </w:r>
      <w:r>
        <w:rPr>
          <w:rFonts w:hint="eastAsia" w:ascii="Times New Roman" w:cs="Times New Roman" w:hAnsiTheme="minorEastAsia"/>
          <w:color w:val="000000" w:themeColor="text1"/>
          <w:sz w:val="24"/>
          <w:lang w:val="zh-CN"/>
          <w14:textFill>
            <w14:solidFill>
              <w14:schemeClr w14:val="tx1"/>
            </w14:solidFill>
          </w14:textFill>
        </w:rPr>
        <w:t>布点：本项目土壤环境影响评价等级为二级评价，根据导则表6现状检测布点类型与数量的要求，本次评价在占地范围内布置4个采样点，其中含1个表层样点，3个柱状样点；在占地范围外设置2个表层样点，具体布置情况如下表所示。</w:t>
      </w:r>
    </w:p>
    <w:p>
      <w:pPr>
        <w:spacing w:before="240" w:beforeLines="10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5</w:t>
      </w:r>
      <w:r>
        <w:rPr>
          <w:rFonts w:hint="eastAsia" w:ascii="Times New Roman" w:hAnsi="Times New Roman"/>
          <w:b/>
          <w:color w:val="000000" w:themeColor="text1"/>
          <w:sz w:val="24"/>
          <w:szCs w:val="24"/>
          <w14:textFill>
            <w14:solidFill>
              <w14:schemeClr w14:val="tx1"/>
            </w14:solidFill>
          </w14:textFill>
        </w:rPr>
        <w:t>.3-14</w:t>
      </w:r>
      <w:r>
        <w:rPr>
          <w:rFonts w:ascii="Times New Roman" w:hAnsi="Times New Roman"/>
          <w:b/>
          <w:color w:val="000000" w:themeColor="text1"/>
          <w:sz w:val="24"/>
          <w:szCs w:val="24"/>
          <w14:textFill>
            <w14:solidFill>
              <w14:schemeClr w14:val="tx1"/>
            </w14:solidFill>
          </w14:textFill>
        </w:rPr>
        <w:t xml:space="preserve"> 土壤环境监测布点情况表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68"/>
        <w:gridCol w:w="3806"/>
        <w:gridCol w:w="25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l2br w:val="nil"/>
              <w:tr2bl w:val="nil"/>
            </w:tcBorders>
            <w:shd w:val="clear" w:color="auto" w:fill="FFFFFF"/>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序号</w:t>
            </w:r>
          </w:p>
        </w:tc>
        <w:tc>
          <w:tcPr>
            <w:tcW w:w="1968" w:type="dxa"/>
            <w:tcBorders>
              <w:tl2br w:val="nil"/>
              <w:tr2bl w:val="nil"/>
            </w:tcBorders>
            <w:shd w:val="clear" w:color="auto" w:fill="FFFFFF"/>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样品种类</w:t>
            </w:r>
          </w:p>
        </w:tc>
        <w:tc>
          <w:tcPr>
            <w:tcW w:w="3806" w:type="dxa"/>
            <w:tcBorders>
              <w:tl2br w:val="nil"/>
              <w:tr2bl w:val="nil"/>
            </w:tcBorders>
            <w:shd w:val="clear" w:color="auto" w:fill="FFFFFF"/>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监测内容</w:t>
            </w:r>
          </w:p>
        </w:tc>
        <w:tc>
          <w:tcPr>
            <w:tcW w:w="2510" w:type="dxa"/>
            <w:tcBorders>
              <w:tl2br w:val="nil"/>
              <w:tr2bl w:val="nil"/>
            </w:tcBorders>
            <w:shd w:val="clear" w:color="auto" w:fill="FFFFFF"/>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■S1</w:t>
            </w:r>
          </w:p>
        </w:tc>
        <w:tc>
          <w:tcPr>
            <w:tcW w:w="19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占地范围内表层样</w:t>
            </w:r>
          </w:p>
        </w:tc>
        <w:tc>
          <w:tcPr>
            <w:tcW w:w="380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建设用地特征因子+建设用地基本监测因子+理化特性</w:t>
            </w:r>
          </w:p>
        </w:tc>
        <w:tc>
          <w:tcPr>
            <w:tcW w:w="2510"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w:t>
            </w:r>
            <w:r>
              <w:rPr>
                <w:rFonts w:hint="eastAsia" w:ascii="Times New Roman" w:hAnsi="Times New Roman"/>
                <w:color w:val="000000" w:themeColor="text1"/>
                <w:sz w:val="18"/>
                <w:szCs w:val="18"/>
                <w:lang w:val="en-US" w:eastAsia="zh-CN"/>
                <w14:textFill>
                  <w14:solidFill>
                    <w14:schemeClr w14:val="tx1"/>
                  </w14:solidFill>
                </w14:textFill>
              </w:rPr>
              <w:t>1</w:t>
            </w:r>
            <w:r>
              <w:rPr>
                <w:rFonts w:ascii="Times New Roman" w:hAnsi="Times New Roman"/>
                <w:color w:val="000000" w:themeColor="text1"/>
                <w:sz w:val="18"/>
                <w:szCs w:val="18"/>
                <w14:textFill>
                  <w14:solidFill>
                    <w14:schemeClr w14:val="tx1"/>
                  </w14:solidFill>
                </w14:textFill>
              </w:rPr>
              <w:t>天，每天1次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■S2</w:t>
            </w:r>
          </w:p>
        </w:tc>
        <w:tc>
          <w:tcPr>
            <w:tcW w:w="19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占地范围内柱状样</w:t>
            </w:r>
          </w:p>
        </w:tc>
        <w:tc>
          <w:tcPr>
            <w:tcW w:w="380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建设用地特征因子</w:t>
            </w:r>
          </w:p>
        </w:tc>
        <w:tc>
          <w:tcPr>
            <w:tcW w:w="251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■S3</w:t>
            </w:r>
          </w:p>
        </w:tc>
        <w:tc>
          <w:tcPr>
            <w:tcW w:w="19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占地范围内柱状样</w:t>
            </w:r>
          </w:p>
        </w:tc>
        <w:tc>
          <w:tcPr>
            <w:tcW w:w="380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建设用地特征因子</w:t>
            </w:r>
          </w:p>
        </w:tc>
        <w:tc>
          <w:tcPr>
            <w:tcW w:w="251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■S4</w:t>
            </w:r>
          </w:p>
        </w:tc>
        <w:tc>
          <w:tcPr>
            <w:tcW w:w="19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占地范围内柱状样</w:t>
            </w:r>
          </w:p>
        </w:tc>
        <w:tc>
          <w:tcPr>
            <w:tcW w:w="380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建设用地特征因子</w:t>
            </w:r>
          </w:p>
        </w:tc>
        <w:tc>
          <w:tcPr>
            <w:tcW w:w="251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■S5</w:t>
            </w:r>
          </w:p>
        </w:tc>
        <w:tc>
          <w:tcPr>
            <w:tcW w:w="19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占地范围外表层样</w:t>
            </w:r>
          </w:p>
        </w:tc>
        <w:tc>
          <w:tcPr>
            <w:tcW w:w="380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建设用地特征因子</w:t>
            </w:r>
          </w:p>
        </w:tc>
        <w:tc>
          <w:tcPr>
            <w:tcW w:w="251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■S6</w:t>
            </w:r>
          </w:p>
        </w:tc>
        <w:tc>
          <w:tcPr>
            <w:tcW w:w="19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占地范围外表层样</w:t>
            </w:r>
          </w:p>
        </w:tc>
        <w:tc>
          <w:tcPr>
            <w:tcW w:w="380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建设用地特征因子</w:t>
            </w:r>
          </w:p>
        </w:tc>
        <w:tc>
          <w:tcPr>
            <w:tcW w:w="251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r>
    </w:tbl>
    <w:p>
      <w:pPr>
        <w:adjustRightInd w:val="0"/>
        <w:snapToGrid w:val="0"/>
        <w:spacing w:line="360" w:lineRule="auto"/>
        <w:ind w:firstLine="480" w:firstLineChars="200"/>
        <w:rPr>
          <w:rFonts w:ascii="Times New Roman" w:hAnsiTheme="minorEastAsia" w:eastAsiaTheme="minorEastAsia"/>
          <w:color w:val="000000" w:themeColor="text1"/>
          <w:sz w:val="24"/>
          <w:lang w:val="zh-TW" w:eastAsia="zh-TW"/>
          <w14:textFill>
            <w14:solidFill>
              <w14:schemeClr w14:val="tx1"/>
            </w14:solidFill>
          </w14:textFill>
        </w:rPr>
      </w:pPr>
      <w:r>
        <w:rPr>
          <w:rFonts w:ascii="Times New Roman" w:hAnsiTheme="minorEastAsia" w:eastAsiaTheme="minorEastAsia"/>
          <w:color w:val="000000" w:themeColor="text1"/>
          <w:sz w:val="24"/>
          <w:lang w:val="zh-TW" w:eastAsia="zh-TW"/>
          <w14:textFill>
            <w14:solidFill>
              <w14:schemeClr w14:val="tx1"/>
            </w14:solidFill>
          </w14:textFill>
        </w:rPr>
        <w:t>本次拟建区域土壤环境质量现状监测结果统计见</w:t>
      </w:r>
      <w:r>
        <w:rPr>
          <w:rFonts w:hint="eastAsia" w:ascii="Times New Roman" w:hAnsiTheme="minorEastAsia" w:eastAsiaTheme="minorEastAsia"/>
          <w:color w:val="000000" w:themeColor="text1"/>
          <w:sz w:val="24"/>
          <w:lang w:val="zh-TW"/>
          <w14:textFill>
            <w14:solidFill>
              <w14:schemeClr w14:val="tx1"/>
            </w14:solidFill>
          </w14:textFill>
        </w:rPr>
        <w:t>下</w:t>
      </w:r>
      <w:r>
        <w:rPr>
          <w:rFonts w:ascii="Times New Roman" w:hAnsiTheme="minorEastAsia" w:eastAsiaTheme="minorEastAsia"/>
          <w:color w:val="000000" w:themeColor="text1"/>
          <w:sz w:val="24"/>
          <w:lang w:val="zh-TW" w:eastAsia="zh-TW"/>
          <w14:textFill>
            <w14:solidFill>
              <w14:schemeClr w14:val="tx1"/>
            </w14:solidFill>
          </w14:textFill>
        </w:rPr>
        <w:t>表。</w:t>
      </w:r>
    </w:p>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3</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 xml:space="preserve">15 </w:t>
      </w:r>
      <w:r>
        <w:rPr>
          <w:rFonts w:ascii="Times New Roman" w:hAnsi="Times New Roman"/>
          <w:b/>
          <w:bCs/>
          <w:color w:val="000000" w:themeColor="text1"/>
          <w:sz w:val="24"/>
          <w:szCs w:val="24"/>
          <w14:textFill>
            <w14:solidFill>
              <w14:schemeClr w14:val="tx1"/>
            </w14:solidFill>
          </w14:textFill>
        </w:rPr>
        <w:t>土壤</w:t>
      </w:r>
      <w:r>
        <w:rPr>
          <w:rFonts w:hint="eastAsia" w:ascii="Times New Roman" w:hAnsi="Times New Roman"/>
          <w:b/>
          <w:bCs/>
          <w:color w:val="000000" w:themeColor="text1"/>
          <w:sz w:val="24"/>
          <w:szCs w:val="24"/>
          <w14:textFill>
            <w14:solidFill>
              <w14:schemeClr w14:val="tx1"/>
            </w14:solidFill>
          </w14:textFill>
        </w:rPr>
        <w:t>采样信息一览表</w:t>
      </w:r>
    </w:p>
    <w:tbl>
      <w:tblPr>
        <w:tblStyle w:val="87"/>
        <w:tblW w:w="91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097"/>
        <w:gridCol w:w="1540"/>
        <w:gridCol w:w="1758"/>
        <w:gridCol w:w="1760"/>
        <w:gridCol w:w="1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采样</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点位</w:t>
            </w:r>
          </w:p>
        </w:tc>
        <w:tc>
          <w:tcPr>
            <w:tcW w:w="2097" w:type="dxa"/>
            <w:tcBorders>
              <w:tl2br w:val="nil"/>
              <w:tr2bl w:val="nil"/>
            </w:tcBorders>
            <w:vAlign w:val="center"/>
          </w:tcPr>
          <w:p>
            <w:pPr>
              <w:widowControl/>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检测点位置</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坐标</w:t>
            </w:r>
          </w:p>
        </w:tc>
        <w:tc>
          <w:tcPr>
            <w:tcW w:w="1758" w:type="dxa"/>
            <w:tcBorders>
              <w:tl2br w:val="nil"/>
              <w:tr2bl w:val="nil"/>
            </w:tcBorders>
            <w:vAlign w:val="center"/>
          </w:tcPr>
          <w:p>
            <w:pPr>
              <w:jc w:val="center"/>
              <w:rPr>
                <w:rFonts w:ascii="Times New Roman" w:hAnsi="Times New Roman"/>
                <w:color w:val="000000" w:themeColor="text1"/>
                <w:sz w:val="18"/>
                <w:szCs w:val="18"/>
                <w:lang w:val="zh-TW" w:eastAsia="zh-TW" w:bidi="zh-TW"/>
                <w14:textFill>
                  <w14:solidFill>
                    <w14:schemeClr w14:val="tx1"/>
                  </w14:solidFill>
                </w14:textFill>
              </w:rPr>
            </w:pPr>
            <w:r>
              <w:rPr>
                <w:rFonts w:ascii="Times New Roman" w:hAnsi="Times New Roman"/>
                <w:color w:val="000000" w:themeColor="text1"/>
                <w:sz w:val="18"/>
                <w:szCs w:val="18"/>
                <w:lang w:val="zh-TW" w:eastAsia="zh-TW" w:bidi="zh-TW"/>
                <w14:textFill>
                  <w14:solidFill>
                    <w14:schemeClr w14:val="tx1"/>
                  </w14:solidFill>
                </w14:textFill>
              </w:rPr>
              <w:t>釆样</w:t>
            </w:r>
            <w:r>
              <w:rPr>
                <w:rFonts w:ascii="Times New Roman" w:hAnsi="Times New Roman"/>
                <w:color w:val="000000" w:themeColor="text1"/>
                <w:sz w:val="18"/>
                <w:szCs w:val="18"/>
                <w:lang w:eastAsia="en-US" w:bidi="en-US"/>
                <w14:textFill>
                  <w14:solidFill>
                    <w14:schemeClr w14:val="tx1"/>
                  </w14:solidFill>
                </w14:textFill>
              </w:rPr>
              <w:t>/</w:t>
            </w:r>
            <w:r>
              <w:rPr>
                <w:rFonts w:ascii="Times New Roman" w:hAnsi="Times New Roman"/>
                <w:color w:val="000000" w:themeColor="text1"/>
                <w:sz w:val="18"/>
                <w:szCs w:val="18"/>
                <w:lang w:val="zh-TW" w:eastAsia="zh-TW" w:bidi="zh-TW"/>
                <w14:textFill>
                  <w14:solidFill>
                    <w14:schemeClr w14:val="tx1"/>
                  </w14:solidFill>
                </w14:textFill>
              </w:rPr>
              <w:t>层次深度</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eastAsia="en-US" w:bidi="en-US"/>
                <w14:textFill>
                  <w14:solidFill>
                    <w14:schemeClr w14:val="tx1"/>
                  </w14:solidFill>
                </w14:textFill>
              </w:rPr>
              <w:t>（</w:t>
            </w:r>
            <w:r>
              <w:rPr>
                <w:rFonts w:ascii="Times New Roman" w:hAnsi="Times New Roman"/>
                <w:color w:val="000000" w:themeColor="text1"/>
                <w:sz w:val="18"/>
                <w:szCs w:val="18"/>
                <w:lang w:bidi="en-US"/>
                <w14:textFill>
                  <w14:solidFill>
                    <w14:schemeClr w14:val="tx1"/>
                  </w14:solidFill>
                </w14:textFill>
              </w:rPr>
              <w:t>m</w:t>
            </w:r>
            <w:r>
              <w:rPr>
                <w:rFonts w:ascii="Times New Roman" w:hAnsi="Times New Roman"/>
                <w:color w:val="000000" w:themeColor="text1"/>
                <w:sz w:val="18"/>
                <w:szCs w:val="18"/>
                <w:lang w:eastAsia="en-US" w:bidi="en-US"/>
                <w14:textFill>
                  <w14:solidFill>
                    <w14:schemeClr w14:val="tx1"/>
                  </w14:solidFill>
                </w14:textFill>
              </w:rPr>
              <w:t>）</w:t>
            </w:r>
          </w:p>
        </w:tc>
        <w:tc>
          <w:tcPr>
            <w:tcW w:w="1760" w:type="dxa"/>
            <w:tcBorders>
              <w:tl2br w:val="nil"/>
              <w:tr2bl w:val="nil"/>
            </w:tcBorders>
            <w:vAlign w:val="center"/>
          </w:tcPr>
          <w:p>
            <w:pPr>
              <w:jc w:val="center"/>
              <w:rPr>
                <w:rFonts w:ascii="Times New Roman" w:hAnsi="Times New Roman"/>
                <w:color w:val="000000" w:themeColor="text1"/>
                <w:sz w:val="18"/>
                <w:szCs w:val="18"/>
                <w:lang w:val="zh-TW" w:eastAsia="zh-TW" w:bidi="zh-TW"/>
                <w14:textFill>
                  <w14:solidFill>
                    <w14:schemeClr w14:val="tx1"/>
                  </w14:solidFill>
                </w14:textFill>
              </w:rPr>
            </w:pPr>
            <w:r>
              <w:rPr>
                <w:rFonts w:ascii="Times New Roman" w:hAnsi="Times New Roman"/>
                <w:color w:val="000000" w:themeColor="text1"/>
                <w:sz w:val="18"/>
                <w:szCs w:val="18"/>
                <w:lang w:val="zh-TW" w:eastAsia="zh-TW" w:bidi="zh-TW"/>
                <w14:textFill>
                  <w14:solidFill>
                    <w14:schemeClr w14:val="tx1"/>
                  </w14:solidFill>
                </w14:textFill>
              </w:rPr>
              <w:t>样品状态</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采样日期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S1</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111.535830°</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30.243694°</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表层样0-0.2</w:t>
            </w:r>
          </w:p>
        </w:tc>
        <w:tc>
          <w:tcPr>
            <w:tcW w:w="1760" w:type="dxa"/>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S2-1</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111.535557°</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30.243456°</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柱状样0-0.5</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S2-2</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111.535557°</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30.243456°</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柱状样0.5-1.5</w:t>
            </w:r>
          </w:p>
        </w:tc>
        <w:tc>
          <w:tcPr>
            <w:tcW w:w="1760" w:type="dxa"/>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、潮、无根系植物、壤土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S2-3</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111.535557°</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30.243456°</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柱状样1.5-3</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S2-4</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111.535557°</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30.243456°</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柱状样3-5</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S3-1</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111.536187°</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30.243248°</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柱状样0-0.5</w:t>
            </w:r>
          </w:p>
        </w:tc>
        <w:tc>
          <w:tcPr>
            <w:tcW w:w="1760" w:type="dxa"/>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S3-2</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111.536187°</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30.243248°</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柱状样0.5-1.5</w:t>
            </w:r>
          </w:p>
        </w:tc>
        <w:tc>
          <w:tcPr>
            <w:tcW w:w="1760" w:type="dxa"/>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、潮、无根系植物、壤土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S3-3</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111.536187°</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30.243248°</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柱状样1.5-3</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S3-4</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111.536187°</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30.243248°</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柱状样3-5</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S4-1</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111.535884°</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30.243733°</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柱状样0-0.5</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S4-2</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111.535884°</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30.243733°</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柱状样0.5-1.5</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、潮、无根系植物、壤土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S4-3</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111.535884°</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30.243733°</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柱状样1.5-3</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S4-4</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占地范围内</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111.535884°</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30.243733°</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柱状样3-5</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S5</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占地范围外</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111.535773°</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30.244187°</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表层样0-0.2</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、潮、无根系植物、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S6</w:t>
            </w:r>
          </w:p>
        </w:tc>
        <w:tc>
          <w:tcPr>
            <w:tcW w:w="20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占地范围外</w:t>
            </w:r>
          </w:p>
        </w:tc>
        <w:tc>
          <w:tcPr>
            <w:tcW w:w="154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111.536045°</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 30.244077°</w:t>
            </w:r>
          </w:p>
        </w:tc>
        <w:tc>
          <w:tcPr>
            <w:tcW w:w="175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表层样0-0.2</w:t>
            </w:r>
          </w:p>
        </w:tc>
        <w:tc>
          <w:tcPr>
            <w:tcW w:w="1760" w:type="dxa"/>
            <w:tcBorders>
              <w:tl2br w:val="nil"/>
              <w:tr2bl w:val="nil"/>
            </w:tcBorders>
            <w:vAlign w:val="center"/>
          </w:tcPr>
          <w:p>
            <w:pPr>
              <w:jc w:val="center"/>
              <w:rPr>
                <w:rFonts w:ascii="Times New Roman" w:hAnsi="Times New Roman"/>
                <w:color w:val="000000" w:themeColor="text1"/>
                <w:sz w:val="18"/>
                <w:szCs w:val="18"/>
                <w:highlight w:val="yellow"/>
                <w:lang w:val="zh-TW"/>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红棕色</w:t>
            </w:r>
            <w:r>
              <w:rPr>
                <w:rFonts w:ascii="Times New Roman" w:hAnsi="Times New Roman"/>
                <w:color w:val="000000" w:themeColor="text1"/>
                <w:sz w:val="18"/>
                <w:szCs w:val="18"/>
                <w:lang w:val="zh-TW" w:eastAsia="zh-TW"/>
                <w14:textFill>
                  <w14:solidFill>
                    <w14:schemeClr w14:val="tx1"/>
                  </w14:solidFill>
                </w14:textFill>
              </w:rPr>
              <w:t>、潮、</w:t>
            </w:r>
            <w:r>
              <w:rPr>
                <w:rFonts w:ascii="Times New Roman" w:hAnsi="Times New Roman"/>
                <w:color w:val="000000" w:themeColor="text1"/>
                <w:sz w:val="18"/>
                <w:szCs w:val="18"/>
                <w:lang w:val="zh-TW"/>
                <w14:textFill>
                  <w14:solidFill>
                    <w14:schemeClr w14:val="tx1"/>
                  </w14:solidFill>
                </w14:textFill>
              </w:rPr>
              <w:t>少量</w:t>
            </w:r>
            <w:r>
              <w:rPr>
                <w:rFonts w:ascii="Times New Roman" w:hAnsi="Times New Roman"/>
                <w:color w:val="000000" w:themeColor="text1"/>
                <w:sz w:val="18"/>
                <w:szCs w:val="18"/>
                <w:lang w:val="zh-TW" w:eastAsia="zh-TW"/>
                <w14:textFill>
                  <w14:solidFill>
                    <w14:schemeClr w14:val="tx1"/>
                  </w14:solidFill>
                </w14:textFill>
              </w:rPr>
              <w:t>根系植物、</w:t>
            </w:r>
            <w:r>
              <w:rPr>
                <w:rFonts w:ascii="Times New Roman" w:hAnsi="Times New Roman"/>
                <w:color w:val="000000" w:themeColor="text1"/>
                <w:sz w:val="18"/>
                <w:szCs w:val="18"/>
                <w:lang w:val="zh-TW"/>
                <w14:textFill>
                  <w14:solidFill>
                    <w14:schemeClr w14:val="tx1"/>
                  </w14:solidFill>
                </w14:textFill>
              </w:rPr>
              <w:t>砂</w:t>
            </w:r>
            <w:r>
              <w:rPr>
                <w:rFonts w:ascii="Times New Roman" w:hAnsi="Times New Roman"/>
                <w:color w:val="000000" w:themeColor="text1"/>
                <w:sz w:val="18"/>
                <w:szCs w:val="18"/>
                <w:lang w:val="zh-TW" w:eastAsia="zh-TW"/>
                <w14:textFill>
                  <w14:solidFill>
                    <w14:schemeClr w14:val="tx1"/>
                  </w14:solidFill>
                </w14:textFill>
              </w:rPr>
              <w:t>土</w:t>
            </w:r>
          </w:p>
        </w:tc>
        <w:tc>
          <w:tcPr>
            <w:tcW w:w="1199"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2021年</w:t>
            </w:r>
          </w:p>
          <w:p>
            <w:pPr>
              <w:jc w:val="center"/>
              <w:rPr>
                <w:rFonts w:ascii="Times New Roman" w:hAnsi="Times New Roman"/>
                <w:color w:val="000000" w:themeColor="text1"/>
                <w:sz w:val="18"/>
                <w:szCs w:val="18"/>
                <w:highlight w:val="yello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06月11日</w:t>
            </w:r>
          </w:p>
        </w:tc>
      </w:tr>
    </w:tbl>
    <w:p>
      <w:pPr>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5</w:t>
      </w:r>
      <w:r>
        <w:rPr>
          <w:rFonts w:hint="eastAsia" w:ascii="Times New Roman" w:hAnsi="Times New Roman"/>
          <w:b/>
          <w:color w:val="000000" w:themeColor="text1"/>
          <w:sz w:val="24"/>
          <w:szCs w:val="24"/>
          <w14:textFill>
            <w14:solidFill>
              <w14:schemeClr w14:val="tx1"/>
            </w14:solidFill>
          </w14:textFill>
        </w:rPr>
        <w:t xml:space="preserve">.3-16 </w:t>
      </w:r>
      <w:r>
        <w:rPr>
          <w:rFonts w:ascii="Times New Roman" w:hAnsi="Times New Roman"/>
          <w:b/>
          <w:color w:val="000000" w:themeColor="text1"/>
          <w:sz w:val="24"/>
          <w:szCs w:val="24"/>
          <w14:textFill>
            <w14:solidFill>
              <w14:schemeClr w14:val="tx1"/>
            </w14:solidFill>
          </w14:textFill>
        </w:rPr>
        <w:t>土壤理化特性调查表</w:t>
      </w:r>
    </w:p>
    <w:tbl>
      <w:tblPr>
        <w:tblStyle w:val="87"/>
        <w:tblW w:w="90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70"/>
        <w:gridCol w:w="2454"/>
        <w:gridCol w:w="1771"/>
        <w:gridCol w:w="1771"/>
        <w:gridCol w:w="17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3724"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点号</w:t>
            </w:r>
          </w:p>
        </w:tc>
        <w:tc>
          <w:tcPr>
            <w:tcW w:w="177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S1占地范围内</w:t>
            </w:r>
          </w:p>
        </w:tc>
        <w:tc>
          <w:tcPr>
            <w:tcW w:w="177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日期</w:t>
            </w:r>
          </w:p>
        </w:tc>
        <w:tc>
          <w:tcPr>
            <w:tcW w:w="177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2021年6月11日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3724"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坐标</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 1</w:t>
            </w:r>
            <w:r>
              <w:rPr>
                <w:rFonts w:hint="eastAsia" w:ascii="Times New Roman" w:hAnsi="Times New Roman"/>
                <w:color w:val="000000" w:themeColor="text1"/>
                <w:sz w:val="18"/>
                <w:szCs w:val="18"/>
                <w14:textFill>
                  <w14:solidFill>
                    <w14:schemeClr w14:val="tx1"/>
                  </w14:solidFill>
                </w14:textFill>
              </w:rPr>
              <w:t>11.535830</w:t>
            </w:r>
            <w:r>
              <w:rPr>
                <w:rFonts w:ascii="Times New Roman" w:hAnsi="Times New Roman"/>
                <w:color w:val="000000" w:themeColor="text1"/>
                <w:sz w:val="18"/>
                <w:szCs w:val="18"/>
                <w14:textFill>
                  <w14:solidFill>
                    <w14:schemeClr w14:val="tx1"/>
                  </w14:solidFill>
                </w14:textFill>
              </w:rPr>
              <w:t>°</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 xml:space="preserve">N </w:t>
            </w:r>
            <w:r>
              <w:rPr>
                <w:rFonts w:hint="eastAsia" w:ascii="Times New Roman" w:hAnsi="Times New Roman"/>
                <w:color w:val="000000" w:themeColor="text1"/>
                <w:sz w:val="18"/>
                <w:szCs w:val="18"/>
                <w14:textFill>
                  <w14:solidFill>
                    <w14:schemeClr w14:val="tx1"/>
                  </w14:solidFill>
                </w14:textFill>
              </w:rPr>
              <w:t>30.243694</w:t>
            </w:r>
            <w:r>
              <w:rPr>
                <w:rFonts w:ascii="Times New Roman" w:hAnsi="Times New Roman"/>
                <w:color w:val="000000" w:themeColor="text1"/>
                <w:sz w:val="18"/>
                <w:szCs w:val="18"/>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3724"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层次</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表层样0-0.2m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现场记录</w:t>
            </w: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颜色</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zh-TW"/>
                <w14:textFill>
                  <w14:solidFill>
                    <w14:schemeClr w14:val="tx1"/>
                  </w14:solidFill>
                </w14:textFill>
              </w:rPr>
              <w:t>红棕</w:t>
            </w:r>
            <w:r>
              <w:rPr>
                <w:rFonts w:ascii="Times New Roman" w:hAnsi="Times New Roman"/>
                <w:color w:val="000000" w:themeColor="text1"/>
                <w:sz w:val="18"/>
                <w:szCs w:val="18"/>
                <w:lang w:val="zh-TW"/>
                <w14:textFill>
                  <w14:solidFill>
                    <w14:schemeClr w14:val="tx1"/>
                  </w14:solidFill>
                </w14:textFill>
              </w:rPr>
              <w:t>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结构</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团粒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质地</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val="zh-TW"/>
                <w14:textFill>
                  <w14:solidFill>
                    <w14:schemeClr w14:val="tx1"/>
                  </w14:solidFill>
                </w14:textFill>
              </w:rPr>
              <w:t>砂</w:t>
            </w:r>
            <w:r>
              <w:rPr>
                <w:rFonts w:hint="eastAsia" w:ascii="Times New Roman" w:hAnsi="Times New Roman"/>
                <w:color w:val="000000" w:themeColor="text1"/>
                <w:sz w:val="18"/>
                <w:szCs w:val="18"/>
                <w14:textFill>
                  <w14:solidFill>
                    <w14:schemeClr w14:val="tx1"/>
                  </w14:solidFill>
                </w14:textFill>
              </w:rPr>
              <w:t>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砂砾含量（%）</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&lt;20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其他异物</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实验室测定</w:t>
            </w: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pH值（无量纲）</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阳离子交换量（cmol/kg）</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氧化还原电位（mv）</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饱和导水率（cm/s）</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土壤容重（kg/m</w:t>
            </w:r>
            <w:r>
              <w:rPr>
                <w:rFonts w:hint="eastAsia" w:ascii="Times New Roman" w:hAnsi="Times New Roman"/>
                <w:color w:val="000000" w:themeColor="text1"/>
                <w:sz w:val="18"/>
                <w:szCs w:val="18"/>
                <w:vertAlign w:val="superscript"/>
                <w14:textFill>
                  <w14:solidFill>
                    <w14:schemeClr w14:val="tx1"/>
                  </w14:solidFill>
                </w14:textFill>
              </w:rPr>
              <w:t>3</w:t>
            </w:r>
            <w:r>
              <w:rPr>
                <w:rFonts w:hint="eastAsia" w:ascii="Times New Roman" w:hAnsi="Times New Roman"/>
                <w:color w:val="000000" w:themeColor="text1"/>
                <w:sz w:val="18"/>
                <w:szCs w:val="18"/>
                <w14:textFill>
                  <w14:solidFill>
                    <w14:schemeClr w14:val="tx1"/>
                  </w14:solidFill>
                </w14:textFill>
              </w:rPr>
              <w:t>）</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1270"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245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孔隙度（%）</w:t>
            </w:r>
          </w:p>
        </w:tc>
        <w:tc>
          <w:tcPr>
            <w:tcW w:w="5315" w:type="dxa"/>
            <w:gridSpan w:val="3"/>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44.8</w:t>
            </w:r>
          </w:p>
        </w:tc>
      </w:tr>
    </w:tbl>
    <w:p>
      <w:pPr>
        <w:pStyle w:val="2"/>
        <w:snapToGrid w:val="0"/>
        <w:spacing w:after="0" w:line="520" w:lineRule="exact"/>
        <w:ind w:firstLine="480" w:firstLineChars="200"/>
        <w:rPr>
          <w:rFonts w:ascii="Times New Roman" w:cs="Times New Roman" w:hAnsiTheme="minorEastAsia"/>
          <w:color w:val="000000" w:themeColor="text1"/>
          <w:sz w:val="24"/>
          <w:lang w:val="zh-CN"/>
          <w14:textFill>
            <w14:solidFill>
              <w14:schemeClr w14:val="tx1"/>
            </w14:solidFill>
          </w14:textFill>
        </w:rPr>
      </w:pPr>
    </w:p>
    <w:p>
      <w:pPr>
        <w:pStyle w:val="433"/>
        <w:spacing w:before="48"/>
        <w:ind w:firstLine="0" w:firstLineChars="0"/>
        <w:rPr>
          <w:rFonts w:ascii="Times New Roman" w:hAnsi="Times New Roman" w:eastAsia="黑体" w:cs="Times New Roman"/>
          <w:b/>
          <w:color w:val="000000" w:themeColor="text1"/>
          <w:kern w:val="0"/>
          <w:sz w:val="28"/>
          <w:szCs w:val="28"/>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3</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17</w:t>
      </w:r>
      <w:r>
        <w:rPr>
          <w:rFonts w:ascii="Times New Roman" w:hAnsi="Times New Roman"/>
          <w:b/>
          <w:bCs/>
          <w:color w:val="000000" w:themeColor="text1"/>
          <w:sz w:val="24"/>
          <w:szCs w:val="24"/>
          <w14:textFill>
            <w14:solidFill>
              <w14:schemeClr w14:val="tx1"/>
            </w14:solidFill>
          </w14:textFill>
        </w:rPr>
        <w:t xml:space="preserve"> 土壤检测结果一览表</w:t>
      </w:r>
    </w:p>
    <w:tbl>
      <w:tblPr>
        <w:tblStyle w:val="87"/>
        <w:tblW w:w="91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2809"/>
        <w:gridCol w:w="4324"/>
        <w:gridCol w:w="2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tblHeader/>
          <w:jc w:val="center"/>
        </w:trPr>
        <w:tc>
          <w:tcPr>
            <w:tcW w:w="2809"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val="zh-TW" w:eastAsia="zh-TW"/>
                <w14:textFill>
                  <w14:solidFill>
                    <w14:schemeClr w14:val="tx1"/>
                  </w14:solidFill>
                </w14:textFill>
              </w:rPr>
              <w:t>检测项目</w:t>
            </w:r>
          </w:p>
        </w:tc>
        <w:tc>
          <w:tcPr>
            <w:tcW w:w="4324" w:type="dxa"/>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lang w:val="zh-TW" w:eastAsia="zh-TW"/>
                <w14:textFill>
                  <w14:solidFill>
                    <w14:schemeClr w14:val="tx1"/>
                  </w14:solidFill>
                </w14:textFill>
              </w:rPr>
              <w:t>检测结果</w:t>
            </w:r>
            <w:r>
              <w:rPr>
                <w:rFonts w:ascii="Times New Roman" w:hAnsi="Times New Roman"/>
                <w:color w:val="000000" w:themeColor="text1"/>
                <w:sz w:val="18"/>
                <w:szCs w:val="18"/>
                <w14:textFill>
                  <w14:solidFill>
                    <w14:schemeClr w14:val="tx1"/>
                  </w14:solidFill>
                </w14:textFill>
              </w:rPr>
              <w:t>（mg/kg）</w:t>
            </w:r>
          </w:p>
        </w:tc>
        <w:tc>
          <w:tcPr>
            <w:tcW w:w="2005" w:type="dxa"/>
            <w:vMerge w:val="restart"/>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标准限值（mg/kg）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tblHeader/>
          <w:jc w:val="center"/>
        </w:trPr>
        <w:tc>
          <w:tcPr>
            <w:tcW w:w="2809"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S1占地范围内（表层样0-0.2）</w:t>
            </w:r>
          </w:p>
        </w:tc>
        <w:tc>
          <w:tcPr>
            <w:tcW w:w="2005"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砷</w:t>
            </w: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13.5</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镉</w:t>
            </w: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0.28</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六价铬</w:t>
            </w: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铜</w:t>
            </w: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铅</w:t>
            </w: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34</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汞</w:t>
            </w: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0.241</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镍</w:t>
            </w:r>
          </w:p>
        </w:tc>
        <w:tc>
          <w:tcPr>
            <w:tcW w:w="432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四氯化碳</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&lt;0.03</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氯仿</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氯甲烷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&lt;0.003</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1,1-二氯乙烷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1,2-二氯乙烷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&lt;0.01</w:t>
            </w:r>
          </w:p>
        </w:tc>
        <w:tc>
          <w:tcPr>
            <w:tcW w:w="2005" w:type="dxa"/>
            <w:tcBorders>
              <w:tl2br w:val="nil"/>
              <w:tr2bl w:val="nil"/>
            </w:tcBorders>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1,1-二氯乙烯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&lt;0.01</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顺-1,2-二氯乙烯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&lt;0.008</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反--1,2-二氯乙烯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二氯甲烷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1,2-二氯丙烷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&lt;0.008</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1,1,1,2-四氯乙烷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1,1,2,2-四氯乙烷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四氯乙烯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1,1,1-三氯乙烷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1,1,2-三氯乙烷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三氯乙烯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&lt;0.009</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1,2,3-三氯丙烷</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氯乙烯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&lt;0.01</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氯苯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&lt;0.005</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1,2-二氯苯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1,4-二氯苯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&lt;0.008</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乙苯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&lt;0.006</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苯乙烯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甲苯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&lt;0.006</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间二甲苯+对二甲苯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&lt;0.009</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邻二甲苯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硝基苯</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&lt;0.09</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苯胺</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w:t>
            </w:r>
            <w:r>
              <w:rPr>
                <w:rFonts w:ascii="Times New Roman" w:hAnsi="Times New Roman"/>
                <w:color w:val="000000" w:themeColor="text1"/>
                <w:sz w:val="18"/>
                <w:szCs w:val="18"/>
                <w:lang w:bidi="en-US"/>
                <w14:textFill>
                  <w14:solidFill>
                    <w14:schemeClr w14:val="tx1"/>
                  </w14:solidFill>
                </w14:textFill>
              </w:rPr>
              <w:t>0.01</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2-氯酚</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&lt;0.04</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苯并[a]蒽</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&lt;0.12</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苯并[a]芘</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&lt;0.17</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苯并[b]荧蒽</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&lt;0.17</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苯并[k]荧蒽</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&lt;0.11</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䓛</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&lt;0.14</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二苯并[a,h]蒽</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&lt;0.13</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茚并[1,2,3-cd]芘</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&lt;0.13</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0" w:hRule="atLeast"/>
          <w:jc w:val="center"/>
        </w:trPr>
        <w:tc>
          <w:tcPr>
            <w:tcW w:w="2809"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萘</w:t>
            </w:r>
          </w:p>
        </w:tc>
        <w:tc>
          <w:tcPr>
            <w:tcW w:w="4324" w:type="dxa"/>
            <w:tcBorders>
              <w:tl2br w:val="nil"/>
              <w:tr2bl w:val="nil"/>
            </w:tcBorders>
            <w:vAlign w:val="center"/>
          </w:tcPr>
          <w:p>
            <w:pPr>
              <w:pStyle w:val="2144"/>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&lt;0.09</w:t>
            </w:r>
          </w:p>
        </w:tc>
        <w:tc>
          <w:tcPr>
            <w:tcW w:w="2005"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754" w:hRule="atLeast"/>
          <w:jc w:val="center"/>
        </w:trPr>
        <w:tc>
          <w:tcPr>
            <w:tcW w:w="9138" w:type="dxa"/>
            <w:gridSpan w:val="3"/>
            <w:tcBorders>
              <w:tl2br w:val="nil"/>
              <w:tr2bl w:val="nil"/>
            </w:tcBorders>
            <w:vAlign w:val="center"/>
          </w:tcPr>
          <w:p>
            <w:pPr>
              <w:ind w:left="360" w:hanging="360" w:hangingChars="200"/>
              <w:jc w:val="left"/>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注：1.标准限值依据《土壤环境质量 建设用地土壤污染风险管控标准（试行）》（GB36600-2018）第二类筛选值的要求；</w:t>
            </w:r>
          </w:p>
          <w:p>
            <w:pPr>
              <w:ind w:left="420" w:leftChars="20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2.“&lt;”表示检测结果小于检出限</w:t>
            </w:r>
            <w:r>
              <w:rPr>
                <w:rFonts w:hint="eastAsia" w:ascii="Times New Roman" w:hAnsi="Times New Roman"/>
                <w:color w:val="000000" w:themeColor="text1"/>
                <w:sz w:val="18"/>
                <w:szCs w:val="18"/>
                <w14:textFill>
                  <w14:solidFill>
                    <w14:schemeClr w14:val="tx1"/>
                  </w14:solidFill>
                </w14:textFill>
              </w:rPr>
              <w:t>。</w:t>
            </w:r>
          </w:p>
        </w:tc>
      </w:tr>
    </w:tbl>
    <w:p>
      <w:pPr>
        <w:spacing w:before="120" w:beforeLines="50" w:after="120" w:afterLines="50" w:line="240" w:lineRule="atLeast"/>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3-18</w:t>
      </w:r>
      <w:r>
        <w:rPr>
          <w:rFonts w:ascii="Times New Roman" w:hAnsi="Times New Roman"/>
          <w:b/>
          <w:bCs/>
          <w:color w:val="000000" w:themeColor="text1"/>
          <w:sz w:val="24"/>
          <w:szCs w:val="24"/>
          <w14:textFill>
            <w14:solidFill>
              <w14:schemeClr w14:val="tx1"/>
            </w14:solidFill>
          </w14:textFill>
        </w:rPr>
        <w:t>土壤检测结果一览表</w:t>
      </w:r>
    </w:p>
    <w:tbl>
      <w:tblPr>
        <w:tblStyle w:val="87"/>
        <w:tblW w:w="91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816"/>
        <w:gridCol w:w="1517"/>
        <w:gridCol w:w="1517"/>
        <w:gridCol w:w="1517"/>
        <w:gridCol w:w="1521"/>
        <w:gridCol w:w="12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tblHeader/>
          <w:jc w:val="center"/>
        </w:trPr>
        <w:tc>
          <w:tcPr>
            <w:tcW w:w="1816"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zh-TW" w:eastAsia="zh-TW"/>
                <w14:textFill>
                  <w14:solidFill>
                    <w14:schemeClr w14:val="tx1"/>
                  </w14:solidFill>
                </w14:textFill>
              </w:rPr>
              <w:t>检测项目</w:t>
            </w:r>
          </w:p>
        </w:tc>
        <w:tc>
          <w:tcPr>
            <w:tcW w:w="6072" w:type="dxa"/>
            <w:gridSpan w:val="4"/>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hint="eastAsia" w:ascii="Times New Roman" w:hAnsi="Times New Roman"/>
                <w:color w:val="000000" w:themeColor="text1"/>
                <w:sz w:val="18"/>
                <w:szCs w:val="18"/>
                <w:lang w:val="zh-TW" w:eastAsia="zh-TW"/>
                <w14:textFill>
                  <w14:solidFill>
                    <w14:schemeClr w14:val="tx1"/>
                  </w14:solidFill>
                </w14:textFill>
              </w:rPr>
              <w:t>检测结果</w:t>
            </w:r>
            <w:r>
              <w:rPr>
                <w:rFonts w:hint="eastAsia" w:ascii="Times New Roman" w:hAnsi="Times New Roman"/>
                <w:color w:val="000000" w:themeColor="text1"/>
                <w:sz w:val="18"/>
                <w:szCs w:val="18"/>
                <w14:textFill>
                  <w14:solidFill>
                    <w14:schemeClr w14:val="tx1"/>
                  </w14:solidFill>
                </w14:textFill>
              </w:rPr>
              <w:t>（mg/kg）</w:t>
            </w:r>
          </w:p>
        </w:tc>
        <w:tc>
          <w:tcPr>
            <w:tcW w:w="1271" w:type="dxa"/>
            <w:vMerge w:val="restart"/>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标准限值（mg/kg）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70" w:hRule="atLeast"/>
          <w:tblHeader/>
          <w:jc w:val="center"/>
        </w:trPr>
        <w:tc>
          <w:tcPr>
            <w:tcW w:w="1816"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S2占地范围内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（柱状样0-0.5）</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S2占地范围内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（柱状样0.5-1.5）</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S2占地范围内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（柱状样1.5-3）</w:t>
            </w:r>
          </w:p>
        </w:tc>
        <w:tc>
          <w:tcPr>
            <w:tcW w:w="152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S2占地范围内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（柱状样3-5）</w:t>
            </w:r>
          </w:p>
        </w:tc>
        <w:tc>
          <w:tcPr>
            <w:tcW w:w="1271"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1816"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砷</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15.6</w:t>
            </w:r>
          </w:p>
        </w:tc>
        <w:tc>
          <w:tcPr>
            <w:tcW w:w="151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16.2</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15.8</w:t>
            </w:r>
          </w:p>
        </w:tc>
        <w:tc>
          <w:tcPr>
            <w:tcW w:w="152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15.3</w:t>
            </w:r>
          </w:p>
        </w:tc>
        <w:tc>
          <w:tcPr>
            <w:tcW w:w="1271"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1816"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镉</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0.22</w:t>
            </w:r>
          </w:p>
        </w:tc>
        <w:tc>
          <w:tcPr>
            <w:tcW w:w="151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0.27</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0.23</w:t>
            </w:r>
          </w:p>
        </w:tc>
        <w:tc>
          <w:tcPr>
            <w:tcW w:w="152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0.28</w:t>
            </w:r>
          </w:p>
        </w:tc>
        <w:tc>
          <w:tcPr>
            <w:tcW w:w="1271"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1816"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六价铬</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17" w:type="dxa"/>
            <w:tcBorders>
              <w:tl2br w:val="nil"/>
              <w:tr2bl w:val="nil"/>
            </w:tcBorders>
            <w:vAlign w:val="center"/>
          </w:tcPr>
          <w:p>
            <w:pPr>
              <w:jc w:val="center"/>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21" w:type="dxa"/>
            <w:tcBorders>
              <w:tl2br w:val="nil"/>
              <w:tr2bl w:val="nil"/>
            </w:tcBorders>
            <w:vAlign w:val="center"/>
          </w:tcPr>
          <w:p>
            <w:pPr>
              <w:jc w:val="center"/>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271"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1816"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铜</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r>
              <w:rPr>
                <w:rFonts w:hint="eastAsia" w:ascii="Times New Roman" w:hAnsi="Times New Roman"/>
                <w:color w:val="000000" w:themeColor="text1"/>
                <w:sz w:val="18"/>
                <w:szCs w:val="18"/>
                <w14:textFill>
                  <w14:solidFill>
                    <w14:schemeClr w14:val="tx1"/>
                  </w14:solidFill>
                </w14:textFill>
              </w:rPr>
              <w:t>1</w:t>
            </w:r>
          </w:p>
        </w:tc>
        <w:tc>
          <w:tcPr>
            <w:tcW w:w="151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19</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w:t>
            </w:r>
          </w:p>
        </w:tc>
        <w:tc>
          <w:tcPr>
            <w:tcW w:w="152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27</w:t>
            </w:r>
          </w:p>
        </w:tc>
        <w:tc>
          <w:tcPr>
            <w:tcW w:w="1271"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1816"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铅</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30</w:t>
            </w:r>
          </w:p>
        </w:tc>
        <w:tc>
          <w:tcPr>
            <w:tcW w:w="151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42</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w:t>
            </w:r>
          </w:p>
        </w:tc>
        <w:tc>
          <w:tcPr>
            <w:tcW w:w="152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33</w:t>
            </w:r>
          </w:p>
        </w:tc>
        <w:tc>
          <w:tcPr>
            <w:tcW w:w="1271"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1816"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汞</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0.242</w:t>
            </w:r>
          </w:p>
        </w:tc>
        <w:tc>
          <w:tcPr>
            <w:tcW w:w="151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0.265</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0.251</w:t>
            </w:r>
          </w:p>
        </w:tc>
        <w:tc>
          <w:tcPr>
            <w:tcW w:w="152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0.254</w:t>
            </w:r>
          </w:p>
        </w:tc>
        <w:tc>
          <w:tcPr>
            <w:tcW w:w="1271"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3" w:hRule="atLeast"/>
          <w:jc w:val="center"/>
        </w:trPr>
        <w:tc>
          <w:tcPr>
            <w:tcW w:w="1816"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镍</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56</w:t>
            </w:r>
          </w:p>
        </w:tc>
        <w:tc>
          <w:tcPr>
            <w:tcW w:w="151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52</w:t>
            </w:r>
          </w:p>
        </w:tc>
        <w:tc>
          <w:tcPr>
            <w:tcW w:w="151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61</w:t>
            </w:r>
          </w:p>
        </w:tc>
        <w:tc>
          <w:tcPr>
            <w:tcW w:w="152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66</w:t>
            </w:r>
          </w:p>
        </w:tc>
        <w:tc>
          <w:tcPr>
            <w:tcW w:w="1271"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827" w:hRule="atLeast"/>
          <w:jc w:val="center"/>
        </w:trPr>
        <w:tc>
          <w:tcPr>
            <w:tcW w:w="9159" w:type="dxa"/>
            <w:gridSpan w:val="6"/>
            <w:tcBorders>
              <w:tl2br w:val="nil"/>
              <w:tr2bl w:val="nil"/>
            </w:tcBorders>
            <w:vAlign w:val="center"/>
          </w:tcPr>
          <w:p>
            <w:pPr>
              <w:ind w:left="360" w:hanging="360" w:hangingChars="200"/>
              <w:jc w:val="left"/>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注：1.标准限值依据《土壤环境质量 建设用地土壤污染风险管控标准（试行）》（GB36600-2018）第二类筛选值的要求；</w:t>
            </w:r>
          </w:p>
          <w:p>
            <w:pPr>
              <w:ind w:firstLine="360" w:firstLineChars="20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2.“&lt;”表示检测结果小于检出限</w:t>
            </w:r>
            <w:r>
              <w:rPr>
                <w:rFonts w:hint="eastAsia" w:ascii="Times New Roman" w:hAnsi="Times New Roman"/>
                <w:color w:val="000000" w:themeColor="text1"/>
                <w:sz w:val="18"/>
                <w:szCs w:val="18"/>
                <w14:textFill>
                  <w14:solidFill>
                    <w14:schemeClr w14:val="tx1"/>
                  </w14:solidFill>
                </w14:textFill>
              </w:rPr>
              <w:t>。</w:t>
            </w:r>
          </w:p>
        </w:tc>
      </w:tr>
    </w:tbl>
    <w:p>
      <w:pPr>
        <w:spacing w:before="120" w:beforeLines="50" w:after="120" w:afterLines="50"/>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3-19</w:t>
      </w:r>
      <w:r>
        <w:rPr>
          <w:rFonts w:ascii="Times New Roman" w:hAnsi="Times New Roman"/>
          <w:b/>
          <w:bCs/>
          <w:color w:val="000000" w:themeColor="text1"/>
          <w:sz w:val="24"/>
          <w:szCs w:val="24"/>
          <w14:textFill>
            <w14:solidFill>
              <w14:schemeClr w14:val="tx1"/>
            </w14:solidFill>
          </w14:textFill>
        </w:rPr>
        <w:t xml:space="preserve"> 土壤检测结果一览表</w:t>
      </w:r>
    </w:p>
    <w:tbl>
      <w:tblPr>
        <w:tblStyle w:val="87"/>
        <w:tblW w:w="91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820"/>
        <w:gridCol w:w="1520"/>
        <w:gridCol w:w="1520"/>
        <w:gridCol w:w="1520"/>
        <w:gridCol w:w="1525"/>
        <w:gridCol w:w="12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tblHeader/>
          <w:jc w:val="center"/>
        </w:trPr>
        <w:tc>
          <w:tcPr>
            <w:tcW w:w="1820"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zh-TW" w:eastAsia="zh-TW"/>
                <w14:textFill>
                  <w14:solidFill>
                    <w14:schemeClr w14:val="tx1"/>
                  </w14:solidFill>
                </w14:textFill>
              </w:rPr>
              <w:t>检测项目</w:t>
            </w:r>
          </w:p>
        </w:tc>
        <w:tc>
          <w:tcPr>
            <w:tcW w:w="6085" w:type="dxa"/>
            <w:gridSpan w:val="4"/>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hint="eastAsia" w:ascii="Times New Roman" w:hAnsi="Times New Roman"/>
                <w:color w:val="000000" w:themeColor="text1"/>
                <w:sz w:val="18"/>
                <w:szCs w:val="18"/>
                <w:lang w:val="zh-TW" w:eastAsia="zh-TW"/>
                <w14:textFill>
                  <w14:solidFill>
                    <w14:schemeClr w14:val="tx1"/>
                  </w14:solidFill>
                </w14:textFill>
              </w:rPr>
              <w:t>检测结果</w:t>
            </w:r>
            <w:r>
              <w:rPr>
                <w:rFonts w:hint="eastAsia" w:ascii="Times New Roman" w:hAnsi="Times New Roman"/>
                <w:color w:val="000000" w:themeColor="text1"/>
                <w:sz w:val="18"/>
                <w:szCs w:val="18"/>
                <w14:textFill>
                  <w14:solidFill>
                    <w14:schemeClr w14:val="tx1"/>
                  </w14:solidFill>
                </w14:textFill>
              </w:rPr>
              <w:t>（mg/kg）</w:t>
            </w:r>
          </w:p>
        </w:tc>
        <w:tc>
          <w:tcPr>
            <w:tcW w:w="1273" w:type="dxa"/>
            <w:vMerge w:val="restart"/>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标准限值（mg/kg）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74" w:hRule="atLeast"/>
          <w:tblHeader/>
          <w:jc w:val="center"/>
        </w:trPr>
        <w:tc>
          <w:tcPr>
            <w:tcW w:w="1820"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S3占地范围内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（柱状样0-0.5）</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S3占地范围内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（柱状样0.5-1.5）</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S3占地范围内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（柱状样1.5-3）</w:t>
            </w:r>
          </w:p>
        </w:tc>
        <w:tc>
          <w:tcPr>
            <w:tcW w:w="152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S3占地范围内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（柱状样3-5）</w:t>
            </w:r>
          </w:p>
        </w:tc>
        <w:tc>
          <w:tcPr>
            <w:tcW w:w="1273"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20"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砷</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14.8</w:t>
            </w:r>
          </w:p>
        </w:tc>
        <w:tc>
          <w:tcPr>
            <w:tcW w:w="1520"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15.6</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15.2</w:t>
            </w:r>
          </w:p>
        </w:tc>
        <w:tc>
          <w:tcPr>
            <w:tcW w:w="152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16.2</w:t>
            </w:r>
          </w:p>
        </w:tc>
        <w:tc>
          <w:tcPr>
            <w:tcW w:w="1273"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20"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镉</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0.26</w:t>
            </w:r>
          </w:p>
        </w:tc>
        <w:tc>
          <w:tcPr>
            <w:tcW w:w="1520"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0.21</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0.27</w:t>
            </w:r>
          </w:p>
        </w:tc>
        <w:tc>
          <w:tcPr>
            <w:tcW w:w="152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0.25</w:t>
            </w:r>
          </w:p>
        </w:tc>
        <w:tc>
          <w:tcPr>
            <w:tcW w:w="1273"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20"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六价铬</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20" w:type="dxa"/>
            <w:tcBorders>
              <w:tl2br w:val="nil"/>
              <w:tr2bl w:val="nil"/>
            </w:tcBorders>
            <w:vAlign w:val="center"/>
          </w:tcPr>
          <w:p>
            <w:pPr>
              <w:jc w:val="center"/>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25" w:type="dxa"/>
            <w:tcBorders>
              <w:tl2br w:val="nil"/>
              <w:tr2bl w:val="nil"/>
            </w:tcBorders>
            <w:vAlign w:val="center"/>
          </w:tcPr>
          <w:p>
            <w:pPr>
              <w:jc w:val="center"/>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273"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20"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铜</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w:t>
            </w:r>
          </w:p>
        </w:tc>
        <w:tc>
          <w:tcPr>
            <w:tcW w:w="1520"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23</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29</w:t>
            </w:r>
          </w:p>
        </w:tc>
        <w:tc>
          <w:tcPr>
            <w:tcW w:w="152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w:t>
            </w:r>
          </w:p>
        </w:tc>
        <w:tc>
          <w:tcPr>
            <w:tcW w:w="1273"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20"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铅</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41</w:t>
            </w:r>
          </w:p>
        </w:tc>
        <w:tc>
          <w:tcPr>
            <w:tcW w:w="1520"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33</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38</w:t>
            </w:r>
          </w:p>
        </w:tc>
        <w:tc>
          <w:tcPr>
            <w:tcW w:w="152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44</w:t>
            </w:r>
          </w:p>
        </w:tc>
        <w:tc>
          <w:tcPr>
            <w:tcW w:w="1273"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20"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汞</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0.251</w:t>
            </w:r>
          </w:p>
        </w:tc>
        <w:tc>
          <w:tcPr>
            <w:tcW w:w="1520"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0.272</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0.264</w:t>
            </w:r>
          </w:p>
        </w:tc>
        <w:tc>
          <w:tcPr>
            <w:tcW w:w="152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0.268</w:t>
            </w:r>
          </w:p>
        </w:tc>
        <w:tc>
          <w:tcPr>
            <w:tcW w:w="1273"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20"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镍</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49</w:t>
            </w:r>
          </w:p>
        </w:tc>
        <w:tc>
          <w:tcPr>
            <w:tcW w:w="1520"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58</w:t>
            </w:r>
          </w:p>
        </w:tc>
        <w:tc>
          <w:tcPr>
            <w:tcW w:w="152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52</w:t>
            </w:r>
          </w:p>
        </w:tc>
        <w:tc>
          <w:tcPr>
            <w:tcW w:w="152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55</w:t>
            </w:r>
          </w:p>
        </w:tc>
        <w:tc>
          <w:tcPr>
            <w:tcW w:w="1273"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85" w:hRule="atLeast"/>
          <w:jc w:val="center"/>
        </w:trPr>
        <w:tc>
          <w:tcPr>
            <w:tcW w:w="9178" w:type="dxa"/>
            <w:gridSpan w:val="6"/>
            <w:tcBorders>
              <w:tl2br w:val="nil"/>
              <w:tr2bl w:val="nil"/>
            </w:tcBorders>
            <w:vAlign w:val="center"/>
          </w:tcPr>
          <w:p>
            <w:pPr>
              <w:ind w:left="360" w:hanging="360" w:hangingChars="200"/>
              <w:jc w:val="left"/>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注：1.标准限值依据《土壤环境质量 建设用地土壤污染风险管控标准（试行）》（GB36600-2018）第二类筛选值的要求；</w:t>
            </w:r>
          </w:p>
          <w:p>
            <w:pPr>
              <w:ind w:firstLine="360" w:firstLineChars="200"/>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2.“&lt;”表示检测结果小于检出限</w:t>
            </w:r>
            <w:r>
              <w:rPr>
                <w:rFonts w:hint="eastAsia" w:ascii="Times New Roman" w:hAnsi="Times New Roman"/>
                <w:color w:val="000000" w:themeColor="text1"/>
                <w:sz w:val="18"/>
                <w:szCs w:val="18"/>
                <w14:textFill>
                  <w14:solidFill>
                    <w14:schemeClr w14:val="tx1"/>
                  </w14:solidFill>
                </w14:textFill>
              </w:rPr>
              <w:t>。</w:t>
            </w:r>
          </w:p>
        </w:tc>
      </w:tr>
    </w:tbl>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3</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20</w:t>
      </w:r>
      <w:r>
        <w:rPr>
          <w:rFonts w:ascii="Times New Roman" w:hAnsi="Times New Roman"/>
          <w:b/>
          <w:bCs/>
          <w:color w:val="000000" w:themeColor="text1"/>
          <w:sz w:val="24"/>
          <w:szCs w:val="24"/>
          <w14:textFill>
            <w14:solidFill>
              <w14:schemeClr w14:val="tx1"/>
            </w14:solidFill>
          </w14:textFill>
        </w:rPr>
        <w:t xml:space="preserve"> 土壤检测结果一览表</w:t>
      </w:r>
    </w:p>
    <w:tbl>
      <w:tblPr>
        <w:tblStyle w:val="87"/>
        <w:tblW w:w="9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828"/>
        <w:gridCol w:w="1527"/>
        <w:gridCol w:w="1527"/>
        <w:gridCol w:w="1527"/>
        <w:gridCol w:w="1530"/>
        <w:gridCol w:w="1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tblHeader/>
          <w:jc w:val="center"/>
        </w:trPr>
        <w:tc>
          <w:tcPr>
            <w:tcW w:w="1828"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lang w:val="zh-TW" w:eastAsia="zh-TW"/>
                <w14:textFill>
                  <w14:solidFill>
                    <w14:schemeClr w14:val="tx1"/>
                  </w14:solidFill>
                </w14:textFill>
              </w:rPr>
              <w:t>检测项目</w:t>
            </w:r>
          </w:p>
        </w:tc>
        <w:tc>
          <w:tcPr>
            <w:tcW w:w="6111" w:type="dxa"/>
            <w:gridSpan w:val="4"/>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hint="eastAsia" w:ascii="Times New Roman" w:hAnsi="Times New Roman"/>
                <w:color w:val="000000" w:themeColor="text1"/>
                <w:sz w:val="18"/>
                <w:szCs w:val="18"/>
                <w:lang w:val="zh-TW" w:eastAsia="zh-TW"/>
                <w14:textFill>
                  <w14:solidFill>
                    <w14:schemeClr w14:val="tx1"/>
                  </w14:solidFill>
                </w14:textFill>
              </w:rPr>
              <w:t>检测结果</w:t>
            </w:r>
            <w:r>
              <w:rPr>
                <w:rFonts w:hint="eastAsia" w:ascii="Times New Roman" w:hAnsi="Times New Roman"/>
                <w:color w:val="000000" w:themeColor="text1"/>
                <w:sz w:val="18"/>
                <w:szCs w:val="18"/>
                <w14:textFill>
                  <w14:solidFill>
                    <w14:schemeClr w14:val="tx1"/>
                  </w14:solidFill>
                </w14:textFill>
              </w:rPr>
              <w:t>（mg/kg）</w:t>
            </w:r>
          </w:p>
        </w:tc>
        <w:tc>
          <w:tcPr>
            <w:tcW w:w="1279" w:type="dxa"/>
            <w:vMerge w:val="restart"/>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标准限值（mg/kg）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66" w:hRule="atLeast"/>
          <w:tblHeader/>
          <w:jc w:val="center"/>
        </w:trPr>
        <w:tc>
          <w:tcPr>
            <w:tcW w:w="1828"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S4占地范围内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（柱状样0-0.5）</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S4占地范围内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（柱状样0.5-1.5）</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S4占地范围内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（柱状样1.5-3）</w:t>
            </w:r>
          </w:p>
        </w:tc>
        <w:tc>
          <w:tcPr>
            <w:tcW w:w="15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S4占地范围内</w:t>
            </w:r>
          </w:p>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（柱状样3-5）</w:t>
            </w:r>
          </w:p>
        </w:tc>
        <w:tc>
          <w:tcPr>
            <w:tcW w:w="1279"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1828"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砷</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15.8</w:t>
            </w:r>
          </w:p>
        </w:tc>
        <w:tc>
          <w:tcPr>
            <w:tcW w:w="152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16.4</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15.4</w:t>
            </w:r>
          </w:p>
        </w:tc>
        <w:tc>
          <w:tcPr>
            <w:tcW w:w="15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16.1</w:t>
            </w:r>
          </w:p>
        </w:tc>
        <w:tc>
          <w:tcPr>
            <w:tcW w:w="1279"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1828"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镉</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0.26</w:t>
            </w:r>
          </w:p>
        </w:tc>
        <w:tc>
          <w:tcPr>
            <w:tcW w:w="152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0.29</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0.24</w:t>
            </w:r>
          </w:p>
        </w:tc>
        <w:tc>
          <w:tcPr>
            <w:tcW w:w="15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0.22</w:t>
            </w:r>
          </w:p>
        </w:tc>
        <w:tc>
          <w:tcPr>
            <w:tcW w:w="1279"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1828"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六价铬</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27" w:type="dxa"/>
            <w:tcBorders>
              <w:tl2br w:val="nil"/>
              <w:tr2bl w:val="nil"/>
            </w:tcBorders>
            <w:vAlign w:val="center"/>
          </w:tcPr>
          <w:p>
            <w:pPr>
              <w:jc w:val="center"/>
              <w:rPr>
                <w:rFonts w:ascii="Times New Roman" w:hAnsi="Times New Roman"/>
                <w:color w:val="000000" w:themeColor="text1"/>
                <w:sz w:val="18"/>
                <w:szCs w:val="18"/>
                <w:lang w:bidi="en-US"/>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530" w:type="dxa"/>
            <w:tcBorders>
              <w:tl2br w:val="nil"/>
              <w:tr2bl w:val="nil"/>
            </w:tcBorders>
            <w:vAlign w:val="center"/>
          </w:tcPr>
          <w:p>
            <w:pPr>
              <w:jc w:val="center"/>
              <w:rPr>
                <w:rFonts w:ascii="Times New Roman" w:hAnsi="Times New Roman"/>
                <w:color w:val="000000" w:themeColor="text1"/>
                <w:kern w:val="0"/>
                <w:sz w:val="18"/>
                <w:szCs w:val="18"/>
                <w:lang w:bidi="ar"/>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279"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1828"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铜</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w:t>
            </w:r>
          </w:p>
        </w:tc>
        <w:tc>
          <w:tcPr>
            <w:tcW w:w="152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24</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27</w:t>
            </w:r>
          </w:p>
        </w:tc>
        <w:tc>
          <w:tcPr>
            <w:tcW w:w="15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33</w:t>
            </w:r>
          </w:p>
        </w:tc>
        <w:tc>
          <w:tcPr>
            <w:tcW w:w="1279"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1828"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铅</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w:t>
            </w:r>
          </w:p>
        </w:tc>
        <w:tc>
          <w:tcPr>
            <w:tcW w:w="152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42</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w:t>
            </w:r>
          </w:p>
        </w:tc>
        <w:tc>
          <w:tcPr>
            <w:tcW w:w="15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39</w:t>
            </w:r>
          </w:p>
        </w:tc>
        <w:tc>
          <w:tcPr>
            <w:tcW w:w="1279"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1828"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汞</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0.243</w:t>
            </w:r>
          </w:p>
        </w:tc>
        <w:tc>
          <w:tcPr>
            <w:tcW w:w="152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0.275</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0.248</w:t>
            </w:r>
          </w:p>
        </w:tc>
        <w:tc>
          <w:tcPr>
            <w:tcW w:w="15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0.255</w:t>
            </w:r>
          </w:p>
        </w:tc>
        <w:tc>
          <w:tcPr>
            <w:tcW w:w="1279"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7" w:hRule="atLeast"/>
          <w:jc w:val="center"/>
        </w:trPr>
        <w:tc>
          <w:tcPr>
            <w:tcW w:w="1828"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镍</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54</w:t>
            </w:r>
          </w:p>
        </w:tc>
        <w:tc>
          <w:tcPr>
            <w:tcW w:w="1527" w:type="dxa"/>
            <w:tcBorders>
              <w:tl2br w:val="nil"/>
              <w:tr2bl w:val="nil"/>
            </w:tcBorders>
            <w:vAlign w:val="center"/>
          </w:tcPr>
          <w:p>
            <w:pPr>
              <w:pStyle w:val="2144"/>
              <w:rPr>
                <w:rFonts w:ascii="Times New Roman" w:hAnsi="Times New Roman"/>
                <w:color w:val="000000" w:themeColor="text1"/>
                <w:sz w:val="18"/>
                <w:szCs w:val="18"/>
                <w:lang w:bidi="en-US"/>
                <w14:textFill>
                  <w14:solidFill>
                    <w14:schemeClr w14:val="tx1"/>
                  </w14:solidFill>
                </w14:textFill>
              </w:rPr>
            </w:pPr>
            <w:r>
              <w:rPr>
                <w:rFonts w:hint="eastAsia" w:ascii="Times New Roman" w:hAnsi="Times New Roman"/>
                <w:color w:val="000000" w:themeColor="text1"/>
                <w:sz w:val="18"/>
                <w:szCs w:val="18"/>
                <w:lang w:bidi="en-US"/>
                <w14:textFill>
                  <w14:solidFill>
                    <w14:schemeClr w14:val="tx1"/>
                  </w14:solidFill>
                </w14:textFill>
              </w:rPr>
              <w:t>63</w:t>
            </w:r>
          </w:p>
        </w:tc>
        <w:tc>
          <w:tcPr>
            <w:tcW w:w="152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60</w:t>
            </w:r>
          </w:p>
        </w:tc>
        <w:tc>
          <w:tcPr>
            <w:tcW w:w="15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51</w:t>
            </w:r>
          </w:p>
        </w:tc>
        <w:tc>
          <w:tcPr>
            <w:tcW w:w="1279" w:type="dxa"/>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75" w:hRule="atLeast"/>
          <w:jc w:val="center"/>
        </w:trPr>
        <w:tc>
          <w:tcPr>
            <w:tcW w:w="9218" w:type="dxa"/>
            <w:gridSpan w:val="6"/>
            <w:tcBorders>
              <w:tl2br w:val="nil"/>
              <w:tr2bl w:val="nil"/>
            </w:tcBorders>
            <w:vAlign w:val="center"/>
          </w:tcPr>
          <w:p>
            <w:pPr>
              <w:ind w:left="360" w:hanging="360" w:hangingChars="200"/>
              <w:jc w:val="left"/>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注：1.标准限值依据《土壤环境质量 建设用地土壤污染风险管控标准（试行）》（GB36600-2018）第二类筛选值的要求；</w:t>
            </w:r>
          </w:p>
          <w:p>
            <w:pPr>
              <w:ind w:firstLine="360" w:firstLineChars="20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2.“&lt;”表示检测结果小于检出限</w:t>
            </w:r>
            <w:r>
              <w:rPr>
                <w:rFonts w:hint="eastAsia" w:ascii="Times New Roman" w:hAnsi="Times New Roman"/>
                <w:color w:val="000000" w:themeColor="text1"/>
                <w:sz w:val="18"/>
                <w:szCs w:val="18"/>
                <w14:textFill>
                  <w14:solidFill>
                    <w14:schemeClr w14:val="tx1"/>
                  </w14:solidFill>
                </w14:textFill>
              </w:rPr>
              <w:t>。</w:t>
            </w:r>
          </w:p>
        </w:tc>
      </w:tr>
    </w:tbl>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lang w:val="en-US" w:eastAsia="zh-CN"/>
          <w14:textFill>
            <w14:solidFill>
              <w14:schemeClr w14:val="tx1"/>
            </w14:solidFill>
          </w14:textFill>
        </w:rPr>
        <w:t>3</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21</w:t>
      </w:r>
      <w:r>
        <w:rPr>
          <w:rFonts w:ascii="Times New Roman" w:hAnsi="Times New Roman"/>
          <w:b/>
          <w:bCs/>
          <w:color w:val="000000" w:themeColor="text1"/>
          <w:sz w:val="24"/>
          <w:szCs w:val="24"/>
          <w14:textFill>
            <w14:solidFill>
              <w14:schemeClr w14:val="tx1"/>
            </w14:solidFill>
          </w14:textFill>
        </w:rPr>
        <w:t xml:space="preserve"> 土壤检测结果一览表</w:t>
      </w:r>
    </w:p>
    <w:tbl>
      <w:tblPr>
        <w:tblStyle w:val="87"/>
        <w:tblW w:w="92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833"/>
        <w:gridCol w:w="2886"/>
        <w:gridCol w:w="2888"/>
        <w:gridCol w:w="1626"/>
        <w:gridCol w:w="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tblHeader/>
          <w:jc w:val="center"/>
        </w:trPr>
        <w:tc>
          <w:tcPr>
            <w:tcW w:w="1833"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val="zh-TW" w:eastAsia="zh-TW"/>
                <w14:textFill>
                  <w14:solidFill>
                    <w14:schemeClr w14:val="tx1"/>
                  </w14:solidFill>
                </w14:textFill>
              </w:rPr>
              <w:t>检测项目</w:t>
            </w:r>
          </w:p>
        </w:tc>
        <w:tc>
          <w:tcPr>
            <w:tcW w:w="5774" w:type="dxa"/>
            <w:gridSpan w:val="2"/>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lang w:val="zh-TW" w:eastAsia="zh-TW"/>
                <w14:textFill>
                  <w14:solidFill>
                    <w14:schemeClr w14:val="tx1"/>
                  </w14:solidFill>
                </w14:textFill>
              </w:rPr>
              <w:t>检测结果</w:t>
            </w:r>
            <w:r>
              <w:rPr>
                <w:rFonts w:ascii="Times New Roman" w:hAnsi="Times New Roman"/>
                <w:color w:val="000000" w:themeColor="text1"/>
                <w:sz w:val="18"/>
                <w:szCs w:val="18"/>
                <w14:textFill>
                  <w14:solidFill>
                    <w14:schemeClr w14:val="tx1"/>
                  </w14:solidFill>
                </w14:textFill>
              </w:rPr>
              <w:t>（mg/kg）</w:t>
            </w:r>
          </w:p>
        </w:tc>
        <w:tc>
          <w:tcPr>
            <w:tcW w:w="1632" w:type="dxa"/>
            <w:gridSpan w:val="2"/>
            <w:vMerge w:val="restart"/>
            <w:tcBorders>
              <w:tl2br w:val="nil"/>
              <w:tr2bl w:val="nil"/>
            </w:tcBorders>
            <w:vAlign w:val="center"/>
          </w:tcPr>
          <w:p>
            <w:pPr>
              <w:jc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标准限值（mg/kg）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74" w:hRule="atLeast"/>
          <w:tblHeader/>
          <w:jc w:val="center"/>
        </w:trPr>
        <w:tc>
          <w:tcPr>
            <w:tcW w:w="1833" w:type="dxa"/>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S5占地范围外</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（表层样0-0.2）</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S6占地范围外</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（表层样0-0.2）</w:t>
            </w:r>
          </w:p>
        </w:tc>
        <w:tc>
          <w:tcPr>
            <w:tcW w:w="1632" w:type="dxa"/>
            <w:gridSpan w:val="2"/>
            <w:vMerge w:val="continue"/>
            <w:tcBorders>
              <w:tl2br w:val="nil"/>
              <w:tr2bl w:val="nil"/>
            </w:tcBorders>
            <w:vAlign w:val="center"/>
          </w:tcPr>
          <w:p>
            <w:pPr>
              <w:jc w:val="center"/>
              <w:rPr>
                <w:rFonts w:ascii="Times New Roman" w:hAnsi="Times New Roman"/>
                <w:color w:val="000000" w:themeColor="text1"/>
                <w:sz w:val="18"/>
                <w:szCs w:val="18"/>
                <w:lang w:val="zh-TW" w:eastAsia="zh-T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33"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砷</w:t>
            </w: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13.5</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14.2</w:t>
            </w:r>
          </w:p>
        </w:tc>
        <w:tc>
          <w:tcPr>
            <w:tcW w:w="1632" w:type="dxa"/>
            <w:gridSpan w:val="2"/>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33"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镉</w:t>
            </w: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0.253</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0.241</w:t>
            </w:r>
          </w:p>
        </w:tc>
        <w:tc>
          <w:tcPr>
            <w:tcW w:w="1632" w:type="dxa"/>
            <w:gridSpan w:val="2"/>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33"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六价铬</w:t>
            </w: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&lt;0.5</w:t>
            </w:r>
          </w:p>
        </w:tc>
        <w:tc>
          <w:tcPr>
            <w:tcW w:w="1632" w:type="dxa"/>
            <w:gridSpan w:val="2"/>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33"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铜</w:t>
            </w: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31</w:t>
            </w:r>
          </w:p>
        </w:tc>
        <w:tc>
          <w:tcPr>
            <w:tcW w:w="1632" w:type="dxa"/>
            <w:gridSpan w:val="2"/>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33"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铅</w:t>
            </w: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37</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33</w:t>
            </w:r>
          </w:p>
        </w:tc>
        <w:tc>
          <w:tcPr>
            <w:tcW w:w="1632" w:type="dxa"/>
            <w:gridSpan w:val="2"/>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33" w:type="dxa"/>
            <w:tcBorders>
              <w:tl2br w:val="nil"/>
              <w:tr2bl w:val="nil"/>
            </w:tcBorders>
            <w:vAlign w:val="center"/>
          </w:tcPr>
          <w:p>
            <w:pPr>
              <w:widowControl/>
              <w:jc w:val="center"/>
              <w:textAlignment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汞</w:t>
            </w: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0.253</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0.264</w:t>
            </w:r>
          </w:p>
        </w:tc>
        <w:tc>
          <w:tcPr>
            <w:tcW w:w="1632" w:type="dxa"/>
            <w:gridSpan w:val="2"/>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833" w:type="dxa"/>
            <w:tcBorders>
              <w:tl2br w:val="nil"/>
              <w:tr2bl w:val="nil"/>
            </w:tcBorders>
            <w:vAlign w:val="center"/>
          </w:tcPr>
          <w:p>
            <w:pPr>
              <w:widowControl/>
              <w:jc w:val="center"/>
              <w:textAlignment w:val="center"/>
              <w:rPr>
                <w:rFonts w:ascii="Times New Roman" w:hAnsi="Times New Roman"/>
                <w:color w:val="000000" w:themeColor="text1"/>
                <w:sz w:val="18"/>
                <w:szCs w:val="18"/>
                <w:lang w:val="zh-TW"/>
                <w14:textFill>
                  <w14:solidFill>
                    <w14:schemeClr w14:val="tx1"/>
                  </w14:solidFill>
                </w14:textFill>
              </w:rPr>
            </w:pPr>
            <w:r>
              <w:rPr>
                <w:rFonts w:ascii="Times New Roman" w:hAnsi="Times New Roman"/>
                <w:color w:val="000000" w:themeColor="text1"/>
                <w:kern w:val="0"/>
                <w:sz w:val="18"/>
                <w:szCs w:val="18"/>
                <w:lang w:bidi="ar"/>
                <w14:textFill>
                  <w14:solidFill>
                    <w14:schemeClr w14:val="tx1"/>
                  </w14:solidFill>
                </w14:textFill>
              </w:rPr>
              <w:t>镍</w:t>
            </w:r>
          </w:p>
        </w:tc>
        <w:tc>
          <w:tcPr>
            <w:tcW w:w="28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51</w:t>
            </w:r>
          </w:p>
        </w:tc>
        <w:tc>
          <w:tcPr>
            <w:tcW w:w="288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56</w:t>
            </w:r>
          </w:p>
        </w:tc>
        <w:tc>
          <w:tcPr>
            <w:tcW w:w="1632" w:type="dxa"/>
            <w:gridSpan w:val="2"/>
            <w:tcBorders>
              <w:tl2br w:val="nil"/>
              <w:tr2bl w:val="nil"/>
            </w:tcBorders>
            <w:vAlign w:val="center"/>
          </w:tcPr>
          <w:p>
            <w:pPr>
              <w:pStyle w:val="2144"/>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bidi="en-US"/>
                <w14:textFill>
                  <w14:solidFill>
                    <w14:schemeClr w14:val="tx1"/>
                  </w14:solidFill>
                </w14:textFill>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gridAfter w:val="1"/>
          <w:wAfter w:w="6" w:type="dxa"/>
          <w:trHeight w:val="585" w:hRule="atLeast"/>
          <w:jc w:val="center"/>
        </w:trPr>
        <w:tc>
          <w:tcPr>
            <w:tcW w:w="9233" w:type="dxa"/>
            <w:gridSpan w:val="4"/>
            <w:tcBorders>
              <w:tl2br w:val="nil"/>
              <w:tr2bl w:val="nil"/>
            </w:tcBorders>
            <w:vAlign w:val="center"/>
          </w:tcPr>
          <w:p>
            <w:pPr>
              <w:ind w:left="360" w:hanging="360" w:hangingChars="200"/>
              <w:jc w:val="left"/>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注：1.标准限值依据《土壤环境质量 建设用地土壤污染风险管控标准（试行）》（GB36600-2018）第二类筛选值的要求；</w:t>
            </w:r>
          </w:p>
          <w:p>
            <w:pPr>
              <w:ind w:firstLine="360" w:firstLineChars="20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2.“&lt;”表示检测结果小于检出限</w:t>
            </w:r>
            <w:r>
              <w:rPr>
                <w:rFonts w:hint="eastAsia" w:ascii="Times New Roman" w:hAnsi="Times New Roman"/>
                <w:color w:val="000000" w:themeColor="text1"/>
                <w:sz w:val="18"/>
                <w:szCs w:val="18"/>
                <w14:textFill>
                  <w14:solidFill>
                    <w14:schemeClr w14:val="tx1"/>
                  </w14:solidFill>
                </w14:textFill>
              </w:rPr>
              <w:t>。</w:t>
            </w:r>
          </w:p>
        </w:tc>
      </w:tr>
    </w:tbl>
    <w:p>
      <w:pPr>
        <w:pStyle w:val="428"/>
        <w:spacing w:line="520" w:lineRule="exact"/>
        <w:rPr>
          <w:rFonts w:hAnsiTheme="minorEastAsia" w:eastAsiaTheme="minorEastAsia"/>
          <w:color w:val="000000" w:themeColor="text1"/>
          <w:kern w:val="2"/>
          <w:szCs w:val="20"/>
          <w:lang w:val="zh-TW" w:eastAsia="zh-TW" w:bidi="ar-SA"/>
          <w14:textFill>
            <w14:solidFill>
              <w14:schemeClr w14:val="tx1"/>
            </w14:solidFill>
          </w14:textFill>
        </w:rPr>
      </w:pPr>
      <w:r>
        <w:rPr>
          <w:rFonts w:hint="eastAsia" w:hAnsiTheme="minorEastAsia" w:eastAsiaTheme="minorEastAsia"/>
          <w:color w:val="000000" w:themeColor="text1"/>
          <w:kern w:val="2"/>
          <w:szCs w:val="22"/>
          <w:lang w:val="zh-TW" w:bidi="ar-SA"/>
          <w14:textFill>
            <w14:solidFill>
              <w14:schemeClr w14:val="tx1"/>
            </w14:solidFill>
          </w14:textFill>
        </w:rPr>
        <w:t>监测结果表明，本项目评价区域</w:t>
      </w:r>
      <w:r>
        <w:rPr>
          <w:rFonts w:hint="eastAsia" w:hAnsiTheme="minorEastAsia" w:eastAsiaTheme="minorEastAsia"/>
          <w:color w:val="000000" w:themeColor="text1"/>
          <w:kern w:val="2"/>
          <w:szCs w:val="22"/>
          <w:lang w:val="zh-TW" w:eastAsia="zh-TW" w:bidi="ar-SA"/>
          <w14:textFill>
            <w14:solidFill>
              <w14:schemeClr w14:val="tx1"/>
            </w14:solidFill>
          </w14:textFill>
        </w:rPr>
        <w:t>土壤</w:t>
      </w:r>
      <w:r>
        <w:rPr>
          <w:rFonts w:hint="eastAsia" w:hAnsiTheme="minorEastAsia" w:eastAsiaTheme="minorEastAsia"/>
          <w:color w:val="000000" w:themeColor="text1"/>
          <w:kern w:val="2"/>
          <w:szCs w:val="22"/>
          <w:lang w:val="zh-TW" w:bidi="ar-SA"/>
          <w14:textFill>
            <w14:solidFill>
              <w14:schemeClr w14:val="tx1"/>
            </w14:solidFill>
          </w14:textFill>
        </w:rPr>
        <w:t>监测指标</w:t>
      </w:r>
      <w:r>
        <w:rPr>
          <w:rFonts w:hint="eastAsia" w:hAnsiTheme="minorEastAsia" w:eastAsiaTheme="minorEastAsia"/>
          <w:color w:val="000000" w:themeColor="text1"/>
          <w:kern w:val="2"/>
          <w:szCs w:val="22"/>
          <w:lang w:val="zh-TW" w:eastAsia="zh-TW" w:bidi="ar-SA"/>
          <w14:textFill>
            <w14:solidFill>
              <w14:schemeClr w14:val="tx1"/>
            </w14:solidFill>
          </w14:textFill>
        </w:rPr>
        <w:t>均</w:t>
      </w:r>
      <w:r>
        <w:rPr>
          <w:rFonts w:hint="eastAsia" w:hAnsiTheme="minorEastAsia" w:eastAsiaTheme="minorEastAsia"/>
          <w:color w:val="000000" w:themeColor="text1"/>
          <w:kern w:val="2"/>
          <w:szCs w:val="22"/>
          <w:lang w:val="zh-TW" w:bidi="ar-SA"/>
          <w14:textFill>
            <w14:solidFill>
              <w14:schemeClr w14:val="tx1"/>
            </w14:solidFill>
          </w14:textFill>
        </w:rPr>
        <w:t>能够</w:t>
      </w:r>
      <w:r>
        <w:rPr>
          <w:rFonts w:hint="eastAsia" w:hAnsiTheme="minorEastAsia" w:eastAsiaTheme="minorEastAsia"/>
          <w:color w:val="000000" w:themeColor="text1"/>
          <w:kern w:val="2"/>
          <w:szCs w:val="22"/>
          <w:lang w:val="zh-TW" w:eastAsia="zh-TW" w:bidi="ar-SA"/>
          <w14:textFill>
            <w14:solidFill>
              <w14:schemeClr w14:val="tx1"/>
            </w14:solidFill>
          </w14:textFill>
        </w:rPr>
        <w:t>满足《土壤环境质量建设用地土壤污染风险管控标准</w:t>
      </w:r>
      <w:r>
        <w:rPr>
          <w:rFonts w:hint="eastAsia" w:hAnsiTheme="minorEastAsia" w:eastAsiaTheme="minorEastAsia"/>
          <w:color w:val="000000" w:themeColor="text1"/>
          <w:kern w:val="2"/>
          <w:szCs w:val="22"/>
          <w:lang w:val="zh-TW" w:bidi="ar-SA"/>
          <w14:textFill>
            <w14:solidFill>
              <w14:schemeClr w14:val="tx1"/>
            </w14:solidFill>
          </w14:textFill>
        </w:rPr>
        <w:t>》</w:t>
      </w:r>
      <w:r>
        <w:rPr>
          <w:rFonts w:hint="eastAsia" w:hAnsiTheme="minorEastAsia" w:eastAsiaTheme="minorEastAsia"/>
          <w:color w:val="000000" w:themeColor="text1"/>
          <w:kern w:val="2"/>
          <w:szCs w:val="22"/>
          <w:lang w:val="zh-TW" w:eastAsia="zh-TW" w:bidi="ar-SA"/>
          <w14:textFill>
            <w14:solidFill>
              <w14:schemeClr w14:val="tx1"/>
            </w14:solidFill>
          </w14:textFill>
        </w:rPr>
        <w:t>（GB36600-2018）中的第二类用地筛选值要求。</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69" w:name="_Toc4897"/>
      <w:bookmarkStart w:id="370" w:name="_Toc9744"/>
      <w:r>
        <w:rPr>
          <w:rFonts w:hint="eastAsia" w:ascii="Times New Roman" w:hAnsi="Times New Roman" w:eastAsia="黑体"/>
          <w:b/>
          <w:color w:val="000000" w:themeColor="text1"/>
          <w:kern w:val="0"/>
          <w:sz w:val="28"/>
          <w:szCs w:val="28"/>
          <w:lang w:val="en-US" w:eastAsia="zh-CN"/>
          <w14:textFill>
            <w14:solidFill>
              <w14:schemeClr w14:val="tx1"/>
            </w14:solidFill>
          </w14:textFill>
        </w:rPr>
        <w:t>5</w:t>
      </w:r>
      <w:r>
        <w:rPr>
          <w:rFonts w:hint="eastAsia" w:ascii="Times New Roman" w:hAnsi="Times New Roman" w:eastAsia="黑体"/>
          <w:b/>
          <w:color w:val="000000" w:themeColor="text1"/>
          <w:kern w:val="0"/>
          <w:sz w:val="28"/>
          <w:szCs w:val="28"/>
          <w14:textFill>
            <w14:solidFill>
              <w14:schemeClr w14:val="tx1"/>
            </w14:solidFill>
          </w14:textFill>
        </w:rPr>
        <w:t>.</w:t>
      </w:r>
      <w:r>
        <w:rPr>
          <w:rFonts w:hint="eastAsia" w:ascii="Times New Roman" w:hAnsi="Times New Roman" w:eastAsia="黑体"/>
          <w:b/>
          <w:color w:val="000000" w:themeColor="text1"/>
          <w:kern w:val="0"/>
          <w:sz w:val="28"/>
          <w:szCs w:val="28"/>
          <w:lang w:val="en-US" w:eastAsia="zh-CN"/>
          <w14:textFill>
            <w14:solidFill>
              <w14:schemeClr w14:val="tx1"/>
            </w14:solidFill>
          </w14:textFill>
        </w:rPr>
        <w:t>3</w:t>
      </w:r>
      <w:r>
        <w:rPr>
          <w:rFonts w:hint="eastAsia" w:ascii="Times New Roman" w:hAnsi="Times New Roman" w:eastAsia="黑体"/>
          <w:b/>
          <w:color w:val="000000" w:themeColor="text1"/>
          <w:kern w:val="0"/>
          <w:sz w:val="28"/>
          <w:szCs w:val="28"/>
          <w14:textFill>
            <w14:solidFill>
              <w14:schemeClr w14:val="tx1"/>
            </w14:solidFill>
          </w14:textFill>
        </w:rPr>
        <w:t>.6生态环境调查与评价</w:t>
      </w:r>
      <w:bookmarkEnd w:id="369"/>
      <w:bookmarkEnd w:id="370"/>
    </w:p>
    <w:p>
      <w:pPr>
        <w:adjustRightInd w:val="0"/>
        <w:snapToGrid w:val="0"/>
        <w:spacing w:line="520" w:lineRule="exact"/>
        <w:ind w:firstLine="480" w:firstLineChars="200"/>
        <w:jc w:val="left"/>
        <w:rPr>
          <w:rFonts w:ascii="Times New Roman" w:hAnsiTheme="minorEastAsia" w:eastAsiaTheme="minorEastAsia"/>
          <w:color w:val="000000" w:themeColor="text1"/>
          <w:sz w:val="24"/>
          <w:lang w:val="zh-TW"/>
          <w14:textFill>
            <w14:solidFill>
              <w14:schemeClr w14:val="tx1"/>
            </w14:solidFill>
          </w14:textFill>
        </w:rPr>
      </w:pPr>
      <w:r>
        <w:rPr>
          <w:rFonts w:ascii="Times New Roman" w:hAnsiTheme="minorEastAsia" w:eastAsiaTheme="minorEastAsia"/>
          <w:color w:val="000000" w:themeColor="text1"/>
          <w:sz w:val="24"/>
          <w:lang w:val="zh-TW" w:eastAsia="zh-TW"/>
          <w14:textFill>
            <w14:solidFill>
              <w14:schemeClr w14:val="tx1"/>
            </w14:solidFill>
          </w14:textFill>
        </w:rPr>
        <w:t>根据现场调查，</w:t>
      </w:r>
      <w:r>
        <w:rPr>
          <w:rFonts w:ascii="Times New Roman" w:hAnsiTheme="minorEastAsia" w:eastAsiaTheme="minorEastAsia"/>
          <w:color w:val="000000" w:themeColor="text1"/>
          <w:sz w:val="24"/>
          <w:lang w:val="zh-TW"/>
          <w14:textFill>
            <w14:solidFill>
              <w14:schemeClr w14:val="tx1"/>
            </w14:solidFill>
          </w14:textFill>
        </w:rPr>
        <w:t>项目拟建地为空地，四周均为</w:t>
      </w:r>
      <w:r>
        <w:rPr>
          <w:rFonts w:hint="eastAsia" w:ascii="Times New Roman" w:hAnsiTheme="minorEastAsia" w:eastAsiaTheme="minorEastAsia"/>
          <w:color w:val="000000" w:themeColor="text1"/>
          <w:sz w:val="24"/>
          <w:lang w:val="zh-TW"/>
          <w14:textFill>
            <w14:solidFill>
              <w14:schemeClr w14:val="tx1"/>
            </w14:solidFill>
          </w14:textFill>
        </w:rPr>
        <w:t>园区在建企业</w:t>
      </w:r>
      <w:r>
        <w:rPr>
          <w:rFonts w:ascii="Times New Roman" w:hAnsiTheme="minorEastAsia" w:eastAsiaTheme="minorEastAsia"/>
          <w:color w:val="000000" w:themeColor="text1"/>
          <w:sz w:val="24"/>
          <w:lang w:val="zh-TW"/>
          <w14:textFill>
            <w14:solidFill>
              <w14:schemeClr w14:val="tx1"/>
            </w14:solidFill>
          </w14:textFill>
        </w:rPr>
        <w:t>及</w:t>
      </w:r>
      <w:r>
        <w:rPr>
          <w:rFonts w:hint="eastAsia" w:ascii="Times New Roman" w:hAnsiTheme="minorEastAsia" w:eastAsiaTheme="minorEastAsia"/>
          <w:color w:val="000000" w:themeColor="text1"/>
          <w:sz w:val="24"/>
          <w:lang w:val="zh-TW"/>
          <w14:textFill>
            <w14:solidFill>
              <w14:schemeClr w14:val="tx1"/>
            </w14:solidFill>
          </w14:textFill>
        </w:rPr>
        <w:t>园区</w:t>
      </w:r>
      <w:r>
        <w:rPr>
          <w:rFonts w:ascii="Times New Roman" w:hAnsiTheme="minorEastAsia" w:eastAsiaTheme="minorEastAsia"/>
          <w:color w:val="000000" w:themeColor="text1"/>
          <w:sz w:val="24"/>
          <w:lang w:val="zh-TW"/>
          <w14:textFill>
            <w14:solidFill>
              <w14:schemeClr w14:val="tx1"/>
            </w14:solidFill>
          </w14:textFill>
        </w:rPr>
        <w:t>道路，为城市生态系统</w:t>
      </w:r>
      <w:r>
        <w:rPr>
          <w:rFonts w:ascii="Times New Roman" w:hAnsiTheme="minorEastAsia" w:eastAsiaTheme="minorEastAsia"/>
          <w:color w:val="000000" w:themeColor="text1"/>
          <w:sz w:val="24"/>
          <w:lang w:val="zh-TW" w:eastAsia="zh-TW"/>
          <w14:textFill>
            <w14:solidFill>
              <w14:schemeClr w14:val="tx1"/>
            </w14:solidFill>
          </w14:textFill>
        </w:rPr>
        <w:t>，评价区域内没有需要重点保护的古树、大树及珍稀物种</w:t>
      </w:r>
      <w:r>
        <w:rPr>
          <w:rFonts w:ascii="Times New Roman" w:hAnsiTheme="minorEastAsia" w:eastAsiaTheme="minorEastAsia"/>
          <w:color w:val="000000" w:themeColor="text1"/>
          <w:sz w:val="24"/>
          <w:lang w:val="zh-TW"/>
          <w14:textFill>
            <w14:solidFill>
              <w14:schemeClr w14:val="tx1"/>
            </w14:solidFill>
          </w14:textFill>
        </w:rPr>
        <w:t>，不涉及</w:t>
      </w:r>
      <w:r>
        <w:rPr>
          <w:rFonts w:ascii="Times New Roman" w:hAnsiTheme="minorEastAsia" w:eastAsiaTheme="minorEastAsia"/>
          <w:color w:val="000000" w:themeColor="text1"/>
          <w:sz w:val="24"/>
          <w:lang w:val="zh-TW" w:eastAsia="zh-TW"/>
          <w14:textFill>
            <w14:solidFill>
              <w14:schemeClr w14:val="tx1"/>
            </w14:solidFill>
          </w14:textFill>
        </w:rPr>
        <w:t>国家、省重点保护动植物。</w:t>
      </w:r>
    </w:p>
    <w:p>
      <w:pPr>
        <w:spacing w:line="520" w:lineRule="exact"/>
        <w:jc w:val="center"/>
        <w:rPr>
          <w:rFonts w:ascii="Times New Roman" w:hAnsi="Times New Roman"/>
          <w:b/>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380"/>
        <w:adjustRightInd w:val="0"/>
        <w:snapToGrid w:val="0"/>
        <w:spacing w:after="360" w:afterLines="150"/>
        <w:ind w:firstLine="0" w:firstLineChars="0"/>
        <w:jc w:val="center"/>
        <w:outlineLvl w:val="2"/>
        <w:rPr>
          <w:rFonts w:ascii="黑体" w:hAnsi="黑体" w:eastAsia="黑体"/>
          <w:b/>
          <w:color w:val="000000" w:themeColor="text1"/>
          <w:sz w:val="44"/>
          <w:szCs w:val="44"/>
          <w14:textFill>
            <w14:solidFill>
              <w14:schemeClr w14:val="tx1"/>
            </w14:solidFill>
          </w14:textFill>
        </w:rPr>
      </w:pPr>
      <w:bookmarkStart w:id="371" w:name="_Toc24971"/>
      <w:r>
        <w:rPr>
          <w:rFonts w:hint="eastAsia" w:ascii="黑体" w:hAnsi="黑体" w:eastAsia="黑体"/>
          <w:b/>
          <w:color w:val="000000" w:themeColor="text1"/>
          <w:sz w:val="44"/>
          <w:szCs w:val="44"/>
          <w:lang w:val="en-US" w:eastAsia="zh-CN"/>
          <w14:textFill>
            <w14:solidFill>
              <w14:schemeClr w14:val="tx1"/>
            </w14:solidFill>
          </w14:textFill>
        </w:rPr>
        <w:t>6</w:t>
      </w:r>
      <w:r>
        <w:rPr>
          <w:rFonts w:ascii="黑体" w:hAnsi="黑体" w:eastAsia="黑体"/>
          <w:b/>
          <w:color w:val="000000" w:themeColor="text1"/>
          <w:sz w:val="44"/>
          <w:szCs w:val="44"/>
          <w14:textFill>
            <w14:solidFill>
              <w14:schemeClr w14:val="tx1"/>
            </w14:solidFill>
          </w14:textFill>
        </w:rPr>
        <w:t>环境影响预测与评价</w:t>
      </w:r>
      <w:bookmarkEnd w:id="371"/>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372" w:name="_Toc13611"/>
      <w:r>
        <w:rPr>
          <w:rFonts w:hint="eastAsia" w:ascii="Times New Roman" w:hAnsi="Times New Roman" w:eastAsia="黑体"/>
          <w:b/>
          <w:color w:val="000000" w:themeColor="text1"/>
          <w:sz w:val="32"/>
          <w:szCs w:val="32"/>
          <w:lang w:val="en-US" w:eastAsia="zh-CN"/>
          <w14:textFill>
            <w14:solidFill>
              <w14:schemeClr w14:val="tx1"/>
            </w14:solidFill>
          </w14:textFill>
        </w:rPr>
        <w:t>6</w:t>
      </w:r>
      <w:r>
        <w:rPr>
          <w:rFonts w:ascii="Times New Roman" w:hAnsi="Times New Roman" w:eastAsia="黑体"/>
          <w:b/>
          <w:color w:val="000000" w:themeColor="text1"/>
          <w:sz w:val="32"/>
          <w:szCs w:val="32"/>
          <w14:textFill>
            <w14:solidFill>
              <w14:schemeClr w14:val="tx1"/>
            </w14:solidFill>
          </w14:textFill>
        </w:rPr>
        <w:t>.1</w:t>
      </w:r>
      <w:r>
        <w:rPr>
          <w:rFonts w:hint="eastAsia" w:ascii="黑体" w:hAnsi="黑体" w:eastAsia="黑体"/>
          <w:b/>
          <w:color w:val="000000" w:themeColor="text1"/>
          <w:sz w:val="32"/>
          <w:szCs w:val="32"/>
          <w14:textFill>
            <w14:solidFill>
              <w14:schemeClr w14:val="tx1"/>
            </w14:solidFill>
          </w14:textFill>
        </w:rPr>
        <w:t>施工期</w:t>
      </w:r>
      <w:r>
        <w:rPr>
          <w:rFonts w:ascii="黑体" w:hAnsi="黑体" w:eastAsia="黑体"/>
          <w:b/>
          <w:color w:val="000000" w:themeColor="text1"/>
          <w:sz w:val="32"/>
          <w:szCs w:val="32"/>
          <w14:textFill>
            <w14:solidFill>
              <w14:schemeClr w14:val="tx1"/>
            </w14:solidFill>
          </w14:textFill>
        </w:rPr>
        <w:t>环境影响</w:t>
      </w:r>
      <w:r>
        <w:rPr>
          <w:rFonts w:hint="eastAsia" w:ascii="黑体" w:hAnsi="黑体" w:eastAsia="黑体"/>
          <w:b/>
          <w:color w:val="000000" w:themeColor="text1"/>
          <w:sz w:val="32"/>
          <w:szCs w:val="32"/>
          <w14:textFill>
            <w14:solidFill>
              <w14:schemeClr w14:val="tx1"/>
            </w14:solidFill>
          </w14:textFill>
        </w:rPr>
        <w:t>评价</w:t>
      </w:r>
      <w:bookmarkEnd w:id="372"/>
    </w:p>
    <w:p>
      <w:pPr>
        <w:spacing w:line="52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项目建设期施工内容主要包括：</w:t>
      </w:r>
      <w:r>
        <w:rPr>
          <w:rFonts w:hAnsi="宋体"/>
          <w:color w:val="000000" w:themeColor="text1"/>
          <w:sz w:val="24"/>
          <w14:textFill>
            <w14:solidFill>
              <w14:schemeClr w14:val="tx1"/>
            </w14:solidFill>
          </w14:textFill>
        </w:rPr>
        <w:t>地表开挖和弃土填埋，</w:t>
      </w:r>
      <w:r>
        <w:rPr>
          <w:rFonts w:hint="eastAsia" w:hAnsi="宋体"/>
          <w:color w:val="000000" w:themeColor="text1"/>
          <w:sz w:val="24"/>
          <w14:textFill>
            <w14:solidFill>
              <w14:schemeClr w14:val="tx1"/>
            </w14:solidFill>
          </w14:textFill>
        </w:rPr>
        <w:t>土建、</w:t>
      </w:r>
      <w:r>
        <w:rPr>
          <w:color w:val="000000" w:themeColor="text1"/>
          <w:sz w:val="24"/>
          <w14:textFill>
            <w14:solidFill>
              <w14:schemeClr w14:val="tx1"/>
            </w14:solidFill>
          </w14:textFill>
        </w:rPr>
        <w:t>设备安装与调试等，施工期的主要环境影响为</w:t>
      </w:r>
      <w:r>
        <w:rPr>
          <w:rFonts w:hint="eastAsia"/>
          <w:color w:val="000000" w:themeColor="text1"/>
          <w:sz w:val="24"/>
          <w14:textFill>
            <w14:solidFill>
              <w14:schemeClr w14:val="tx1"/>
            </w14:solidFill>
          </w14:textFill>
        </w:rPr>
        <w:t>水土流失</w:t>
      </w:r>
      <w:r>
        <w:rPr>
          <w:color w:val="000000" w:themeColor="text1"/>
          <w:sz w:val="24"/>
          <w14:textFill>
            <w14:solidFill>
              <w14:schemeClr w14:val="tx1"/>
            </w14:solidFill>
          </w14:textFill>
        </w:rPr>
        <w:t>、扬尘、噪声、固体废弃物及生活污水。</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73" w:name="_Toc12629"/>
      <w:bookmarkStart w:id="374" w:name="_Toc31365"/>
      <w:r>
        <w:rPr>
          <w:rFonts w:hint="eastAsia" w:ascii="Times New Roman" w:hAnsi="Times New Roman" w:eastAsia="黑体"/>
          <w:b/>
          <w:color w:val="000000" w:themeColor="text1"/>
          <w:kern w:val="0"/>
          <w:sz w:val="28"/>
          <w:szCs w:val="28"/>
          <w:lang w:val="en-US" w:eastAsia="zh-CN"/>
          <w14:textFill>
            <w14:solidFill>
              <w14:schemeClr w14:val="tx1"/>
            </w14:solidFill>
          </w14:textFill>
        </w:rPr>
        <w:t>6</w:t>
      </w:r>
      <w:r>
        <w:rPr>
          <w:rFonts w:hint="eastAsia" w:ascii="Times New Roman" w:hAnsi="Times New Roman" w:eastAsia="黑体"/>
          <w:b/>
          <w:color w:val="000000" w:themeColor="text1"/>
          <w:kern w:val="0"/>
          <w:sz w:val="28"/>
          <w:szCs w:val="28"/>
          <w14:textFill>
            <w14:solidFill>
              <w14:schemeClr w14:val="tx1"/>
            </w14:solidFill>
          </w14:textFill>
        </w:rPr>
        <w:t>.1.1施工期扬尘污染影响分析</w:t>
      </w:r>
      <w:bookmarkEnd w:id="373"/>
      <w:bookmarkEnd w:id="374"/>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施工期打地基、挖沟、埋管等过程将破坏场地内地表结构，产生地面扬尘，对场地及周围敏感点的环境空气造成影响，扬尘量大小与施工现场条件、管理水平、机械化程度及施工季节、土质及天气等诸多因素有关。施工扬尘最大产生量通常发生在土方阶段，该阶段裸露浮土较多，产尘量较大。根据典型施工现场及周围粉尘的监测结果，在施工现场场界，</w:t>
      </w:r>
      <w:r>
        <w:rPr>
          <w:rFonts w:ascii="Times New Roman" w:hAnsi="Times New Roman" w:eastAsiaTheme="minorEastAsia"/>
          <w:color w:val="000000" w:themeColor="text1"/>
          <w:sz w:val="24"/>
          <w14:textFill>
            <w14:solidFill>
              <w14:schemeClr w14:val="tx1"/>
            </w14:solidFill>
          </w14:textFill>
        </w:rPr>
        <w:t>TSP</w:t>
      </w:r>
      <w:r>
        <w:rPr>
          <w:rFonts w:ascii="Times New Roman" w:hAnsiTheme="minorEastAsia" w:eastAsiaTheme="minorEastAsia"/>
          <w:color w:val="000000" w:themeColor="text1"/>
          <w:sz w:val="24"/>
          <w14:textFill>
            <w14:solidFill>
              <w14:schemeClr w14:val="tx1"/>
            </w14:solidFill>
          </w14:textFill>
        </w:rPr>
        <w:t>浓度贡献值在</w:t>
      </w:r>
      <w:r>
        <w:rPr>
          <w:rFonts w:ascii="Times New Roman" w:hAnsi="Times New Roman" w:eastAsiaTheme="minorEastAsia"/>
          <w:color w:val="000000" w:themeColor="text1"/>
          <w:sz w:val="24"/>
          <w14:textFill>
            <w14:solidFill>
              <w14:schemeClr w14:val="tx1"/>
            </w14:solidFill>
          </w14:textFill>
        </w:rPr>
        <w:t>1.259</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2.308mg/m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之间，平均为</w:t>
      </w:r>
      <w:r>
        <w:rPr>
          <w:rFonts w:ascii="Times New Roman" w:hAnsi="Times New Roman" w:eastAsiaTheme="minorEastAsia"/>
          <w:color w:val="000000" w:themeColor="text1"/>
          <w:sz w:val="24"/>
          <w14:textFill>
            <w14:solidFill>
              <w14:schemeClr w14:val="tx1"/>
            </w14:solidFill>
          </w14:textFill>
        </w:rPr>
        <w:t>1.784mg/m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；在离场界下风向</w:t>
      </w:r>
      <w:r>
        <w:rPr>
          <w:rFonts w:ascii="Times New Roman" w:hAnsi="Times New Roman" w:eastAsiaTheme="minorEastAsia"/>
          <w:color w:val="000000" w:themeColor="text1"/>
          <w:sz w:val="24"/>
          <w14:textFill>
            <w14:solidFill>
              <w14:schemeClr w14:val="tx1"/>
            </w14:solidFill>
          </w14:textFill>
        </w:rPr>
        <w:t>30m</w:t>
      </w:r>
      <w:r>
        <w:rPr>
          <w:rFonts w:ascii="Times New Roman" w:hAnsiTheme="minorEastAsia" w:eastAsiaTheme="minorEastAsia"/>
          <w:color w:val="000000" w:themeColor="text1"/>
          <w:sz w:val="24"/>
          <w14:textFill>
            <w14:solidFill>
              <w14:schemeClr w14:val="tx1"/>
            </w14:solidFill>
          </w14:textFill>
        </w:rPr>
        <w:t>处，</w:t>
      </w:r>
      <w:r>
        <w:rPr>
          <w:rFonts w:ascii="Times New Roman" w:hAnsi="Times New Roman" w:eastAsiaTheme="minorEastAsia"/>
          <w:color w:val="000000" w:themeColor="text1"/>
          <w:sz w:val="24"/>
          <w14:textFill>
            <w14:solidFill>
              <w14:schemeClr w14:val="tx1"/>
            </w14:solidFill>
          </w14:textFill>
        </w:rPr>
        <w:t>TSP</w:t>
      </w:r>
      <w:r>
        <w:rPr>
          <w:rFonts w:ascii="Times New Roman" w:hAnsiTheme="minorEastAsia" w:eastAsiaTheme="minorEastAsia"/>
          <w:color w:val="000000" w:themeColor="text1"/>
          <w:sz w:val="24"/>
          <w14:textFill>
            <w14:solidFill>
              <w14:schemeClr w14:val="tx1"/>
            </w14:solidFill>
          </w14:textFill>
        </w:rPr>
        <w:t>浓度贡献值在</w:t>
      </w:r>
      <w:r>
        <w:rPr>
          <w:rFonts w:ascii="Times New Roman" w:hAnsi="Times New Roman" w:eastAsiaTheme="minorEastAsia"/>
          <w:color w:val="000000" w:themeColor="text1"/>
          <w:sz w:val="24"/>
          <w14:textFill>
            <w14:solidFill>
              <w14:schemeClr w14:val="tx1"/>
            </w14:solidFill>
          </w14:textFill>
        </w:rPr>
        <w:t>0.544</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0.670mg/m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之间，平均为</w:t>
      </w:r>
      <w:r>
        <w:rPr>
          <w:rFonts w:ascii="Times New Roman" w:hAnsi="Times New Roman" w:eastAsiaTheme="minorEastAsia"/>
          <w:color w:val="000000" w:themeColor="text1"/>
          <w:sz w:val="24"/>
          <w14:textFill>
            <w14:solidFill>
              <w14:schemeClr w14:val="tx1"/>
            </w14:solidFill>
          </w14:textFill>
        </w:rPr>
        <w:t>0.607mg/m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，超过了《环境空气质量标准》（</w:t>
      </w:r>
      <w:r>
        <w:rPr>
          <w:rFonts w:ascii="Times New Roman" w:hAnsi="Times New Roman" w:eastAsiaTheme="minorEastAsia"/>
          <w:color w:val="000000" w:themeColor="text1"/>
          <w:sz w:val="24"/>
          <w14:textFill>
            <w14:solidFill>
              <w14:schemeClr w14:val="tx1"/>
            </w14:solidFill>
          </w14:textFill>
        </w:rPr>
        <w:t>GB3095-2012</w:t>
      </w:r>
      <w:r>
        <w:rPr>
          <w:rFonts w:ascii="Times New Roman" w:hAnsiTheme="minorEastAsia" w:eastAsiaTheme="minorEastAsia"/>
          <w:color w:val="000000" w:themeColor="text1"/>
          <w:sz w:val="24"/>
          <w14:textFill>
            <w14:solidFill>
              <w14:schemeClr w14:val="tx1"/>
            </w14:solidFill>
          </w14:textFill>
        </w:rPr>
        <w:t>）中的二级标准。</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受扬尘影响的范围主要包括施工场地周围及下风向的部分地区，施工单位应采取封闭式施工，最大限度地控制施工扬尘影响的范围，并适时进行洒水清扫路面。随着施工活动的结束，施工现场扬尘对环境空气的影响也将消除。</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施工过程中若对装载容易散落、飞扬、流漏物料的运输车辆管理不当，对沿途周围环境会产生一次和二次扬尘污染，影响较大的是运输土石方的车辆。运输车辆在进出施工工地时，车体不清洁，车轮挂带泥沙，产生扬尘也会影响施工场地周围环境质量。</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产生扬尘量与场地状况有很大关系，道路扬尘视其路面质量不同而产生的扬尘量相差较大，最少的是水泥路面，其次是坚实的土路、一般土路，最差的是浮土多的土路。据有关资料，运输车辆在施工场地行驶产生的扬尘约占施工扬尘总量的</w:t>
      </w:r>
      <w:r>
        <w:rPr>
          <w:rFonts w:ascii="Times New Roman" w:hAnsi="Times New Roman" w:eastAsiaTheme="minorEastAsia"/>
          <w:color w:val="000000" w:themeColor="text1"/>
          <w:sz w:val="24"/>
          <w14:textFill>
            <w14:solidFill>
              <w14:schemeClr w14:val="tx1"/>
            </w14:solidFill>
          </w14:textFill>
        </w:rPr>
        <w:t>60%</w:t>
      </w:r>
      <w:r>
        <w:rPr>
          <w:rFonts w:ascii="Times New Roman" w:hAnsiTheme="minorEastAsia" w:eastAsiaTheme="minorEastAsia"/>
          <w:color w:val="000000" w:themeColor="text1"/>
          <w:sz w:val="24"/>
          <w14:textFill>
            <w14:solidFill>
              <w14:schemeClr w14:val="tx1"/>
            </w14:solidFill>
          </w14:textFill>
        </w:rPr>
        <w:t>。场地在自然风作用下产生的扬尘一般影响范围在</w:t>
      </w:r>
      <w:r>
        <w:rPr>
          <w:rFonts w:ascii="Times New Roman" w:hAnsi="Times New Roman" w:eastAsiaTheme="minorEastAsia"/>
          <w:color w:val="000000" w:themeColor="text1"/>
          <w:sz w:val="24"/>
          <w14:textFill>
            <w14:solidFill>
              <w14:schemeClr w14:val="tx1"/>
            </w14:solidFill>
          </w14:textFill>
        </w:rPr>
        <w:t>100m</w:t>
      </w:r>
      <w:r>
        <w:rPr>
          <w:rFonts w:ascii="Times New Roman" w:hAnsiTheme="minorEastAsia" w:eastAsiaTheme="minorEastAsia"/>
          <w:color w:val="000000" w:themeColor="text1"/>
          <w:sz w:val="24"/>
          <w14:textFill>
            <w14:solidFill>
              <w14:schemeClr w14:val="tx1"/>
            </w14:solidFill>
          </w14:textFill>
        </w:rPr>
        <w:t>以内。</w:t>
      </w:r>
    </w:p>
    <w:p>
      <w:pPr>
        <w:spacing w:line="520" w:lineRule="exact"/>
        <w:ind w:firstLine="480" w:firstLineChars="200"/>
        <w:rPr>
          <w:rFonts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为了抑制施工期间的车辆运输扬尘，施工单位应在车辆行驶的路面洒水抑尘，每天洒水</w:t>
      </w:r>
      <w:r>
        <w:rPr>
          <w:rFonts w:ascii="Times New Roman" w:hAnsi="Times New Roman" w:eastAsiaTheme="minorEastAsia"/>
          <w:color w:val="000000" w:themeColor="text1"/>
          <w:sz w:val="24"/>
          <w14:textFill>
            <w14:solidFill>
              <w14:schemeClr w14:val="tx1"/>
            </w14:solidFill>
          </w14:textFill>
        </w:rPr>
        <w:t>4</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5</w:t>
      </w:r>
      <w:r>
        <w:rPr>
          <w:rFonts w:ascii="Times New Roman" w:hAnsiTheme="minorEastAsia" w:eastAsiaTheme="minorEastAsia"/>
          <w:color w:val="000000" w:themeColor="text1"/>
          <w:sz w:val="24"/>
          <w14:textFill>
            <w14:solidFill>
              <w14:schemeClr w14:val="tx1"/>
            </w14:solidFill>
          </w14:textFill>
        </w:rPr>
        <w:t>次，可使扬尘量减少</w:t>
      </w:r>
      <w:r>
        <w:rPr>
          <w:rFonts w:ascii="Times New Roman" w:hAnsi="Times New Roman" w:eastAsiaTheme="minorEastAsia"/>
          <w:color w:val="000000" w:themeColor="text1"/>
          <w:sz w:val="24"/>
          <w14:textFill>
            <w14:solidFill>
              <w14:schemeClr w14:val="tx1"/>
            </w14:solidFill>
          </w14:textFill>
        </w:rPr>
        <w:t>70</w:t>
      </w:r>
      <w:r>
        <w:rPr>
          <w:rFonts w:ascii="Times New Roman" w:hAnsiTheme="minorEastAsia" w:eastAsiaTheme="minorEastAsia"/>
          <w:color w:val="000000" w:themeColor="text1"/>
          <w:sz w:val="24"/>
          <w14:textFill>
            <w14:solidFill>
              <w14:schemeClr w14:val="tx1"/>
            </w14:solidFill>
          </w14:textFill>
        </w:rPr>
        <w:t>％。类比调查表明，施工场地每天实施洒水抑尘</w:t>
      </w:r>
      <w:r>
        <w:rPr>
          <w:rFonts w:ascii="Times New Roman" w:hAnsi="Times New Roman" w:eastAsiaTheme="minorEastAsia"/>
          <w:color w:val="000000" w:themeColor="text1"/>
          <w:sz w:val="24"/>
          <w14:textFill>
            <w14:solidFill>
              <w14:schemeClr w14:val="tx1"/>
            </w14:solidFill>
          </w14:textFill>
        </w:rPr>
        <w:t>4</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5</w:t>
      </w:r>
      <w:r>
        <w:rPr>
          <w:rFonts w:ascii="Times New Roman" w:hAnsiTheme="minorEastAsia" w:eastAsiaTheme="minorEastAsia"/>
          <w:color w:val="000000" w:themeColor="text1"/>
          <w:sz w:val="24"/>
          <w14:textFill>
            <w14:solidFill>
              <w14:schemeClr w14:val="tx1"/>
            </w14:solidFill>
          </w14:textFill>
        </w:rPr>
        <w:t>次后，车辆行驶扬尘造成的污染距离可缩小至</w:t>
      </w:r>
      <w:r>
        <w:rPr>
          <w:rFonts w:ascii="Times New Roman" w:hAnsi="Times New Roman" w:eastAsiaTheme="minorEastAsia"/>
          <w:color w:val="000000" w:themeColor="text1"/>
          <w:sz w:val="24"/>
          <w14:textFill>
            <w14:solidFill>
              <w14:schemeClr w14:val="tx1"/>
            </w14:solidFill>
          </w14:textFill>
        </w:rPr>
        <w:t>20</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50m</w:t>
      </w:r>
      <w:r>
        <w:rPr>
          <w:rFonts w:ascii="Times New Roman" w:hAnsiTheme="minorEastAsia" w:eastAsiaTheme="minorEastAsia"/>
          <w:color w:val="000000" w:themeColor="text1"/>
          <w:sz w:val="24"/>
          <w14:textFill>
            <w14:solidFill>
              <w14:schemeClr w14:val="tx1"/>
            </w14:solidFill>
          </w14:textFill>
        </w:rPr>
        <w:t>。</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75" w:name="_Toc29256"/>
      <w:bookmarkStart w:id="376" w:name="_Toc12919"/>
      <w:r>
        <w:rPr>
          <w:rFonts w:hint="eastAsia" w:ascii="Times New Roman" w:hAnsi="Times New Roman" w:eastAsia="黑体"/>
          <w:b/>
          <w:color w:val="000000" w:themeColor="text1"/>
          <w:kern w:val="0"/>
          <w:sz w:val="28"/>
          <w:szCs w:val="28"/>
          <w:lang w:val="en-US" w:eastAsia="zh-CN"/>
          <w14:textFill>
            <w14:solidFill>
              <w14:schemeClr w14:val="tx1"/>
            </w14:solidFill>
          </w14:textFill>
        </w:rPr>
        <w:t>6</w:t>
      </w:r>
      <w:r>
        <w:rPr>
          <w:rFonts w:hint="eastAsia" w:ascii="Times New Roman" w:hAnsi="Times New Roman" w:eastAsia="黑体"/>
          <w:b/>
          <w:color w:val="000000" w:themeColor="text1"/>
          <w:kern w:val="0"/>
          <w:sz w:val="28"/>
          <w:szCs w:val="28"/>
          <w14:textFill>
            <w14:solidFill>
              <w14:schemeClr w14:val="tx1"/>
            </w14:solidFill>
          </w14:textFill>
        </w:rPr>
        <w:t>.1.2施工期噪声影响分析</w:t>
      </w:r>
      <w:bookmarkEnd w:id="375"/>
      <w:bookmarkEnd w:id="376"/>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施工噪声主要有施工运输车辆噪声和建筑噪声两类。各类建筑施工机械在不同距离处的噪声预测值见表</w:t>
      </w:r>
      <w:r>
        <w:rPr>
          <w:rFonts w:hint="eastAsia" w:ascii="Times New Roman" w:hAnsi="Times New Roman" w:eastAsiaTheme="minorEastAsia"/>
          <w:color w:val="000000" w:themeColor="text1"/>
          <w:sz w:val="24"/>
          <w:lang w:val="en-US" w:eastAsia="zh-CN"/>
          <w14:textFill>
            <w14:solidFill>
              <w14:schemeClr w14:val="tx1"/>
            </w14:solidFill>
          </w14:textFill>
        </w:rPr>
        <w:t>6</w:t>
      </w:r>
      <w:r>
        <w:rPr>
          <w:rFonts w:ascii="Times New Roman" w:hAnsi="Times New Roman" w:eastAsiaTheme="minorEastAsia"/>
          <w:color w:val="000000" w:themeColor="text1"/>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1</w:t>
      </w:r>
      <w:r>
        <w:rPr>
          <w:rFonts w:ascii="Times New Roman" w:hAnsi="Times New Roman"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w:t>
      </w:r>
    </w:p>
    <w:p>
      <w:pPr>
        <w:pStyle w:val="24"/>
        <w:spacing w:before="0" w:line="520" w:lineRule="exact"/>
        <w:ind w:firstLine="482" w:firstLineChars="200"/>
        <w:jc w:val="center"/>
        <w:rPr>
          <w:rFonts w:ascii="Times New Roman" w:hAnsi="Times New Roman" w:cs="Times New Roman" w:eastAsiaTheme="minorEastAsia"/>
          <w:b/>
          <w:color w:val="000000" w:themeColor="text1"/>
          <w:szCs w:val="24"/>
          <w14:textFill>
            <w14:solidFill>
              <w14:schemeClr w14:val="tx1"/>
            </w14:solidFill>
          </w14:textFill>
        </w:rPr>
      </w:pPr>
      <w:r>
        <w:rPr>
          <w:rFonts w:ascii="Times New Roman" w:cs="Times New Roman" w:hAnsiTheme="minorEastAsia" w:eastAsiaTheme="minorEastAsia"/>
          <w:b/>
          <w:color w:val="000000" w:themeColor="text1"/>
          <w:szCs w:val="24"/>
          <w14:textFill>
            <w14:solidFill>
              <w14:schemeClr w14:val="tx1"/>
            </w14:solidFill>
          </w14:textFill>
        </w:rPr>
        <w:t>表</w:t>
      </w:r>
      <w:r>
        <w:rPr>
          <w:rFonts w:hint="eastAsia" w:ascii="Times New Roman" w:cs="Times New Roman" w:hAnsiTheme="minorEastAsia" w:eastAsiaTheme="minorEastAsia"/>
          <w:b/>
          <w:color w:val="000000" w:themeColor="text1"/>
          <w:szCs w:val="24"/>
          <w:lang w:val="en-US" w:eastAsia="zh-CN"/>
          <w14:textFill>
            <w14:solidFill>
              <w14:schemeClr w14:val="tx1"/>
            </w14:solidFill>
          </w14:textFill>
        </w:rPr>
        <w:t>6</w:t>
      </w:r>
      <w:r>
        <w:rPr>
          <w:rFonts w:ascii="Times New Roman" w:hAnsi="Times New Roman" w:cs="Times New Roman" w:eastAsiaTheme="minorEastAsia"/>
          <w:b/>
          <w:color w:val="000000" w:themeColor="text1"/>
          <w:szCs w:val="24"/>
          <w14:textFill>
            <w14:solidFill>
              <w14:schemeClr w14:val="tx1"/>
            </w14:solidFill>
          </w14:textFill>
        </w:rPr>
        <w:t>.</w:t>
      </w:r>
      <w:r>
        <w:rPr>
          <w:rFonts w:hint="eastAsia" w:ascii="Times New Roman" w:hAnsi="Times New Roman" w:cs="Times New Roman" w:eastAsiaTheme="minorEastAsia"/>
          <w:b/>
          <w:color w:val="000000" w:themeColor="text1"/>
          <w:szCs w:val="24"/>
          <w14:textFill>
            <w14:solidFill>
              <w14:schemeClr w14:val="tx1"/>
            </w14:solidFill>
          </w14:textFill>
        </w:rPr>
        <w:t>1</w:t>
      </w:r>
      <w:r>
        <w:rPr>
          <w:rFonts w:ascii="Times New Roman" w:hAnsi="Times New Roman" w:cs="Times New Roman" w:eastAsiaTheme="minorEastAsia"/>
          <w:b/>
          <w:color w:val="000000" w:themeColor="text1"/>
          <w:szCs w:val="24"/>
          <w14:textFill>
            <w14:solidFill>
              <w14:schemeClr w14:val="tx1"/>
            </w14:solidFill>
          </w14:textFill>
        </w:rPr>
        <w:t xml:space="preserve">-1  </w:t>
      </w:r>
      <w:r>
        <w:rPr>
          <w:rFonts w:ascii="Times New Roman" w:cs="Times New Roman" w:hAnsiTheme="minorEastAsia" w:eastAsiaTheme="minorEastAsia"/>
          <w:b/>
          <w:color w:val="000000" w:themeColor="text1"/>
          <w:szCs w:val="24"/>
          <w14:textFill>
            <w14:solidFill>
              <w14:schemeClr w14:val="tx1"/>
            </w14:solidFill>
          </w14:textFill>
        </w:rPr>
        <w:t>各类建筑施工机械在不同距离处的噪声预测值</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1775"/>
        <w:gridCol w:w="1055"/>
        <w:gridCol w:w="1057"/>
        <w:gridCol w:w="1057"/>
        <w:gridCol w:w="1062"/>
        <w:gridCol w:w="1066"/>
        <w:gridCol w:w="1066"/>
        <w:gridCol w:w="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vMerge w:val="restart"/>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机械类别</w:t>
            </w:r>
          </w:p>
        </w:tc>
        <w:tc>
          <w:tcPr>
            <w:tcW w:w="7320" w:type="dxa"/>
            <w:gridSpan w:val="7"/>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噪声预测值</w:t>
            </w:r>
            <w:r>
              <w:rPr>
                <w:rFonts w:ascii="Times New Roman" w:hAnsi="Times New Roman" w:eastAsiaTheme="minorEastAsia"/>
                <w:color w:val="000000" w:themeColor="text1"/>
                <w:sz w:val="18"/>
                <w:szCs w:val="18"/>
                <w14:textFill>
                  <w14:solidFill>
                    <w14:schemeClr w14:val="tx1"/>
                  </w14:solidFill>
                </w14:textFill>
              </w:rPr>
              <w:t>dB</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A</w:t>
            </w:r>
            <w:r>
              <w:rPr>
                <w:rFonts w:ascii="Times New Roman" w:hAnsiTheme="minorEastAsia" w:eastAsiaTheme="minorEastAsia"/>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vMerge w:val="continue"/>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10m</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20m</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40m</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50m</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100m</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150m</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搅拌机</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71</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65</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57</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51</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47</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和灰机</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65</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59</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53</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51</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45</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41</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电</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锯</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95</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89</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83</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81</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75</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71</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空压机</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75</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69</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63</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61</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55</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51</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升降机</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75</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69</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63</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61</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55</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电</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钻</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78</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72</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66</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64</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58</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54</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铆</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枪</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71</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65</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59</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57</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51</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切割机</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80</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74</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68</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66</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60</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56</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7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载重汽车</w:t>
            </w:r>
          </w:p>
        </w:tc>
        <w:tc>
          <w:tcPr>
            <w:tcW w:w="1055"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72</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66</w:t>
            </w:r>
          </w:p>
        </w:tc>
        <w:tc>
          <w:tcPr>
            <w:tcW w:w="10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60</w:t>
            </w:r>
          </w:p>
        </w:tc>
        <w:tc>
          <w:tcPr>
            <w:tcW w:w="1062"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58</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52</w:t>
            </w:r>
          </w:p>
        </w:tc>
        <w:tc>
          <w:tcPr>
            <w:tcW w:w="1066"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48</w:t>
            </w:r>
          </w:p>
        </w:tc>
        <w:tc>
          <w:tcPr>
            <w:tcW w:w="957" w:type="dxa"/>
            <w:shd w:val="clear" w:color="auto" w:fill="auto"/>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46</w:t>
            </w:r>
          </w:p>
        </w:tc>
      </w:tr>
    </w:tbl>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由于施工机械在现场内分布较广，且机械设备露天作业，噪声传播范围和影响程度相对较大。从上表预测结果可以看出，搅拌机、和灰机和铆枪噪声传播</w:t>
      </w:r>
      <w:r>
        <w:rPr>
          <w:rFonts w:ascii="Times New Roman" w:hAnsi="Times New Roman" w:eastAsiaTheme="minorEastAsia"/>
          <w:color w:val="000000" w:themeColor="text1"/>
          <w:sz w:val="24"/>
          <w14:textFill>
            <w14:solidFill>
              <w14:schemeClr w14:val="tx1"/>
            </w14:solidFill>
          </w14:textFill>
        </w:rPr>
        <w:t>20m</w:t>
      </w:r>
      <w:r>
        <w:rPr>
          <w:rFonts w:ascii="Times New Roman" w:hAnsiTheme="minorEastAsia" w:eastAsiaTheme="minorEastAsia"/>
          <w:color w:val="000000" w:themeColor="text1"/>
          <w:sz w:val="24"/>
          <w14:textFill>
            <w14:solidFill>
              <w14:schemeClr w14:val="tx1"/>
            </w14:solidFill>
          </w14:textFill>
        </w:rPr>
        <w:t>后，声级已经可以达到</w:t>
      </w:r>
      <w:r>
        <w:rPr>
          <w:rFonts w:ascii="Times New Roman" w:hAnsi="Times New Roman" w:eastAsiaTheme="minorEastAsia"/>
          <w:color w:val="000000" w:themeColor="text1"/>
          <w:sz w:val="24"/>
          <w14:textFill>
            <w14:solidFill>
              <w14:schemeClr w14:val="tx1"/>
            </w14:solidFill>
          </w14:textFill>
        </w:rPr>
        <w:t>65dB</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A</w:t>
      </w:r>
      <w:r>
        <w:rPr>
          <w:rFonts w:ascii="Times New Roman" w:hAnsiTheme="minorEastAsia" w:eastAsiaTheme="minorEastAsia"/>
          <w:color w:val="000000" w:themeColor="text1"/>
          <w:sz w:val="24"/>
          <w14:textFill>
            <w14:solidFill>
              <w14:schemeClr w14:val="tx1"/>
            </w14:solidFill>
          </w14:textFill>
        </w:rPr>
        <w:t>）建筑施工场界噪声标准的要求，而电锯、空压机、电钻、切割机等立噪声源噪声，在建筑屏蔽等情况下，传播</w:t>
      </w:r>
      <w:r>
        <w:rPr>
          <w:rFonts w:ascii="Times New Roman" w:hAnsi="Times New Roman" w:eastAsiaTheme="minorEastAsia"/>
          <w:color w:val="000000" w:themeColor="text1"/>
          <w:sz w:val="24"/>
          <w14:textFill>
            <w14:solidFill>
              <w14:schemeClr w14:val="tx1"/>
            </w14:solidFill>
          </w14:textFill>
        </w:rPr>
        <w:t>20-200m</w:t>
      </w:r>
      <w:r>
        <w:rPr>
          <w:rFonts w:ascii="Times New Roman" w:hAnsiTheme="minorEastAsia" w:eastAsiaTheme="minorEastAsia"/>
          <w:color w:val="000000" w:themeColor="text1"/>
          <w:sz w:val="24"/>
          <w14:textFill>
            <w14:solidFill>
              <w14:schemeClr w14:val="tx1"/>
            </w14:solidFill>
          </w14:textFill>
        </w:rPr>
        <w:t>后声级方可达到施工场界标准的要求。建设单位应采取一定的噪声防护措施（详见</w:t>
      </w:r>
      <w:r>
        <w:rPr>
          <w:rFonts w:hint="eastAsia"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施工期污染防治措施</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），使施工阶段的噪声满足《建筑施工场界环境噪声排放标准》（</w:t>
      </w:r>
      <w:r>
        <w:rPr>
          <w:rFonts w:ascii="Times New Roman" w:hAnsi="Times New Roman" w:eastAsiaTheme="minorEastAsia"/>
          <w:color w:val="000000" w:themeColor="text1"/>
          <w:sz w:val="24"/>
          <w14:textFill>
            <w14:solidFill>
              <w14:schemeClr w14:val="tx1"/>
            </w14:solidFill>
          </w14:textFill>
        </w:rPr>
        <w:t>GB12523-2011</w:t>
      </w:r>
      <w:r>
        <w:rPr>
          <w:rFonts w:ascii="Times New Roman" w:hAnsiTheme="minorEastAsia" w:eastAsiaTheme="minorEastAsia"/>
          <w:color w:val="000000" w:themeColor="text1"/>
          <w:sz w:val="24"/>
          <w14:textFill>
            <w14:solidFill>
              <w14:schemeClr w14:val="tx1"/>
            </w14:solidFill>
          </w14:textFill>
        </w:rPr>
        <w:t>）的要求。</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77" w:name="_Toc17036"/>
      <w:bookmarkStart w:id="378" w:name="_Toc22671"/>
      <w:r>
        <w:rPr>
          <w:rFonts w:hint="eastAsia" w:ascii="Times New Roman" w:hAnsi="Times New Roman" w:eastAsia="黑体"/>
          <w:b/>
          <w:color w:val="000000" w:themeColor="text1"/>
          <w:kern w:val="0"/>
          <w:sz w:val="28"/>
          <w:szCs w:val="28"/>
          <w:lang w:val="en-US" w:eastAsia="zh-CN"/>
          <w14:textFill>
            <w14:solidFill>
              <w14:schemeClr w14:val="tx1"/>
            </w14:solidFill>
          </w14:textFill>
        </w:rPr>
        <w:t>6</w:t>
      </w:r>
      <w:r>
        <w:rPr>
          <w:rFonts w:hint="eastAsia" w:ascii="Times New Roman" w:hAnsi="Times New Roman" w:eastAsia="黑体"/>
          <w:b/>
          <w:color w:val="000000" w:themeColor="text1"/>
          <w:kern w:val="0"/>
          <w:sz w:val="28"/>
          <w:szCs w:val="28"/>
          <w14:textFill>
            <w14:solidFill>
              <w14:schemeClr w14:val="tx1"/>
            </w14:solidFill>
          </w14:textFill>
        </w:rPr>
        <w:t>.1.3施工期固体废物影响分析</w:t>
      </w:r>
      <w:bookmarkEnd w:id="377"/>
      <w:bookmarkEnd w:id="378"/>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建设阶段固体废弃物主要来源于施工人员日常生活产生的生活垃圾及废建筑材料。项目土石方阶段挖出的土石方不得随意丢弃，应分类进行综合利用和妥善处置， 不能利用的弃方及施工建筑垃圾要及时清运到化工园区指定的施工场地进行综合利用或及时清运到化工园区指定的弃渣堆放场堆放，对环境影响较小。</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施工人员所产生的生活垃圾以有机垃圾为主，易产生腐烂，发酵，同时由于发酵而蚊蝇滋生，并产生臭气污染环境，所以在建设阶段，生活垃圾要集中定点收集，纳入宜昌市生活垃圾清运系统及时清运，则不会对周围环境产生影响。</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79" w:name="_Toc3541"/>
      <w:bookmarkStart w:id="380" w:name="_Toc2735"/>
      <w:r>
        <w:rPr>
          <w:rFonts w:hint="eastAsia" w:ascii="Times New Roman" w:hAnsi="Times New Roman" w:eastAsia="黑体"/>
          <w:b/>
          <w:color w:val="000000" w:themeColor="text1"/>
          <w:kern w:val="0"/>
          <w:sz w:val="28"/>
          <w:szCs w:val="28"/>
          <w:lang w:val="en-US" w:eastAsia="zh-CN"/>
          <w14:textFill>
            <w14:solidFill>
              <w14:schemeClr w14:val="tx1"/>
            </w14:solidFill>
          </w14:textFill>
        </w:rPr>
        <w:t>6</w:t>
      </w:r>
      <w:r>
        <w:rPr>
          <w:rFonts w:hint="eastAsia" w:ascii="Times New Roman" w:hAnsi="Times New Roman" w:eastAsia="黑体"/>
          <w:b/>
          <w:color w:val="000000" w:themeColor="text1"/>
          <w:kern w:val="0"/>
          <w:sz w:val="28"/>
          <w:szCs w:val="28"/>
          <w14:textFill>
            <w14:solidFill>
              <w14:schemeClr w14:val="tx1"/>
            </w14:solidFill>
          </w14:textFill>
        </w:rPr>
        <w:t>.1.4施工期地表水环境影响分析</w:t>
      </w:r>
      <w:bookmarkEnd w:id="379"/>
      <w:bookmarkEnd w:id="380"/>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项目建设期间，施工人员日常生活需排放一定的生活污水，若处置不当，会给</w:t>
      </w:r>
      <w:r>
        <w:rPr>
          <w:rFonts w:hint="eastAsia" w:ascii="Times New Roman" w:hAnsiTheme="minorEastAsia" w:eastAsiaTheme="minorEastAsia"/>
          <w:color w:val="000000" w:themeColor="text1"/>
          <w:sz w:val="24"/>
          <w14:textFill>
            <w14:solidFill>
              <w14:schemeClr w14:val="tx1"/>
            </w14:solidFill>
          </w14:textFill>
        </w:rPr>
        <w:t>周边土壤环境及地表水体</w:t>
      </w:r>
      <w:r>
        <w:rPr>
          <w:rFonts w:ascii="Times New Roman" w:hAnsiTheme="minorEastAsia" w:eastAsiaTheme="minorEastAsia"/>
          <w:color w:val="000000" w:themeColor="text1"/>
          <w:sz w:val="24"/>
          <w14:textFill>
            <w14:solidFill>
              <w14:schemeClr w14:val="tx1"/>
            </w14:solidFill>
          </w14:textFill>
        </w:rPr>
        <w:t>造成污染，故应管理好施工队伍生活污水的排放。</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施工期间各类机械跑、冒、滴、漏的油污或露天机械受雨水冲刷会产生一定量的含石油类污染物污水</w:t>
      </w:r>
      <w:r>
        <w:rPr>
          <w:rFonts w:hint="eastAsia" w:ascii="Times New Roman" w:hAnsiTheme="minorEastAsia" w:eastAsiaTheme="minorEastAsia"/>
          <w:color w:val="000000" w:themeColor="text1"/>
          <w:sz w:val="24"/>
          <w14:textFill>
            <w14:solidFill>
              <w14:schemeClr w14:val="tx1"/>
            </w14:solidFill>
          </w14:textFill>
        </w:rPr>
        <w:t>，施工机械、车辆的清洗也将产生部分废水。废水经过隔油池、沉淀池处理后排入市政污水管。</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施工单位应做好建筑材料和建筑废料的管理，防止它们成为地面水的二次污染源，在施工工地周界设置排水明沟，径流水经沉淀处理后就近排放</w:t>
      </w:r>
      <w:r>
        <w:rPr>
          <w:rFonts w:hint="eastAsia" w:ascii="Times New Roman" w:hAnsiTheme="minorEastAsia" w:eastAsiaTheme="minorEastAsia"/>
          <w:color w:val="000000" w:themeColor="text1"/>
          <w:sz w:val="24"/>
          <w14:textFill>
            <w14:solidFill>
              <w14:schemeClr w14:val="tx1"/>
            </w14:solidFill>
          </w14:textFill>
        </w:rPr>
        <w:t>。</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由于施工是短期活动，当施工结束后，施工人员离场，施工</w:t>
      </w:r>
      <w:r>
        <w:rPr>
          <w:rFonts w:hint="eastAsia" w:ascii="Times New Roman" w:hAnsiTheme="minorEastAsia" w:eastAsiaTheme="minorEastAsia"/>
          <w:color w:val="000000" w:themeColor="text1"/>
          <w:sz w:val="24"/>
          <w14:textFill>
            <w14:solidFill>
              <w14:schemeClr w14:val="tx1"/>
            </w14:solidFill>
          </w14:textFill>
        </w:rPr>
        <w:t>工地废水和施工</w:t>
      </w:r>
      <w:r>
        <w:rPr>
          <w:rFonts w:ascii="Times New Roman" w:hAnsiTheme="minorEastAsia" w:eastAsiaTheme="minorEastAsia"/>
          <w:color w:val="000000" w:themeColor="text1"/>
          <w:sz w:val="24"/>
          <w14:textFill>
            <w14:solidFill>
              <w14:schemeClr w14:val="tx1"/>
            </w14:solidFill>
          </w14:textFill>
        </w:rPr>
        <w:t>人员的生活污水对地表水体环境的影响也将消除。</w:t>
      </w:r>
    </w:p>
    <w:p>
      <w:pPr>
        <w:pStyle w:val="380"/>
        <w:adjustRightInd w:val="0"/>
        <w:snapToGrid w:val="0"/>
        <w:spacing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81" w:name="_Toc22382"/>
      <w:bookmarkStart w:id="382" w:name="_Toc7305"/>
      <w:r>
        <w:rPr>
          <w:rFonts w:hint="eastAsia" w:ascii="Times New Roman" w:hAnsi="Times New Roman" w:eastAsia="黑体"/>
          <w:b/>
          <w:color w:val="000000" w:themeColor="text1"/>
          <w:kern w:val="0"/>
          <w:sz w:val="28"/>
          <w:szCs w:val="28"/>
          <w:lang w:val="en-US" w:eastAsia="zh-CN"/>
          <w14:textFill>
            <w14:solidFill>
              <w14:schemeClr w14:val="tx1"/>
            </w14:solidFill>
          </w14:textFill>
        </w:rPr>
        <w:t>6</w:t>
      </w:r>
      <w:r>
        <w:rPr>
          <w:rFonts w:hint="eastAsia" w:ascii="Times New Roman" w:hAnsi="Times New Roman" w:eastAsia="黑体"/>
          <w:b/>
          <w:color w:val="000000" w:themeColor="text1"/>
          <w:kern w:val="0"/>
          <w:sz w:val="28"/>
          <w:szCs w:val="28"/>
          <w14:textFill>
            <w14:solidFill>
              <w14:schemeClr w14:val="tx1"/>
            </w14:solidFill>
          </w14:textFill>
        </w:rPr>
        <w:t>.1.5生态环境影响分析</w:t>
      </w:r>
      <w:bookmarkEnd w:id="381"/>
      <w:bookmarkEnd w:id="382"/>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施工期可能导致水土流失的主要原因是降雨、地表开挖和弃土填埋，项目所在地降雨量大部分集中在雨季</w:t>
      </w:r>
      <w:r>
        <w:rPr>
          <w:rFonts w:ascii="Times New Roman" w:hAnsi="Times New Roman" w:eastAsiaTheme="minorEastAsia"/>
          <w:color w:val="000000" w:themeColor="text1"/>
          <w:sz w:val="24"/>
          <w14:textFill>
            <w14:solidFill>
              <w14:schemeClr w14:val="tx1"/>
            </w14:solidFill>
          </w14:textFill>
        </w:rPr>
        <w:t>(4</w:t>
      </w:r>
      <w:r>
        <w:rPr>
          <w:rFonts w:ascii="Times New Roman" w:hAnsiTheme="minorEastAsia" w:eastAsiaTheme="minorEastAsia"/>
          <w:color w:val="000000" w:themeColor="text1"/>
          <w:sz w:val="24"/>
          <w14:textFill>
            <w14:solidFill>
              <w14:schemeClr w14:val="tx1"/>
            </w14:solidFill>
          </w14:textFill>
        </w:rPr>
        <w:t>月至</w:t>
      </w:r>
      <w:r>
        <w:rPr>
          <w:rFonts w:ascii="Times New Roman" w:hAnsi="Times New Roman" w:eastAsiaTheme="minorEastAsia"/>
          <w:color w:val="000000" w:themeColor="text1"/>
          <w:sz w:val="24"/>
          <w14:textFill>
            <w14:solidFill>
              <w14:schemeClr w14:val="tx1"/>
            </w14:solidFill>
          </w14:textFill>
        </w:rPr>
        <w:t>9</w:t>
      </w:r>
      <w:r>
        <w:rPr>
          <w:rFonts w:ascii="Times New Roman" w:hAnsiTheme="minorEastAsia" w:eastAsiaTheme="minorEastAsia"/>
          <w:color w:val="000000" w:themeColor="text1"/>
          <w:sz w:val="24"/>
          <w14:textFill>
            <w14:solidFill>
              <w14:schemeClr w14:val="tx1"/>
            </w14:solidFill>
          </w14:textFill>
        </w:rPr>
        <w:t>月</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夏季暴雨较集中，降雨量大，降雨时间长，这些气象条件给项目建设施工期的水土流失提供充分必要的动力源泉。项目土建施工是引起水土流失的工程因素，在施工过程中，土壤暴露在雨、风和其它干扰之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严重的水土流失。</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本</w:t>
      </w:r>
      <w:r>
        <w:rPr>
          <w:rFonts w:ascii="Times New Roman" w:hAnsiTheme="minorEastAsia" w:eastAsiaTheme="minorEastAsia"/>
          <w:color w:val="000000" w:themeColor="text1"/>
          <w:sz w:val="24"/>
          <w14:textFill>
            <w14:solidFill>
              <w14:schemeClr w14:val="tx1"/>
            </w14:solidFill>
          </w14:textFill>
        </w:rPr>
        <w:t>项目基本保持挖填方平衡，若多出土方，将用于</w:t>
      </w:r>
      <w:r>
        <w:rPr>
          <w:rFonts w:hint="eastAsia" w:ascii="Times New Roman" w:hAnsiTheme="minorEastAsia" w:eastAsiaTheme="minorEastAsia"/>
          <w:color w:val="000000" w:themeColor="text1"/>
          <w:sz w:val="24"/>
          <w14:textFill>
            <w14:solidFill>
              <w14:schemeClr w14:val="tx1"/>
            </w14:solidFill>
          </w14:textFill>
        </w:rPr>
        <w:t>园区其他企业</w:t>
      </w:r>
      <w:r>
        <w:rPr>
          <w:rFonts w:ascii="Times New Roman" w:hAnsiTheme="minorEastAsia" w:eastAsiaTheme="minorEastAsia"/>
          <w:color w:val="000000" w:themeColor="text1"/>
          <w:sz w:val="24"/>
          <w14:textFill>
            <w14:solidFill>
              <w14:schemeClr w14:val="tx1"/>
            </w14:solidFill>
          </w14:textFill>
        </w:rPr>
        <w:t>施工建设用土。</w:t>
      </w:r>
    </w:p>
    <w:p>
      <w:pPr>
        <w:snapToGrid w:val="0"/>
        <w:spacing w:line="520" w:lineRule="exact"/>
        <w:ind w:firstLine="480" w:firstLineChars="200"/>
        <w:rPr>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综上</w:t>
      </w:r>
      <w:r>
        <w:rPr>
          <w:rFonts w:hint="eastAsia"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本项目开挖面积较小，不会破坏周边植被，对景观不会产生明显影响。项目的建设不会改变区域的用地性质，不会使区域整体生态环境功能发生大的变化，在落实各项污染防治措施，正常生产情况下，不会对区域植被、农作物、地表水体造成显著的危害。</w:t>
      </w:r>
    </w:p>
    <w:p>
      <w:pPr>
        <w:pStyle w:val="380"/>
        <w:adjustRightInd w:val="0"/>
        <w:snapToGrid w:val="0"/>
        <w:spacing w:after="360" w:afterLines="150"/>
        <w:ind w:firstLine="0" w:firstLineChars="0"/>
        <w:jc w:val="left"/>
        <w:outlineLvl w:val="2"/>
        <w:rPr>
          <w:rFonts w:ascii="黑体" w:hAnsi="黑体" w:eastAsia="黑体"/>
          <w:b/>
          <w:color w:val="000000" w:themeColor="text1"/>
          <w:sz w:val="44"/>
          <w:szCs w:val="44"/>
          <w14:textFill>
            <w14:solidFill>
              <w14:schemeClr w14:val="tx1"/>
            </w14:solidFill>
          </w14:textFill>
        </w:rPr>
      </w:pPr>
    </w:p>
    <w:p>
      <w:pPr>
        <w:pStyle w:val="107"/>
        <w:rPr>
          <w:color w:val="000000" w:themeColor="text1"/>
          <w14:textFill>
            <w14:solidFill>
              <w14:schemeClr w14:val="tx1"/>
            </w14:solidFill>
          </w14:textFill>
        </w:rPr>
      </w:pPr>
    </w:p>
    <w:p>
      <w:pPr>
        <w:tabs>
          <w:tab w:val="left" w:pos="1963"/>
        </w:tabs>
        <w:adjustRightInd w:val="0"/>
        <w:snapToGrid w:val="0"/>
        <w:spacing w:line="520" w:lineRule="exact"/>
        <w:jc w:val="left"/>
        <w:rPr>
          <w:rFonts w:ascii="Times New Roman" w:hAnsiTheme="minorEastAsia" w:eastAsiaTheme="minorEastAsia"/>
          <w:color w:val="000000" w:themeColor="text1"/>
          <w:sz w:val="24"/>
          <w:szCs w:val="24"/>
          <w14:textFill>
            <w14:solidFill>
              <w14:schemeClr w14:val="tx1"/>
            </w14:solidFill>
          </w14:textFill>
        </w:rPr>
      </w:pPr>
    </w:p>
    <w:p>
      <w:pPr>
        <w:pStyle w:val="380"/>
        <w:adjustRightInd w:val="0"/>
        <w:snapToGrid w:val="0"/>
        <w:spacing w:before="48" w:beforeLines="20" w:after="48" w:afterLines="20"/>
        <w:ind w:firstLine="0" w:firstLineChars="0"/>
        <w:jc w:val="left"/>
        <w:outlineLvl w:val="2"/>
        <w:rPr>
          <w:rFonts w:ascii="Times New Roman" w:hAnsi="Times New Roman" w:eastAsia="黑体"/>
          <w:b/>
          <w:color w:val="000000" w:themeColor="text1"/>
          <w:sz w:val="32"/>
          <w:szCs w:val="32"/>
          <w14:textFill>
            <w14:solidFill>
              <w14:schemeClr w14:val="tx1"/>
            </w14:solidFill>
          </w14:textFill>
        </w:rPr>
      </w:pPr>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383" w:name="_Toc28150"/>
      <w:r>
        <w:rPr>
          <w:rFonts w:hint="eastAsia" w:ascii="Times New Roman" w:hAnsi="Times New Roman" w:eastAsia="黑体"/>
          <w:b/>
          <w:color w:val="000000" w:themeColor="text1"/>
          <w:sz w:val="32"/>
          <w:szCs w:val="32"/>
          <w:lang w:val="en-US" w:eastAsia="zh-CN"/>
          <w14:textFill>
            <w14:solidFill>
              <w14:schemeClr w14:val="tx1"/>
            </w14:solidFill>
          </w14:textFill>
        </w:rPr>
        <w:t>6</w:t>
      </w:r>
      <w:r>
        <w:rPr>
          <w:rFonts w:ascii="Times New Roman" w:hAnsi="Times New Roman" w:eastAsia="黑体"/>
          <w:b/>
          <w:color w:val="000000" w:themeColor="text1"/>
          <w:sz w:val="32"/>
          <w:szCs w:val="32"/>
          <w14:textFill>
            <w14:solidFill>
              <w14:schemeClr w14:val="tx1"/>
            </w14:solidFill>
          </w14:textFill>
        </w:rPr>
        <w:t>.2</w:t>
      </w:r>
      <w:r>
        <w:rPr>
          <w:rFonts w:hint="eastAsia" w:ascii="黑体" w:hAnsi="黑体" w:eastAsia="黑体"/>
          <w:b/>
          <w:color w:val="000000" w:themeColor="text1"/>
          <w:sz w:val="32"/>
          <w:szCs w:val="32"/>
          <w14:textFill>
            <w14:solidFill>
              <w14:schemeClr w14:val="tx1"/>
            </w14:solidFill>
          </w14:textFill>
        </w:rPr>
        <w:t>运营期环境影响预测与评价</w:t>
      </w:r>
      <w:bookmarkEnd w:id="383"/>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384" w:name="_Toc21830"/>
      <w:bookmarkStart w:id="385" w:name="_Toc9645"/>
      <w:bookmarkStart w:id="386" w:name="_Toc478757770"/>
      <w:r>
        <w:rPr>
          <w:rFonts w:hint="eastAsia" w:ascii="Times New Roman" w:hAnsi="Times New Roman" w:eastAsia="黑体"/>
          <w:b/>
          <w:color w:val="000000" w:themeColor="text1"/>
          <w:sz w:val="28"/>
          <w:szCs w:val="28"/>
          <w:lang w:val="en-US" w:eastAsia="zh-CN"/>
          <w14:textFill>
            <w14:solidFill>
              <w14:schemeClr w14:val="tx1"/>
            </w14:solidFill>
          </w14:textFill>
        </w:rPr>
        <w:t>6</w:t>
      </w:r>
      <w:r>
        <w:rPr>
          <w:rFonts w:hint="eastAsia" w:ascii="Times New Roman" w:hAnsi="Times New Roman" w:eastAsia="黑体"/>
          <w:b/>
          <w:color w:val="000000" w:themeColor="text1"/>
          <w:sz w:val="28"/>
          <w:szCs w:val="28"/>
          <w14:textFill>
            <w14:solidFill>
              <w14:schemeClr w14:val="tx1"/>
            </w14:solidFill>
          </w14:textFill>
        </w:rPr>
        <w:t>.2.1大气</w:t>
      </w:r>
      <w:r>
        <w:rPr>
          <w:rFonts w:ascii="Times New Roman" w:hAnsi="Times New Roman" w:eastAsia="黑体"/>
          <w:b/>
          <w:color w:val="000000" w:themeColor="text1"/>
          <w:kern w:val="0"/>
          <w:sz w:val="28"/>
          <w:szCs w:val="28"/>
          <w14:textFill>
            <w14:solidFill>
              <w14:schemeClr w14:val="tx1"/>
            </w14:solidFill>
          </w14:textFill>
        </w:rPr>
        <w:t>环境影响</w:t>
      </w:r>
      <w:r>
        <w:rPr>
          <w:rFonts w:hint="eastAsia" w:ascii="Times New Roman" w:hAnsi="Times New Roman" w:eastAsia="黑体"/>
          <w:b/>
          <w:color w:val="000000" w:themeColor="text1"/>
          <w:kern w:val="0"/>
          <w:sz w:val="28"/>
          <w:szCs w:val="28"/>
          <w14:textFill>
            <w14:solidFill>
              <w14:schemeClr w14:val="tx1"/>
            </w14:solidFill>
          </w14:textFill>
        </w:rPr>
        <w:t>预测与</w:t>
      </w:r>
      <w:r>
        <w:rPr>
          <w:rFonts w:ascii="Times New Roman" w:hAnsi="Times New Roman" w:eastAsia="黑体"/>
          <w:b/>
          <w:color w:val="000000" w:themeColor="text1"/>
          <w:kern w:val="0"/>
          <w:sz w:val="28"/>
          <w:szCs w:val="28"/>
          <w14:textFill>
            <w14:solidFill>
              <w14:schemeClr w14:val="tx1"/>
            </w14:solidFill>
          </w14:textFill>
        </w:rPr>
        <w:t>评价</w:t>
      </w:r>
      <w:bookmarkEnd w:id="384"/>
      <w:bookmarkEnd w:id="385"/>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4"/>
          <w:szCs w:val="24"/>
          <w14:textFill>
            <w14:solidFill>
              <w14:schemeClr w14:val="tx1"/>
            </w14:solidFill>
          </w14:textFill>
        </w:rPr>
      </w:pPr>
      <w:bookmarkStart w:id="387" w:name="_Toc17729"/>
      <w:bookmarkStart w:id="388" w:name="_Toc3065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.2.1.1</w:t>
      </w:r>
      <w:r>
        <w:rPr>
          <w:rFonts w:hint="eastAsia" w:ascii="Times New Roman" w:hAnsi="Times New Roman" w:eastAsia="黑体"/>
          <w:b/>
          <w:color w:val="000000" w:themeColor="text1"/>
          <w:sz w:val="24"/>
          <w:szCs w:val="24"/>
          <w14:textFill>
            <w14:solidFill>
              <w14:schemeClr w14:val="tx1"/>
            </w14:solidFill>
          </w14:textFill>
        </w:rPr>
        <w:t>气象资料来源及有效性</w:t>
      </w:r>
      <w:bookmarkEnd w:id="387"/>
      <w:bookmarkEnd w:id="388"/>
    </w:p>
    <w:bookmarkEnd w:id="386"/>
    <w:p>
      <w:pPr>
        <w:pStyle w:val="380"/>
        <w:numPr>
          <w:ilvl w:val="0"/>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0"/>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1"/>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1"/>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本次评价所采用的宜都市2019年全年地面气象资料，来自宜都市气象站的观测资料。宜都气象台位于宜都市陆城街道办事处，与项目厂址之间无大的天然屏障，因此气象资料对拟建厂址具有代表性。</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4"/>
          <w:szCs w:val="24"/>
          <w14:textFill>
            <w14:solidFill>
              <w14:schemeClr w14:val="tx1"/>
            </w14:solidFill>
          </w14:textFill>
        </w:rPr>
      </w:pPr>
      <w:bookmarkStart w:id="389" w:name="_Toc20378"/>
      <w:bookmarkStart w:id="390" w:name="_Toc24145"/>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14:textFill>
            <w14:solidFill>
              <w14:schemeClr w14:val="tx1"/>
            </w14:solidFill>
          </w14:textFill>
        </w:rPr>
        <w:t>2主要气候特征</w:t>
      </w:r>
      <w:bookmarkEnd w:id="389"/>
      <w:bookmarkEnd w:id="390"/>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宜都市气候类型属亚热带季风气候，其特点是：气候温和、四季分明、雨热同季、季风气候明显。根据宜都气象站的资料统计，详述如下：</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1</w:t>
      </w:r>
      <w:r>
        <w:rPr>
          <w:rFonts w:hint="eastAsia"/>
          <w:snapToGrid w:val="0"/>
          <w:color w:val="000000" w:themeColor="text1"/>
          <w14:textFill>
            <w14:solidFill>
              <w14:schemeClr w14:val="tx1"/>
            </w14:solidFill>
          </w14:textFill>
        </w:rPr>
        <w:t xml:space="preserve">）气压：历年平均气压 </w:t>
      </w:r>
      <w:r>
        <w:rPr>
          <w:snapToGrid w:val="0"/>
          <w:color w:val="000000" w:themeColor="text1"/>
          <w14:textFill>
            <w14:solidFill>
              <w14:schemeClr w14:val="tx1"/>
            </w14:solidFill>
          </w14:textFill>
        </w:rPr>
        <w:t>1008.00 hPa</w:t>
      </w:r>
      <w:r>
        <w:rPr>
          <w:rFonts w:hint="eastAsia"/>
          <w:snapToGrid w:val="0"/>
          <w:color w:val="000000" w:themeColor="text1"/>
          <w14:textFill>
            <w14:solidFill>
              <w14:schemeClr w14:val="tx1"/>
            </w14:solidFill>
          </w14:textFill>
        </w:rPr>
        <w:t>。</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2</w:t>
      </w:r>
      <w:r>
        <w:rPr>
          <w:rFonts w:hint="eastAsia"/>
          <w:snapToGrid w:val="0"/>
          <w:color w:val="000000" w:themeColor="text1"/>
          <w14:textFill>
            <w14:solidFill>
              <w14:schemeClr w14:val="tx1"/>
            </w14:solidFill>
          </w14:textFill>
        </w:rPr>
        <w:t>）气温：历年平均气温</w:t>
      </w:r>
      <w:r>
        <w:rPr>
          <w:snapToGrid w:val="0"/>
          <w:color w:val="000000" w:themeColor="text1"/>
          <w14:textFill>
            <w14:solidFill>
              <w14:schemeClr w14:val="tx1"/>
            </w14:solidFill>
          </w14:textFill>
        </w:rPr>
        <w:t>16.7</w:t>
      </w:r>
      <w:r>
        <w:rPr>
          <w:rFonts w:hint="eastAsia"/>
          <w:snapToGrid w:val="0"/>
          <w:color w:val="000000" w:themeColor="text1"/>
          <w14:textFill>
            <w14:solidFill>
              <w14:schemeClr w14:val="tx1"/>
            </w14:solidFill>
          </w14:textFill>
        </w:rPr>
        <w:t>℃，历年极端最高气温</w:t>
      </w:r>
      <w:r>
        <w:rPr>
          <w:snapToGrid w:val="0"/>
          <w:color w:val="000000" w:themeColor="text1"/>
          <w14:textFill>
            <w14:solidFill>
              <w14:schemeClr w14:val="tx1"/>
            </w14:solidFill>
          </w14:textFill>
        </w:rPr>
        <w:t>40.8</w:t>
      </w: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(1966</w:t>
      </w:r>
      <w:r>
        <w:rPr>
          <w:rFonts w:hint="eastAsia"/>
          <w:snapToGrid w:val="0"/>
          <w:color w:val="000000" w:themeColor="text1"/>
          <w14:textFill>
            <w14:solidFill>
              <w14:schemeClr w14:val="tx1"/>
            </w14:solidFill>
          </w14:textFill>
        </w:rPr>
        <w:t>年</w:t>
      </w:r>
      <w:r>
        <w:rPr>
          <w:snapToGrid w:val="0"/>
          <w:color w:val="000000" w:themeColor="text1"/>
          <w14:textFill>
            <w14:solidFill>
              <w14:schemeClr w14:val="tx1"/>
            </w14:solidFill>
          </w14:textFill>
        </w:rPr>
        <w:t>8</w:t>
      </w:r>
      <w:r>
        <w:rPr>
          <w:rFonts w:hint="eastAsia"/>
          <w:snapToGrid w:val="0"/>
          <w:color w:val="000000" w:themeColor="text1"/>
          <w14:textFill>
            <w14:solidFill>
              <w14:schemeClr w14:val="tx1"/>
            </w14:solidFill>
          </w14:textFill>
        </w:rPr>
        <w:t>月</w:t>
      </w:r>
      <w:r>
        <w:rPr>
          <w:snapToGrid w:val="0"/>
          <w:color w:val="000000" w:themeColor="text1"/>
          <w14:textFill>
            <w14:solidFill>
              <w14:schemeClr w14:val="tx1"/>
            </w14:solidFill>
          </w14:textFill>
        </w:rPr>
        <w:t>7</w:t>
      </w:r>
      <w:r>
        <w:rPr>
          <w:rFonts w:hint="eastAsia"/>
          <w:snapToGrid w:val="0"/>
          <w:color w:val="000000" w:themeColor="text1"/>
          <w14:textFill>
            <w14:solidFill>
              <w14:schemeClr w14:val="tx1"/>
            </w14:solidFill>
          </w14:textFill>
        </w:rPr>
        <w:t>日</w:t>
      </w:r>
      <w:r>
        <w:rPr>
          <w:snapToGrid w:val="0"/>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 历年极端最低气温</w:t>
      </w:r>
      <w:r>
        <w:rPr>
          <w:snapToGrid w:val="0"/>
          <w:color w:val="000000" w:themeColor="text1"/>
          <w14:textFill>
            <w14:solidFill>
              <w14:schemeClr w14:val="tx1"/>
            </w14:solidFill>
          </w14:textFill>
        </w:rPr>
        <w:t>-13.8</w:t>
      </w: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(1977</w:t>
      </w:r>
      <w:r>
        <w:rPr>
          <w:rFonts w:hint="eastAsia"/>
          <w:snapToGrid w:val="0"/>
          <w:color w:val="000000" w:themeColor="text1"/>
          <w14:textFill>
            <w14:solidFill>
              <w14:schemeClr w14:val="tx1"/>
            </w14:solidFill>
          </w14:textFill>
        </w:rPr>
        <w:t>年</w:t>
      </w:r>
      <w:r>
        <w:rPr>
          <w:snapToGrid w:val="0"/>
          <w:color w:val="000000" w:themeColor="text1"/>
          <w14:textFill>
            <w14:solidFill>
              <w14:schemeClr w14:val="tx1"/>
            </w14:solidFill>
          </w14:textFill>
        </w:rPr>
        <w:t>1</w:t>
      </w:r>
      <w:r>
        <w:rPr>
          <w:rFonts w:hint="eastAsia"/>
          <w:snapToGrid w:val="0"/>
          <w:color w:val="000000" w:themeColor="text1"/>
          <w14:textFill>
            <w14:solidFill>
              <w14:schemeClr w14:val="tx1"/>
            </w14:solidFill>
          </w14:textFill>
        </w:rPr>
        <w:t>月</w:t>
      </w:r>
      <w:r>
        <w:rPr>
          <w:snapToGrid w:val="0"/>
          <w:color w:val="000000" w:themeColor="text1"/>
          <w14:textFill>
            <w14:solidFill>
              <w14:schemeClr w14:val="tx1"/>
            </w14:solidFill>
          </w14:textFill>
        </w:rPr>
        <w:t>30</w:t>
      </w:r>
      <w:r>
        <w:rPr>
          <w:rFonts w:hint="eastAsia"/>
          <w:snapToGrid w:val="0"/>
          <w:color w:val="000000" w:themeColor="text1"/>
          <w14:textFill>
            <w14:solidFill>
              <w14:schemeClr w14:val="tx1"/>
            </w14:solidFill>
          </w14:textFill>
        </w:rPr>
        <w:t>日</w:t>
      </w:r>
      <w:r>
        <w:rPr>
          <w:snapToGrid w:val="0"/>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，历年平均最高气温</w:t>
      </w:r>
      <w:r>
        <w:rPr>
          <w:snapToGrid w:val="0"/>
          <w:color w:val="000000" w:themeColor="text1"/>
          <w14:textFill>
            <w14:solidFill>
              <w14:schemeClr w14:val="tx1"/>
            </w14:solidFill>
          </w14:textFill>
        </w:rPr>
        <w:t>21.2</w:t>
      </w:r>
      <w:r>
        <w:rPr>
          <w:rFonts w:hint="eastAsia"/>
          <w:snapToGrid w:val="0"/>
          <w:color w:val="000000" w:themeColor="text1"/>
          <w14:textFill>
            <w14:solidFill>
              <w14:schemeClr w14:val="tx1"/>
            </w14:solidFill>
          </w14:textFill>
        </w:rPr>
        <w:t>℃，历年平均最低气温</w:t>
      </w:r>
      <w:r>
        <w:rPr>
          <w:snapToGrid w:val="0"/>
          <w:color w:val="000000" w:themeColor="text1"/>
          <w14:textFill>
            <w14:solidFill>
              <w14:schemeClr w14:val="tx1"/>
            </w14:solidFill>
          </w14:textFill>
        </w:rPr>
        <w:t>13.0</w:t>
      </w:r>
      <w:r>
        <w:rPr>
          <w:rFonts w:hint="eastAsia"/>
          <w:snapToGrid w:val="0"/>
          <w:color w:val="000000" w:themeColor="text1"/>
          <w14:textFill>
            <w14:solidFill>
              <w14:schemeClr w14:val="tx1"/>
            </w14:solidFill>
          </w14:textFill>
        </w:rPr>
        <w:t>℃，历年最热月最高气温平均</w:t>
      </w:r>
      <w:r>
        <w:rPr>
          <w:snapToGrid w:val="0"/>
          <w:color w:val="000000" w:themeColor="text1"/>
          <w14:textFill>
            <w14:solidFill>
              <w14:schemeClr w14:val="tx1"/>
            </w14:solidFill>
          </w14:textFill>
        </w:rPr>
        <w:t>32.7</w:t>
      </w:r>
      <w:r>
        <w:rPr>
          <w:rFonts w:hint="eastAsia"/>
          <w:snapToGrid w:val="0"/>
          <w:color w:val="000000" w:themeColor="text1"/>
          <w14:textFill>
            <w14:solidFill>
              <w14:schemeClr w14:val="tx1"/>
            </w14:solidFill>
          </w14:textFill>
        </w:rPr>
        <w:t>℃。</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（3）相对湿度：历年平均相对湿度78%，历年最小相对湿度11%（1986年3月</w:t>
      </w:r>
    </w:p>
    <w:p>
      <w:pPr>
        <w:pStyle w:val="385"/>
        <w:adjustRightInd w:val="0"/>
        <w:snapToGrid w:val="0"/>
        <w:spacing w:line="520" w:lineRule="exact"/>
        <w:ind w:firstLine="0" w:firstLineChars="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4日、1996年2月19日）。</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（4）降水量：历年平均降水量1235.4 mm，历年最大年降水量1869.9 mm（1983</w:t>
      </w:r>
    </w:p>
    <w:p>
      <w:pPr>
        <w:pStyle w:val="385"/>
        <w:adjustRightInd w:val="0"/>
        <w:snapToGrid w:val="0"/>
        <w:spacing w:line="520" w:lineRule="exact"/>
        <w:ind w:firstLine="0" w:firstLineChars="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年），历年最大月降水量545.5 mm（1969年7月）。</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（5）蒸发量：历年平均蒸发量1325.9 mm，历年最大蒸发量1773.7 mm (1959年)。</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（6）日照：历年平均日照时数1657.7h，历年最多年日照时数1969.1h(1978年)， 历年平均日照百分率38%。</w:t>
      </w:r>
    </w:p>
    <w:p>
      <w:pPr>
        <w:pStyle w:val="380"/>
        <w:adjustRightInd w:val="0"/>
        <w:snapToGrid w:val="0"/>
        <w:spacing w:before="48" w:beforeLines="20" w:after="48" w:afterLines="20" w:line="520" w:lineRule="exact"/>
        <w:ind w:firstLine="0" w:firstLineChars="0"/>
        <w:jc w:val="left"/>
        <w:outlineLvl w:val="2"/>
        <w:rPr>
          <w:snapToGrid w:val="0"/>
          <w:color w:val="000000" w:themeColor="text1"/>
          <w14:textFill>
            <w14:solidFill>
              <w14:schemeClr w14:val="tx1"/>
            </w14:solidFill>
          </w14:textFill>
        </w:rPr>
      </w:pPr>
      <w:bookmarkStart w:id="391" w:name="_Toc3489"/>
      <w:bookmarkStart w:id="392" w:name="_Toc31472"/>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14:textFill>
            <w14:solidFill>
              <w14:schemeClr w14:val="tx1"/>
            </w14:solidFill>
          </w14:textFill>
        </w:rPr>
        <w:t>3气象特征分析</w:t>
      </w:r>
      <w:bookmarkEnd w:id="391"/>
      <w:bookmarkEnd w:id="392"/>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根据宜都市气象站 2019 年的气象数据对当地的温度、风速、风向风频进行统计。</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（1）温度</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当地年平均气温月变化情况见表5.2-1，年平均气温月变化曲线见图5.2-1。从年平均气温月变化资料中可以看出宜都市2019年年均气温为17.28ºC，另外8月份平均气温最高（27.36ºC），1月份气温平均最低（1.67ºC）。</w:t>
      </w:r>
    </w:p>
    <w:p>
      <w:pPr>
        <w:pStyle w:val="385"/>
        <w:adjustRightInd w:val="0"/>
        <w:snapToGrid w:val="0"/>
        <w:spacing w:line="520" w:lineRule="exact"/>
        <w:ind w:firstLine="480"/>
        <w:rPr>
          <w:snapToGrid w:val="0"/>
          <w:color w:val="000000" w:themeColor="text1"/>
          <w14:textFill>
            <w14:solidFill>
              <w14:schemeClr w14:val="tx1"/>
            </w14:solidFill>
          </w14:textFill>
        </w:rPr>
        <w:sectPr>
          <w:pgSz w:w="11910" w:h="16840"/>
          <w:pgMar w:top="1380" w:right="1120" w:bottom="1440" w:left="1280" w:header="1060" w:footer="1246" w:gutter="0"/>
          <w:pgBorders>
            <w:top w:val="none" w:sz="0" w:space="0"/>
            <w:left w:val="none" w:sz="0" w:space="0"/>
            <w:bottom w:val="none" w:sz="0" w:space="0"/>
            <w:right w:val="none" w:sz="0" w:space="0"/>
          </w:pgBorders>
          <w:cols w:space="720" w:num="1"/>
        </w:sectPr>
      </w:pPr>
    </w:p>
    <w:p>
      <w:pPr>
        <w:pStyle w:val="2"/>
        <w:tabs>
          <w:tab w:val="left" w:pos="1228"/>
        </w:tabs>
        <w:spacing w:before="1" w:after="37"/>
        <w:ind w:left="9"/>
        <w:jc w:val="center"/>
        <w:rPr>
          <w:rFonts w:ascii="Times New Roman" w:hAnsi="Times New Roman" w:eastAsia="新宋体" w:cs="Times New Roman"/>
          <w:b/>
          <w:bCs/>
          <w:color w:val="000000" w:themeColor="text1"/>
          <w:sz w:val="24"/>
          <w:szCs w:val="24"/>
          <w14:textFill>
            <w14:solidFill>
              <w14:schemeClr w14:val="tx1"/>
            </w14:solidFill>
          </w14:textFill>
        </w:rPr>
      </w:pPr>
      <w:r>
        <w:rPr>
          <w:rFonts w:ascii="Times New Roman" w:hAnsi="Times New Roman" w:eastAsia="新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ascii="Times New Roman" w:hAnsi="Times New Roman" w:eastAsia="Times New Roman"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ascii="Times New Roman" w:hAnsi="Times New Roman" w:eastAsia="Times New Roman"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b/>
          <w:bCs/>
          <w:color w:val="000000" w:themeColor="text1"/>
          <w:sz w:val="24"/>
          <w:szCs w:val="24"/>
          <w14:textFill>
            <w14:solidFill>
              <w14:schemeClr w14:val="tx1"/>
            </w14:solidFill>
          </w14:textFill>
        </w:rPr>
        <w:t xml:space="preserve"> </w:t>
      </w:r>
      <w:r>
        <w:rPr>
          <w:rFonts w:ascii="Times New Roman" w:hAnsi="Times New Roman" w:eastAsia="新宋体" w:cs="Times New Roman"/>
          <w:b/>
          <w:bCs/>
          <w:color w:val="000000" w:themeColor="text1"/>
          <w:sz w:val="24"/>
          <w:szCs w:val="24"/>
          <w14:textFill>
            <w14:solidFill>
              <w14:schemeClr w14:val="tx1"/>
            </w14:solidFill>
          </w14:textFill>
        </w:rPr>
        <w:t>年平均温度的月变化</w:t>
      </w:r>
    </w:p>
    <w:tbl>
      <w:tblPr>
        <w:tblStyle w:val="87"/>
        <w:tblW w:w="9036"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0"/>
        <w:gridCol w:w="527"/>
        <w:gridCol w:w="636"/>
        <w:gridCol w:w="670"/>
        <w:gridCol w:w="670"/>
        <w:gridCol w:w="670"/>
        <w:gridCol w:w="671"/>
        <w:gridCol w:w="671"/>
        <w:gridCol w:w="671"/>
        <w:gridCol w:w="569"/>
        <w:gridCol w:w="671"/>
        <w:gridCol w:w="616"/>
        <w:gridCol w:w="6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trPr>
        <w:tc>
          <w:tcPr>
            <w:tcW w:w="1370" w:type="dxa"/>
            <w:tcBorders>
              <w:top w:val="single" w:color="000000" w:sz="12" w:space="0"/>
              <w:left w:val="single" w:color="000000" w:sz="12" w:space="0"/>
            </w:tcBorders>
          </w:tcPr>
          <w:p>
            <w:pPr>
              <w:pStyle w:val="383"/>
              <w:spacing w:before="55"/>
              <w:ind w:left="176" w:right="16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月份</w:t>
            </w:r>
          </w:p>
        </w:tc>
        <w:tc>
          <w:tcPr>
            <w:tcW w:w="527" w:type="dxa"/>
            <w:tcBorders>
              <w:top w:val="single" w:color="000000" w:sz="12" w:space="0"/>
            </w:tcBorders>
          </w:tcPr>
          <w:p>
            <w:pPr>
              <w:pStyle w:val="383"/>
              <w:spacing w:before="55"/>
              <w:ind w:left="88" w:right="82"/>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1月</w:t>
            </w:r>
          </w:p>
        </w:tc>
        <w:tc>
          <w:tcPr>
            <w:tcW w:w="636" w:type="dxa"/>
            <w:tcBorders>
              <w:top w:val="single" w:color="000000" w:sz="12" w:space="0"/>
            </w:tcBorders>
          </w:tcPr>
          <w:p>
            <w:pPr>
              <w:pStyle w:val="383"/>
              <w:spacing w:before="55"/>
              <w:ind w:left="143" w:right="13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2月</w:t>
            </w:r>
          </w:p>
        </w:tc>
        <w:tc>
          <w:tcPr>
            <w:tcW w:w="670" w:type="dxa"/>
            <w:tcBorders>
              <w:top w:val="single" w:color="000000" w:sz="12" w:space="0"/>
            </w:tcBorders>
          </w:tcPr>
          <w:p>
            <w:pPr>
              <w:pStyle w:val="383"/>
              <w:spacing w:before="55"/>
              <w:ind w:left="113" w:right="10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3月</w:t>
            </w:r>
          </w:p>
        </w:tc>
        <w:tc>
          <w:tcPr>
            <w:tcW w:w="670" w:type="dxa"/>
            <w:tcBorders>
              <w:top w:val="single" w:color="000000" w:sz="12" w:space="0"/>
            </w:tcBorders>
          </w:tcPr>
          <w:p>
            <w:pPr>
              <w:pStyle w:val="383"/>
              <w:spacing w:before="55"/>
              <w:ind w:left="115" w:right="10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4月</w:t>
            </w:r>
          </w:p>
        </w:tc>
        <w:tc>
          <w:tcPr>
            <w:tcW w:w="670" w:type="dxa"/>
            <w:tcBorders>
              <w:top w:val="single" w:color="000000" w:sz="12" w:space="0"/>
            </w:tcBorders>
          </w:tcPr>
          <w:p>
            <w:pPr>
              <w:pStyle w:val="383"/>
              <w:spacing w:before="55"/>
              <w:ind w:left="114" w:right="10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5月</w:t>
            </w:r>
          </w:p>
        </w:tc>
        <w:tc>
          <w:tcPr>
            <w:tcW w:w="671" w:type="dxa"/>
            <w:tcBorders>
              <w:top w:val="single" w:color="000000" w:sz="12" w:space="0"/>
            </w:tcBorders>
          </w:tcPr>
          <w:p>
            <w:pPr>
              <w:pStyle w:val="383"/>
              <w:spacing w:before="55"/>
              <w:ind w:left="17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6月</w:t>
            </w:r>
          </w:p>
        </w:tc>
        <w:tc>
          <w:tcPr>
            <w:tcW w:w="671" w:type="dxa"/>
            <w:tcBorders>
              <w:top w:val="single" w:color="000000" w:sz="12" w:space="0"/>
            </w:tcBorders>
          </w:tcPr>
          <w:p>
            <w:pPr>
              <w:pStyle w:val="383"/>
              <w:spacing w:before="55"/>
              <w:ind w:left="180"/>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7月</w:t>
            </w:r>
          </w:p>
        </w:tc>
        <w:tc>
          <w:tcPr>
            <w:tcW w:w="671" w:type="dxa"/>
            <w:tcBorders>
              <w:top w:val="single" w:color="000000" w:sz="12" w:space="0"/>
            </w:tcBorders>
          </w:tcPr>
          <w:p>
            <w:pPr>
              <w:pStyle w:val="383"/>
              <w:spacing w:before="55"/>
              <w:ind w:left="178"/>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8 月</w:t>
            </w:r>
          </w:p>
        </w:tc>
        <w:tc>
          <w:tcPr>
            <w:tcW w:w="569" w:type="dxa"/>
            <w:tcBorders>
              <w:top w:val="single" w:color="000000" w:sz="12" w:space="0"/>
            </w:tcBorders>
          </w:tcPr>
          <w:p>
            <w:pPr>
              <w:pStyle w:val="383"/>
              <w:spacing w:before="55"/>
              <w:ind w:right="123"/>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hint="eastAsia" w:ascii="Times New Roman" w:cs="Times New Roman" w:hAnsiTheme="minorEastAsia" w:eastAsiaTheme="minorEastAsia"/>
                <w:color w:val="000000" w:themeColor="text1"/>
                <w:sz w:val="18"/>
                <w:szCs w:val="18"/>
                <w14:textFill>
                  <w14:solidFill>
                    <w14:schemeClr w14:val="tx1"/>
                  </w14:solidFill>
                </w14:textFill>
              </w:rPr>
              <w:t xml:space="preserve"> </w:t>
            </w:r>
            <w:r>
              <w:rPr>
                <w:rFonts w:ascii="Times New Roman" w:cs="Times New Roman" w:hAnsiTheme="minorEastAsia" w:eastAsiaTheme="minorEastAsia"/>
                <w:color w:val="000000" w:themeColor="text1"/>
                <w:sz w:val="18"/>
                <w:szCs w:val="18"/>
                <w14:textFill>
                  <w14:solidFill>
                    <w14:schemeClr w14:val="tx1"/>
                  </w14:solidFill>
                </w14:textFill>
              </w:rPr>
              <w:t>9月</w:t>
            </w:r>
          </w:p>
        </w:tc>
        <w:tc>
          <w:tcPr>
            <w:tcW w:w="671" w:type="dxa"/>
            <w:tcBorders>
              <w:top w:val="single" w:color="000000" w:sz="12" w:space="0"/>
            </w:tcBorders>
          </w:tcPr>
          <w:p>
            <w:pPr>
              <w:pStyle w:val="383"/>
              <w:spacing w:before="55"/>
              <w:ind w:left="112" w:right="111"/>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10月</w:t>
            </w:r>
          </w:p>
        </w:tc>
        <w:tc>
          <w:tcPr>
            <w:tcW w:w="616" w:type="dxa"/>
            <w:tcBorders>
              <w:top w:val="single" w:color="000000" w:sz="12" w:space="0"/>
            </w:tcBorders>
          </w:tcPr>
          <w:p>
            <w:pPr>
              <w:pStyle w:val="383"/>
              <w:spacing w:before="55"/>
              <w:ind w:left="85" w:right="82"/>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11月</w:t>
            </w:r>
          </w:p>
        </w:tc>
        <w:tc>
          <w:tcPr>
            <w:tcW w:w="624" w:type="dxa"/>
            <w:tcBorders>
              <w:top w:val="single" w:color="000000" w:sz="12" w:space="0"/>
              <w:right w:val="single" w:color="000000" w:sz="12" w:space="0"/>
            </w:tcBorders>
          </w:tcPr>
          <w:p>
            <w:pPr>
              <w:pStyle w:val="383"/>
              <w:spacing w:before="55"/>
              <w:ind w:left="91" w:right="91"/>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12月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370" w:type="dxa"/>
            <w:tcBorders>
              <w:left w:val="single" w:color="000000" w:sz="12" w:space="0"/>
              <w:bottom w:val="single" w:color="000000" w:sz="12" w:space="0"/>
            </w:tcBorders>
          </w:tcPr>
          <w:p>
            <w:pPr>
              <w:pStyle w:val="383"/>
              <w:spacing w:before="55"/>
              <w:ind w:left="176" w:right="16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温度(℃)</w:t>
            </w:r>
          </w:p>
        </w:tc>
        <w:tc>
          <w:tcPr>
            <w:tcW w:w="527" w:type="dxa"/>
            <w:tcBorders>
              <w:bottom w:val="single" w:color="000000" w:sz="12" w:space="0"/>
            </w:tcBorders>
          </w:tcPr>
          <w:p>
            <w:pPr>
              <w:pStyle w:val="383"/>
              <w:spacing w:before="65"/>
              <w:ind w:left="88" w:right="81"/>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1.67</w:t>
            </w:r>
          </w:p>
        </w:tc>
        <w:tc>
          <w:tcPr>
            <w:tcW w:w="636" w:type="dxa"/>
            <w:tcBorders>
              <w:bottom w:val="single" w:color="000000" w:sz="12" w:space="0"/>
            </w:tcBorders>
          </w:tcPr>
          <w:p>
            <w:pPr>
              <w:pStyle w:val="383"/>
              <w:spacing w:before="65"/>
              <w:ind w:left="142" w:right="13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5.2</w:t>
            </w:r>
          </w:p>
        </w:tc>
        <w:tc>
          <w:tcPr>
            <w:tcW w:w="670" w:type="dxa"/>
            <w:tcBorders>
              <w:bottom w:val="single" w:color="000000" w:sz="12" w:space="0"/>
            </w:tcBorders>
          </w:tcPr>
          <w:p>
            <w:pPr>
              <w:pStyle w:val="383"/>
              <w:spacing w:before="65"/>
              <w:ind w:left="115" w:right="10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13.71</w:t>
            </w:r>
          </w:p>
        </w:tc>
        <w:tc>
          <w:tcPr>
            <w:tcW w:w="670" w:type="dxa"/>
            <w:tcBorders>
              <w:bottom w:val="single" w:color="000000" w:sz="12" w:space="0"/>
            </w:tcBorders>
          </w:tcPr>
          <w:p>
            <w:pPr>
              <w:pStyle w:val="383"/>
              <w:spacing w:before="65"/>
              <w:ind w:left="115" w:right="108"/>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17.82</w:t>
            </w:r>
          </w:p>
        </w:tc>
        <w:tc>
          <w:tcPr>
            <w:tcW w:w="670" w:type="dxa"/>
            <w:tcBorders>
              <w:bottom w:val="single" w:color="000000" w:sz="12" w:space="0"/>
            </w:tcBorders>
          </w:tcPr>
          <w:p>
            <w:pPr>
              <w:pStyle w:val="383"/>
              <w:spacing w:before="65"/>
              <w:ind w:left="115" w:right="109"/>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24.06</w:t>
            </w:r>
          </w:p>
        </w:tc>
        <w:tc>
          <w:tcPr>
            <w:tcW w:w="671" w:type="dxa"/>
            <w:tcBorders>
              <w:bottom w:val="single" w:color="000000" w:sz="12" w:space="0"/>
            </w:tcBorders>
          </w:tcPr>
          <w:p>
            <w:pPr>
              <w:pStyle w:val="383"/>
              <w:spacing w:before="65"/>
              <w:ind w:left="134"/>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25.88</w:t>
            </w:r>
          </w:p>
        </w:tc>
        <w:tc>
          <w:tcPr>
            <w:tcW w:w="671" w:type="dxa"/>
            <w:tcBorders>
              <w:bottom w:val="single" w:color="000000" w:sz="12" w:space="0"/>
            </w:tcBorders>
          </w:tcPr>
          <w:p>
            <w:pPr>
              <w:pStyle w:val="383"/>
              <w:spacing w:before="65"/>
              <w:ind w:left="134"/>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27.26</w:t>
            </w:r>
          </w:p>
        </w:tc>
        <w:tc>
          <w:tcPr>
            <w:tcW w:w="671" w:type="dxa"/>
            <w:tcBorders>
              <w:bottom w:val="single" w:color="000000" w:sz="12" w:space="0"/>
            </w:tcBorders>
          </w:tcPr>
          <w:p>
            <w:pPr>
              <w:pStyle w:val="383"/>
              <w:spacing w:before="65"/>
              <w:ind w:left="135"/>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27.36</w:t>
            </w:r>
          </w:p>
        </w:tc>
        <w:tc>
          <w:tcPr>
            <w:tcW w:w="569" w:type="dxa"/>
            <w:tcBorders>
              <w:bottom w:val="single" w:color="000000" w:sz="12" w:space="0"/>
            </w:tcBorders>
          </w:tcPr>
          <w:p>
            <w:pPr>
              <w:pStyle w:val="383"/>
              <w:spacing w:before="65"/>
              <w:ind w:right="122"/>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hint="eastAsia" w:ascii="Times New Roman" w:cs="Times New Roman" w:hAnsiTheme="minorEastAsia" w:eastAsiaTheme="minorEastAsia"/>
                <w:color w:val="000000" w:themeColor="text1"/>
                <w:sz w:val="18"/>
                <w:szCs w:val="18"/>
                <w14:textFill>
                  <w14:solidFill>
                    <w14:schemeClr w14:val="tx1"/>
                  </w14:solidFill>
                </w14:textFill>
              </w:rPr>
              <w:t xml:space="preserve"> </w:t>
            </w:r>
            <w:r>
              <w:rPr>
                <w:rFonts w:ascii="Times New Roman" w:cs="Times New Roman" w:hAnsiTheme="minorEastAsia" w:eastAsiaTheme="minorEastAsia"/>
                <w:color w:val="000000" w:themeColor="text1"/>
                <w:sz w:val="18"/>
                <w:szCs w:val="18"/>
                <w14:textFill>
                  <w14:solidFill>
                    <w14:schemeClr w14:val="tx1"/>
                  </w14:solidFill>
                </w14:textFill>
              </w:rPr>
              <w:t>23.9</w:t>
            </w:r>
          </w:p>
        </w:tc>
        <w:tc>
          <w:tcPr>
            <w:tcW w:w="671" w:type="dxa"/>
            <w:tcBorders>
              <w:bottom w:val="single" w:color="000000" w:sz="12" w:space="0"/>
            </w:tcBorders>
          </w:tcPr>
          <w:p>
            <w:pPr>
              <w:pStyle w:val="383"/>
              <w:spacing w:before="65"/>
              <w:ind w:left="113" w:right="110"/>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18.93</w:t>
            </w:r>
          </w:p>
        </w:tc>
        <w:tc>
          <w:tcPr>
            <w:tcW w:w="616" w:type="dxa"/>
            <w:tcBorders>
              <w:bottom w:val="single" w:color="000000" w:sz="12" w:space="0"/>
            </w:tcBorders>
          </w:tcPr>
          <w:p>
            <w:pPr>
              <w:pStyle w:val="383"/>
              <w:spacing w:before="65"/>
              <w:ind w:left="87" w:right="81"/>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13.22</w:t>
            </w:r>
          </w:p>
        </w:tc>
        <w:tc>
          <w:tcPr>
            <w:tcW w:w="624" w:type="dxa"/>
            <w:tcBorders>
              <w:bottom w:val="single" w:color="000000" w:sz="12" w:space="0"/>
              <w:right w:val="single" w:color="000000" w:sz="12" w:space="0"/>
            </w:tcBorders>
          </w:tcPr>
          <w:p>
            <w:pPr>
              <w:pStyle w:val="383"/>
              <w:spacing w:before="65"/>
              <w:ind w:left="91" w:right="90"/>
              <w:jc w:val="center"/>
              <w:rPr>
                <w:rFonts w:ascii="Times New Roman" w:cs="Times New Roman" w:hAnsiTheme="minorEastAsia" w:eastAsiaTheme="minorEastAsia"/>
                <w:color w:val="000000" w:themeColor="text1"/>
                <w:sz w:val="18"/>
                <w:szCs w:val="18"/>
                <w14:textFill>
                  <w14:solidFill>
                    <w14:schemeClr w14:val="tx1"/>
                  </w14:solidFill>
                </w14:textFill>
              </w:rPr>
            </w:pPr>
            <w:r>
              <w:rPr>
                <w:rFonts w:ascii="Times New Roman" w:cs="Times New Roman" w:hAnsiTheme="minorEastAsia" w:eastAsiaTheme="minorEastAsia"/>
                <w:color w:val="000000" w:themeColor="text1"/>
                <w:sz w:val="18"/>
                <w:szCs w:val="18"/>
                <w14:textFill>
                  <w14:solidFill>
                    <w14:schemeClr w14:val="tx1"/>
                  </w14:solidFill>
                </w14:textFill>
              </w:rPr>
              <w:t>7.98</w:t>
            </w:r>
          </w:p>
        </w:tc>
      </w:tr>
    </w:tbl>
    <w:p>
      <w:pPr>
        <w:pStyle w:val="2"/>
        <w:spacing w:before="9"/>
        <w:rPr>
          <w:rFonts w:ascii="新宋体" w:eastAsia="新宋体"/>
          <w:b/>
          <w:color w:val="000000" w:themeColor="text1"/>
          <w:sz w:val="24"/>
          <w:szCs w:val="24"/>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2816" behindDoc="0" locked="0" layoutInCell="1" allowOverlap="1">
            <wp:simplePos x="0" y="0"/>
            <wp:positionH relativeFrom="page">
              <wp:posOffset>1527175</wp:posOffset>
            </wp:positionH>
            <wp:positionV relativeFrom="paragraph">
              <wp:posOffset>55880</wp:posOffset>
            </wp:positionV>
            <wp:extent cx="4436110" cy="1394460"/>
            <wp:effectExtent l="0" t="0" r="2540" b="15240"/>
            <wp:wrapTopAndBottom/>
            <wp:docPr id="1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a:picLocks noChangeAspect="1"/>
                    </pic:cNvPicPr>
                  </pic:nvPicPr>
                  <pic:blipFill>
                    <a:blip r:embed="rId22" cstate="print"/>
                    <a:stretch>
                      <a:fillRect/>
                    </a:stretch>
                  </pic:blipFill>
                  <pic:spPr>
                    <a:xfrm>
                      <a:off x="0" y="0"/>
                      <a:ext cx="4436110" cy="1394460"/>
                    </a:xfrm>
                    <a:prstGeom prst="rect">
                      <a:avLst/>
                    </a:prstGeom>
                  </pic:spPr>
                </pic:pic>
              </a:graphicData>
            </a:graphic>
          </wp:anchor>
        </w:drawing>
      </w:r>
      <w:r>
        <w:rPr>
          <w:rFonts w:hint="eastAsia"/>
          <w:color w:val="000000" w:themeColor="text1"/>
          <w14:textFill>
            <w14:solidFill>
              <w14:schemeClr w14:val="tx1"/>
            </w14:solidFill>
          </w14:textFill>
        </w:rPr>
        <w:t xml:space="preserve">                              </w:t>
      </w:r>
      <w:r>
        <w:rPr>
          <w:rFonts w:hint="eastAsia" w:ascii="新宋体" w:eastAsia="新宋体"/>
          <w:b/>
          <w:color w:val="000000" w:themeColor="text1"/>
          <w:sz w:val="24"/>
          <w:szCs w:val="24"/>
          <w14:textFill>
            <w14:solidFill>
              <w14:schemeClr w14:val="tx1"/>
            </w14:solidFill>
          </w14:textFill>
        </w:rPr>
        <w:t>图</w:t>
      </w:r>
      <w:r>
        <w:rPr>
          <w:rFonts w:hint="eastAsia" w:ascii="Times New Roman" w:eastAsia="宋体"/>
          <w:b/>
          <w:color w:val="000000" w:themeColor="text1"/>
          <w:sz w:val="24"/>
          <w:szCs w:val="24"/>
          <w:lang w:val="en-US" w:eastAsia="zh-CN"/>
          <w14:textFill>
            <w14:solidFill>
              <w14:schemeClr w14:val="tx1"/>
            </w14:solidFill>
          </w14:textFill>
        </w:rPr>
        <w:t>6</w:t>
      </w:r>
      <w:r>
        <w:rPr>
          <w:rFonts w:ascii="Times New Roman" w:eastAsia="Times New Roman"/>
          <w:b/>
          <w:color w:val="000000" w:themeColor="text1"/>
          <w:sz w:val="24"/>
          <w:szCs w:val="24"/>
          <w14:textFill>
            <w14:solidFill>
              <w14:schemeClr w14:val="tx1"/>
            </w14:solidFill>
          </w14:textFill>
        </w:rPr>
        <w:t>.</w:t>
      </w:r>
      <w:r>
        <w:rPr>
          <w:rFonts w:hint="eastAsia" w:ascii="Times New Roman" w:eastAsia="宋体"/>
          <w:b/>
          <w:color w:val="000000" w:themeColor="text1"/>
          <w:sz w:val="24"/>
          <w:szCs w:val="24"/>
          <w14:textFill>
            <w14:solidFill>
              <w14:schemeClr w14:val="tx1"/>
            </w14:solidFill>
          </w14:textFill>
        </w:rPr>
        <w:t>2</w:t>
      </w:r>
      <w:r>
        <w:rPr>
          <w:rFonts w:ascii="Times New Roman" w:eastAsia="Times New Roman"/>
          <w:b/>
          <w:color w:val="000000" w:themeColor="text1"/>
          <w:sz w:val="24"/>
          <w:szCs w:val="24"/>
          <w14:textFill>
            <w14:solidFill>
              <w14:schemeClr w14:val="tx1"/>
            </w14:solidFill>
          </w14:textFill>
        </w:rPr>
        <w:t>-1</w:t>
      </w:r>
      <w:r>
        <w:rPr>
          <w:rFonts w:hint="eastAsia" w:ascii="Times New Roman" w:eastAsia="宋体"/>
          <w:b/>
          <w:color w:val="000000" w:themeColor="text1"/>
          <w:sz w:val="24"/>
          <w:szCs w:val="24"/>
          <w14:textFill>
            <w14:solidFill>
              <w14:schemeClr w14:val="tx1"/>
            </w14:solidFill>
          </w14:textFill>
        </w:rPr>
        <w:t xml:space="preserve"> </w:t>
      </w:r>
      <w:r>
        <w:rPr>
          <w:rFonts w:hint="eastAsia" w:ascii="新宋体" w:eastAsia="新宋体"/>
          <w:b/>
          <w:color w:val="000000" w:themeColor="text1"/>
          <w:sz w:val="24"/>
          <w:szCs w:val="24"/>
          <w14:textFill>
            <w14:solidFill>
              <w14:schemeClr w14:val="tx1"/>
            </w14:solidFill>
          </w14:textFill>
        </w:rPr>
        <w:t>年平均气温月变化曲线</w:t>
      </w:r>
    </w:p>
    <w:p>
      <w:pPr>
        <w:pStyle w:val="385"/>
        <w:numPr>
          <w:ilvl w:val="0"/>
          <w:numId w:val="33"/>
        </w:numPr>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风速</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月平均风速随月份的变化和季小时平均风速的日变化情况分别见表</w:t>
      </w:r>
      <w:r>
        <w:rPr>
          <w:rFonts w:hint="eastAsia"/>
          <w:snapToGrid w:val="0"/>
          <w:color w:val="000000" w:themeColor="text1"/>
          <w:lang w:val="en-US" w:eastAsia="zh-CN"/>
          <w14:textFill>
            <w14:solidFill>
              <w14:schemeClr w14:val="tx1"/>
            </w14:solidFill>
          </w14:textFill>
        </w:rPr>
        <w:t>6</w:t>
      </w:r>
      <w:r>
        <w:rPr>
          <w:rFonts w:hint="eastAsia"/>
          <w:snapToGrid w:val="0"/>
          <w:color w:val="000000" w:themeColor="text1"/>
          <w14:textFill>
            <w14:solidFill>
              <w14:schemeClr w14:val="tx1"/>
            </w14:solidFill>
          </w14:textFill>
        </w:rPr>
        <w:t>.2-2和表</w:t>
      </w:r>
    </w:p>
    <w:p>
      <w:pPr>
        <w:pStyle w:val="385"/>
        <w:adjustRightInd w:val="0"/>
        <w:snapToGrid w:val="0"/>
        <w:spacing w:line="520" w:lineRule="exact"/>
        <w:ind w:firstLine="0" w:firstLineChars="0"/>
        <w:rPr>
          <w:snapToGrid w:val="0"/>
          <w:color w:val="000000" w:themeColor="text1"/>
          <w14:textFill>
            <w14:solidFill>
              <w14:schemeClr w14:val="tx1"/>
            </w14:solidFill>
          </w14:textFill>
        </w:rPr>
      </w:pPr>
      <w:r>
        <w:rPr>
          <w:rFonts w:hint="eastAsia"/>
          <w:snapToGrid w:val="0"/>
          <w:color w:val="000000" w:themeColor="text1"/>
          <w:lang w:val="en-US" w:eastAsia="zh-CN"/>
          <w14:textFill>
            <w14:solidFill>
              <w14:schemeClr w14:val="tx1"/>
            </w14:solidFill>
          </w14:textFill>
        </w:rPr>
        <w:t>6</w:t>
      </w:r>
      <w:r>
        <w:rPr>
          <w:rFonts w:hint="eastAsia"/>
          <w:snapToGrid w:val="0"/>
          <w:color w:val="000000" w:themeColor="text1"/>
          <w14:textFill>
            <w14:solidFill>
              <w14:schemeClr w14:val="tx1"/>
            </w14:solidFill>
          </w14:textFill>
        </w:rPr>
        <w:t>.2-3，月平均风速、各季小时的平均风速变化曲线见图</w:t>
      </w:r>
      <w:r>
        <w:rPr>
          <w:rFonts w:hint="eastAsia"/>
          <w:snapToGrid w:val="0"/>
          <w:color w:val="000000" w:themeColor="text1"/>
          <w:lang w:val="en-US" w:eastAsia="zh-CN"/>
          <w14:textFill>
            <w14:solidFill>
              <w14:schemeClr w14:val="tx1"/>
            </w14:solidFill>
          </w14:textFill>
        </w:rPr>
        <w:t>6</w:t>
      </w:r>
      <w:r>
        <w:rPr>
          <w:rFonts w:hint="eastAsia"/>
          <w:snapToGrid w:val="0"/>
          <w:color w:val="000000" w:themeColor="text1"/>
          <w14:textFill>
            <w14:solidFill>
              <w14:schemeClr w14:val="tx1"/>
            </w14:solidFill>
          </w14:textFill>
        </w:rPr>
        <w:t>.2-2 和图</w:t>
      </w:r>
      <w:r>
        <w:rPr>
          <w:rFonts w:hint="eastAsia"/>
          <w:snapToGrid w:val="0"/>
          <w:color w:val="000000" w:themeColor="text1"/>
          <w:lang w:val="en-US" w:eastAsia="zh-CN"/>
          <w14:textFill>
            <w14:solidFill>
              <w14:schemeClr w14:val="tx1"/>
            </w14:solidFill>
          </w14:textFill>
        </w:rPr>
        <w:t>6</w:t>
      </w:r>
      <w:r>
        <w:rPr>
          <w:rFonts w:hint="eastAsia"/>
          <w:snapToGrid w:val="0"/>
          <w:color w:val="000000" w:themeColor="text1"/>
          <w14:textFill>
            <w14:solidFill>
              <w14:schemeClr w14:val="tx1"/>
            </w14:solidFill>
          </w14:textFill>
        </w:rPr>
        <w:t>.2-3。</w:t>
      </w:r>
    </w:p>
    <w:p>
      <w:pPr>
        <w:pStyle w:val="385"/>
        <w:adjustRightInd w:val="0"/>
        <w:snapToGrid w:val="0"/>
        <w:spacing w:line="520" w:lineRule="exact"/>
        <w:ind w:left="420" w:leftChars="200" w:firstLine="2168" w:firstLineChars="900"/>
        <w:rPr>
          <w:rFonts w:ascii="新宋体" w:eastAsia="新宋体"/>
          <w:b/>
          <w:color w:val="000000" w:themeColor="text1"/>
          <w14:textFill>
            <w14:solidFill>
              <w14:schemeClr w14:val="tx1"/>
            </w14:solidFill>
          </w14:textFill>
        </w:rPr>
      </w:pPr>
      <w:r>
        <w:rPr>
          <w:rFonts w:hint="eastAsia" w:ascii="新宋体" w:eastAsia="新宋体"/>
          <w:b/>
          <w:color w:val="000000" w:themeColor="text1"/>
          <w14:textFill>
            <w14:solidFill>
              <w14:schemeClr w14:val="tx1"/>
            </w14:solidFill>
          </w14:textFill>
        </w:rPr>
        <w:t>表</w:t>
      </w:r>
      <w:r>
        <w:rPr>
          <w:rFonts w:hint="eastAsia" w:eastAsia="楷体" w:cs="Times New Roman"/>
          <w:b/>
          <w:color w:val="000000" w:themeColor="text1"/>
          <w:lang w:val="en-US" w:eastAsia="zh-CN"/>
          <w14:textFill>
            <w14:solidFill>
              <w14:schemeClr w14:val="tx1"/>
            </w14:solidFill>
          </w14:textFill>
        </w:rPr>
        <w:t>6</w:t>
      </w:r>
      <w:r>
        <w:rPr>
          <w:rFonts w:eastAsia="楷体" w:cs="Times New Roman"/>
          <w:b/>
          <w:color w:val="000000" w:themeColor="text1"/>
          <w14:textFill>
            <w14:solidFill>
              <w14:schemeClr w14:val="tx1"/>
            </w14:solidFill>
          </w14:textFill>
        </w:rPr>
        <w:t>.</w:t>
      </w:r>
      <w:r>
        <w:rPr>
          <w:rFonts w:hint="eastAsia" w:eastAsia="楷体" w:cs="Times New Roman"/>
          <w:b/>
          <w:color w:val="000000" w:themeColor="text1"/>
          <w14:textFill>
            <w14:solidFill>
              <w14:schemeClr w14:val="tx1"/>
            </w14:solidFill>
          </w14:textFill>
        </w:rPr>
        <w:t>2</w:t>
      </w:r>
      <w:r>
        <w:rPr>
          <w:rFonts w:eastAsia="楷体" w:cs="Times New Roman"/>
          <w:b/>
          <w:color w:val="000000" w:themeColor="text1"/>
          <w14:textFill>
            <w14:solidFill>
              <w14:schemeClr w14:val="tx1"/>
            </w14:solidFill>
          </w14:textFill>
        </w:rPr>
        <w:t xml:space="preserve">-2 </w:t>
      </w:r>
      <w:r>
        <w:rPr>
          <w:rFonts w:hint="eastAsia" w:ascii="新宋体" w:eastAsia="新宋体"/>
          <w:b/>
          <w:color w:val="000000" w:themeColor="text1"/>
          <w14:textFill>
            <w14:solidFill>
              <w14:schemeClr w14:val="tx1"/>
            </w14:solidFill>
          </w14:textFill>
        </w:rPr>
        <w:t>年平均风速的月变化</w:t>
      </w:r>
    </w:p>
    <w:tbl>
      <w:tblPr>
        <w:tblStyle w:val="87"/>
        <w:tblW w:w="8937"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606"/>
        <w:gridCol w:w="606"/>
        <w:gridCol w:w="606"/>
        <w:gridCol w:w="606"/>
        <w:gridCol w:w="606"/>
        <w:gridCol w:w="606"/>
        <w:gridCol w:w="606"/>
        <w:gridCol w:w="606"/>
        <w:gridCol w:w="606"/>
        <w:gridCol w:w="606"/>
        <w:gridCol w:w="606"/>
        <w:gridCol w:w="606"/>
        <w:gridCol w:w="6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1" w:hRule="atLeast"/>
        </w:trPr>
        <w:tc>
          <w:tcPr>
            <w:tcW w:w="1059" w:type="dxa"/>
            <w:tcBorders>
              <w:top w:val="single" w:color="000000" w:sz="12" w:space="0"/>
              <w:left w:val="single" w:color="000000" w:sz="12" w:space="0"/>
            </w:tcBorders>
          </w:tcPr>
          <w:p>
            <w:pPr>
              <w:pStyle w:val="383"/>
              <w:spacing w:before="34"/>
              <w:ind w:left="88" w:right="84" w:firstLine="180" w:firstLineChars="1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月份</w:t>
            </w:r>
          </w:p>
        </w:tc>
        <w:tc>
          <w:tcPr>
            <w:tcW w:w="606" w:type="dxa"/>
            <w:tcBorders>
              <w:top w:val="single" w:color="000000" w:sz="12" w:space="0"/>
            </w:tcBorders>
          </w:tcPr>
          <w:p>
            <w:pPr>
              <w:pStyle w:val="383"/>
              <w:spacing w:before="55"/>
              <w:ind w:left="151"/>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 月</w:t>
            </w:r>
          </w:p>
        </w:tc>
        <w:tc>
          <w:tcPr>
            <w:tcW w:w="606" w:type="dxa"/>
            <w:tcBorders>
              <w:top w:val="single" w:color="000000" w:sz="12" w:space="0"/>
            </w:tcBorders>
          </w:tcPr>
          <w:p>
            <w:pPr>
              <w:pStyle w:val="383"/>
              <w:spacing w:before="55"/>
              <w:ind w:right="145"/>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2月</w:t>
            </w:r>
          </w:p>
        </w:tc>
        <w:tc>
          <w:tcPr>
            <w:tcW w:w="606" w:type="dxa"/>
            <w:tcBorders>
              <w:top w:val="single" w:color="000000" w:sz="12" w:space="0"/>
            </w:tcBorders>
          </w:tcPr>
          <w:p>
            <w:pPr>
              <w:pStyle w:val="383"/>
              <w:spacing w:before="55"/>
              <w:ind w:left="130" w:right="1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3月</w:t>
            </w:r>
          </w:p>
        </w:tc>
        <w:tc>
          <w:tcPr>
            <w:tcW w:w="606" w:type="dxa"/>
            <w:tcBorders>
              <w:top w:val="single" w:color="000000" w:sz="12" w:space="0"/>
            </w:tcBorders>
          </w:tcPr>
          <w:p>
            <w:pPr>
              <w:pStyle w:val="383"/>
              <w:spacing w:before="55"/>
              <w:ind w:left="150"/>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4月</w:t>
            </w:r>
          </w:p>
        </w:tc>
        <w:tc>
          <w:tcPr>
            <w:tcW w:w="606" w:type="dxa"/>
            <w:tcBorders>
              <w:top w:val="single" w:color="000000" w:sz="12" w:space="0"/>
            </w:tcBorders>
          </w:tcPr>
          <w:p>
            <w:pPr>
              <w:pStyle w:val="383"/>
              <w:spacing w:before="55"/>
              <w:ind w:left="130" w:right="1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5月</w:t>
            </w:r>
          </w:p>
        </w:tc>
        <w:tc>
          <w:tcPr>
            <w:tcW w:w="606" w:type="dxa"/>
            <w:tcBorders>
              <w:top w:val="single" w:color="000000" w:sz="12" w:space="0"/>
            </w:tcBorders>
          </w:tcPr>
          <w:p>
            <w:pPr>
              <w:pStyle w:val="383"/>
              <w:spacing w:before="55"/>
              <w:ind w:left="128" w:right="12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6月</w:t>
            </w:r>
          </w:p>
        </w:tc>
        <w:tc>
          <w:tcPr>
            <w:tcW w:w="606" w:type="dxa"/>
            <w:tcBorders>
              <w:top w:val="single" w:color="000000" w:sz="12" w:space="0"/>
            </w:tcBorders>
          </w:tcPr>
          <w:p>
            <w:pPr>
              <w:pStyle w:val="383"/>
              <w:spacing w:before="55"/>
              <w:ind w:left="130" w:right="1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7月</w:t>
            </w:r>
          </w:p>
        </w:tc>
        <w:tc>
          <w:tcPr>
            <w:tcW w:w="606" w:type="dxa"/>
            <w:tcBorders>
              <w:top w:val="single" w:color="000000" w:sz="12" w:space="0"/>
            </w:tcBorders>
          </w:tcPr>
          <w:p>
            <w:pPr>
              <w:pStyle w:val="383"/>
              <w:spacing w:before="55"/>
              <w:ind w:left="128" w:right="12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8月</w:t>
            </w:r>
          </w:p>
        </w:tc>
        <w:tc>
          <w:tcPr>
            <w:tcW w:w="606" w:type="dxa"/>
            <w:tcBorders>
              <w:top w:val="single" w:color="000000" w:sz="12" w:space="0"/>
            </w:tcBorders>
          </w:tcPr>
          <w:p>
            <w:pPr>
              <w:pStyle w:val="383"/>
              <w:spacing w:before="55"/>
              <w:ind w:left="130" w:right="12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9月</w:t>
            </w:r>
          </w:p>
        </w:tc>
        <w:tc>
          <w:tcPr>
            <w:tcW w:w="606" w:type="dxa"/>
            <w:tcBorders>
              <w:top w:val="single" w:color="000000" w:sz="12" w:space="0"/>
            </w:tcBorders>
          </w:tcPr>
          <w:p>
            <w:pPr>
              <w:pStyle w:val="383"/>
              <w:spacing w:before="55"/>
              <w:ind w:left="107"/>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 月</w:t>
            </w:r>
          </w:p>
        </w:tc>
        <w:tc>
          <w:tcPr>
            <w:tcW w:w="606" w:type="dxa"/>
            <w:tcBorders>
              <w:top w:val="single" w:color="000000" w:sz="12" w:space="0"/>
            </w:tcBorders>
          </w:tcPr>
          <w:p>
            <w:pPr>
              <w:pStyle w:val="383"/>
              <w:spacing w:before="55"/>
              <w:ind w:left="85" w:right="8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11月</w:t>
            </w:r>
          </w:p>
        </w:tc>
        <w:tc>
          <w:tcPr>
            <w:tcW w:w="606" w:type="dxa"/>
            <w:tcBorders>
              <w:top w:val="single" w:color="000000" w:sz="12" w:space="0"/>
            </w:tcBorders>
          </w:tcPr>
          <w:p>
            <w:pPr>
              <w:pStyle w:val="383"/>
              <w:spacing w:before="55"/>
              <w:ind w:left="108"/>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12月</w:t>
            </w:r>
          </w:p>
        </w:tc>
        <w:tc>
          <w:tcPr>
            <w:tcW w:w="606" w:type="dxa"/>
            <w:tcBorders>
              <w:top w:val="single" w:color="000000" w:sz="12" w:space="0"/>
              <w:right w:val="single" w:color="000000" w:sz="12" w:space="0"/>
            </w:tcBorders>
          </w:tcPr>
          <w:p>
            <w:pPr>
              <w:pStyle w:val="383"/>
              <w:spacing w:before="55"/>
              <w:ind w:left="108" w:right="108"/>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年均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059" w:type="dxa"/>
            <w:tcBorders>
              <w:left w:val="single" w:color="000000" w:sz="12" w:space="0"/>
              <w:bottom w:val="single" w:color="000000" w:sz="12" w:space="0"/>
            </w:tcBorders>
          </w:tcPr>
          <w:p>
            <w:pPr>
              <w:pStyle w:val="383"/>
              <w:spacing w:before="33"/>
              <w:ind w:left="90" w:right="8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风速(m/s)</w:t>
            </w:r>
          </w:p>
        </w:tc>
        <w:tc>
          <w:tcPr>
            <w:tcW w:w="606" w:type="dxa"/>
            <w:tcBorders>
              <w:bottom w:val="single" w:color="000000" w:sz="12" w:space="0"/>
            </w:tcBorders>
          </w:tcPr>
          <w:p>
            <w:pPr>
              <w:pStyle w:val="383"/>
              <w:spacing w:before="65"/>
              <w:ind w:left="195"/>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0.7</w:t>
            </w:r>
          </w:p>
        </w:tc>
        <w:tc>
          <w:tcPr>
            <w:tcW w:w="606" w:type="dxa"/>
            <w:tcBorders>
              <w:bottom w:val="single" w:color="000000" w:sz="12" w:space="0"/>
            </w:tcBorders>
          </w:tcPr>
          <w:p>
            <w:pPr>
              <w:pStyle w:val="383"/>
              <w:spacing w:before="65"/>
              <w:ind w:right="144"/>
              <w:jc w:val="righ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0.68</w:t>
            </w:r>
          </w:p>
        </w:tc>
        <w:tc>
          <w:tcPr>
            <w:tcW w:w="606" w:type="dxa"/>
            <w:tcBorders>
              <w:bottom w:val="single" w:color="000000" w:sz="12" w:space="0"/>
            </w:tcBorders>
          </w:tcPr>
          <w:p>
            <w:pPr>
              <w:pStyle w:val="383"/>
              <w:spacing w:before="65"/>
              <w:ind w:left="130" w:right="1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0.75</w:t>
            </w:r>
          </w:p>
        </w:tc>
        <w:tc>
          <w:tcPr>
            <w:tcW w:w="606" w:type="dxa"/>
            <w:tcBorders>
              <w:bottom w:val="single" w:color="000000" w:sz="12" w:space="0"/>
            </w:tcBorders>
          </w:tcPr>
          <w:p>
            <w:pPr>
              <w:pStyle w:val="383"/>
              <w:spacing w:before="65"/>
              <w:ind w:left="196"/>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w:t>
            </w:r>
          </w:p>
        </w:tc>
        <w:tc>
          <w:tcPr>
            <w:tcW w:w="606" w:type="dxa"/>
            <w:tcBorders>
              <w:bottom w:val="single" w:color="000000" w:sz="12" w:space="0"/>
            </w:tcBorders>
          </w:tcPr>
          <w:p>
            <w:pPr>
              <w:pStyle w:val="383"/>
              <w:spacing w:before="65"/>
              <w:ind w:left="130" w:right="1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1.32</w:t>
            </w:r>
          </w:p>
        </w:tc>
        <w:tc>
          <w:tcPr>
            <w:tcW w:w="606" w:type="dxa"/>
            <w:tcBorders>
              <w:bottom w:val="single" w:color="000000" w:sz="12" w:space="0"/>
            </w:tcBorders>
          </w:tcPr>
          <w:p>
            <w:pPr>
              <w:pStyle w:val="383"/>
              <w:spacing w:before="65"/>
              <w:ind w:left="129" w:right="12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1.14</w:t>
            </w:r>
          </w:p>
        </w:tc>
        <w:tc>
          <w:tcPr>
            <w:tcW w:w="606" w:type="dxa"/>
            <w:tcBorders>
              <w:bottom w:val="single" w:color="000000" w:sz="12" w:space="0"/>
            </w:tcBorders>
          </w:tcPr>
          <w:p>
            <w:pPr>
              <w:pStyle w:val="383"/>
              <w:spacing w:before="65"/>
              <w:ind w:left="130" w:right="1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1.13</w:t>
            </w:r>
          </w:p>
        </w:tc>
        <w:tc>
          <w:tcPr>
            <w:tcW w:w="606" w:type="dxa"/>
            <w:tcBorders>
              <w:bottom w:val="single" w:color="000000" w:sz="12" w:space="0"/>
            </w:tcBorders>
          </w:tcPr>
          <w:p>
            <w:pPr>
              <w:pStyle w:val="383"/>
              <w:spacing w:before="65"/>
              <w:ind w:left="129" w:right="12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1.05</w:t>
            </w:r>
          </w:p>
        </w:tc>
        <w:tc>
          <w:tcPr>
            <w:tcW w:w="606" w:type="dxa"/>
            <w:tcBorders>
              <w:bottom w:val="single" w:color="000000" w:sz="12" w:space="0"/>
            </w:tcBorders>
          </w:tcPr>
          <w:p>
            <w:pPr>
              <w:pStyle w:val="383"/>
              <w:spacing w:before="65"/>
              <w:ind w:left="130" w:right="12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0.86</w:t>
            </w:r>
          </w:p>
        </w:tc>
        <w:tc>
          <w:tcPr>
            <w:tcW w:w="606" w:type="dxa"/>
            <w:tcBorders>
              <w:bottom w:val="single" w:color="000000" w:sz="12" w:space="0"/>
            </w:tcBorders>
          </w:tcPr>
          <w:p>
            <w:pPr>
              <w:pStyle w:val="383"/>
              <w:spacing w:before="65"/>
              <w:ind w:left="150"/>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0.66</w:t>
            </w:r>
          </w:p>
        </w:tc>
        <w:tc>
          <w:tcPr>
            <w:tcW w:w="606" w:type="dxa"/>
            <w:tcBorders>
              <w:bottom w:val="single" w:color="000000" w:sz="12" w:space="0"/>
            </w:tcBorders>
          </w:tcPr>
          <w:p>
            <w:pPr>
              <w:pStyle w:val="383"/>
              <w:spacing w:before="65"/>
              <w:ind w:left="85" w:right="8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0.72</w:t>
            </w:r>
          </w:p>
        </w:tc>
        <w:tc>
          <w:tcPr>
            <w:tcW w:w="606" w:type="dxa"/>
            <w:tcBorders>
              <w:bottom w:val="single" w:color="000000" w:sz="12" w:space="0"/>
            </w:tcBorders>
          </w:tcPr>
          <w:p>
            <w:pPr>
              <w:pStyle w:val="383"/>
              <w:spacing w:before="65"/>
              <w:ind w:left="152"/>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0.81</w:t>
            </w:r>
          </w:p>
        </w:tc>
        <w:tc>
          <w:tcPr>
            <w:tcW w:w="606" w:type="dxa"/>
            <w:tcBorders>
              <w:bottom w:val="single" w:color="000000" w:sz="12" w:space="0"/>
              <w:right w:val="single" w:color="000000" w:sz="12" w:space="0"/>
            </w:tcBorders>
          </w:tcPr>
          <w:p>
            <w:pPr>
              <w:pStyle w:val="383"/>
              <w:spacing w:before="65"/>
              <w:ind w:left="108" w:right="105"/>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0.91</w:t>
            </w:r>
          </w:p>
        </w:tc>
      </w:tr>
    </w:tbl>
    <w:p>
      <w:pPr>
        <w:pStyle w:val="385"/>
        <w:adjustRightInd w:val="0"/>
        <w:snapToGrid w:val="0"/>
        <w:spacing w:line="520" w:lineRule="exact"/>
        <w:ind w:firstLine="0" w:firstLineChars="0"/>
        <w:rPr>
          <w:snapToGrid w:val="0"/>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3840" behindDoc="0" locked="0" layoutInCell="1" allowOverlap="1">
            <wp:simplePos x="0" y="0"/>
            <wp:positionH relativeFrom="page">
              <wp:posOffset>1638300</wp:posOffset>
            </wp:positionH>
            <wp:positionV relativeFrom="paragraph">
              <wp:posOffset>212725</wp:posOffset>
            </wp:positionV>
            <wp:extent cx="4260850" cy="1371600"/>
            <wp:effectExtent l="0" t="0" r="635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3" cstate="print"/>
                    <a:stretch>
                      <a:fillRect/>
                    </a:stretch>
                  </pic:blipFill>
                  <pic:spPr>
                    <a:xfrm>
                      <a:off x="0" y="0"/>
                      <a:ext cx="4260850" cy="1371600"/>
                    </a:xfrm>
                    <a:prstGeom prst="rect">
                      <a:avLst/>
                    </a:prstGeom>
                  </pic:spPr>
                </pic:pic>
              </a:graphicData>
            </a:graphic>
          </wp:anchor>
        </w:drawing>
      </w:r>
      <w:r>
        <w:rPr>
          <w:rFonts w:hint="eastAsia"/>
          <w:color w:val="000000" w:themeColor="text1"/>
          <w14:textFill>
            <w14:solidFill>
              <w14:schemeClr w14:val="tx1"/>
            </w14:solidFill>
          </w14:textFill>
        </w:rPr>
        <w:t xml:space="preserve">                           </w:t>
      </w:r>
      <w:r>
        <w:rPr>
          <w:rFonts w:hint="eastAsia" w:ascii="新宋体" w:eastAsia="新宋体"/>
          <w:b/>
          <w:color w:val="000000" w:themeColor="text1"/>
          <w14:textFill>
            <w14:solidFill>
              <w14:schemeClr w14:val="tx1"/>
            </w14:solidFill>
          </w14:textFill>
        </w:rPr>
        <w:t>图</w:t>
      </w:r>
      <w:r>
        <w:rPr>
          <w:rFonts w:hint="eastAsia" w:eastAsia="新宋体"/>
          <w:b/>
          <w:color w:val="000000" w:themeColor="text1"/>
          <w:lang w:val="en-US" w:eastAsia="zh-CN"/>
          <w14:textFill>
            <w14:solidFill>
              <w14:schemeClr w14:val="tx1"/>
            </w14:solidFill>
          </w14:textFill>
        </w:rPr>
        <w:t>6</w:t>
      </w:r>
      <w:r>
        <w:rPr>
          <w:rFonts w:eastAsia="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2</w:t>
      </w:r>
      <w:r>
        <w:rPr>
          <w:rFonts w:eastAsia="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 xml:space="preserve">2 </w:t>
      </w:r>
      <w:r>
        <w:rPr>
          <w:rFonts w:hint="eastAsia" w:ascii="新宋体" w:eastAsia="新宋体"/>
          <w:b/>
          <w:color w:val="000000" w:themeColor="text1"/>
          <w14:textFill>
            <w14:solidFill>
              <w14:schemeClr w14:val="tx1"/>
            </w14:solidFill>
          </w14:textFill>
        </w:rPr>
        <w:t>月平均风速变化曲线</w:t>
      </w:r>
    </w:p>
    <w:p>
      <w:pPr>
        <w:pStyle w:val="385"/>
        <w:adjustRightInd w:val="0"/>
        <w:snapToGrid w:val="0"/>
        <w:spacing w:line="520" w:lineRule="exact"/>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从月平均风速统计资料中可以看出宜都市5月份平均风速最高（1.32m/s），10月份平均风速最低（0.66m/s）。</w:t>
      </w:r>
    </w:p>
    <w:p>
      <w:pPr>
        <w:pStyle w:val="385"/>
        <w:adjustRightInd w:val="0"/>
        <w:snapToGrid w:val="0"/>
        <w:spacing w:line="520" w:lineRule="exact"/>
        <w:ind w:firstLine="2650" w:firstLineChars="11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b/>
          <w:bCs/>
          <w:snapToGrid w:val="0"/>
          <w:color w:val="000000" w:themeColor="text1"/>
          <w14:textFill>
            <w14:solidFill>
              <w14:schemeClr w14:val="tx1"/>
            </w14:solidFill>
          </w14:textFill>
        </w:rPr>
        <w:t>.</w:t>
      </w:r>
      <w:r>
        <w:rPr>
          <w:rFonts w:hint="eastAsia"/>
          <w:b/>
          <w:bCs/>
          <w:snapToGrid w:val="0"/>
          <w:color w:val="000000" w:themeColor="text1"/>
          <w14:textFill>
            <w14:solidFill>
              <w14:schemeClr w14:val="tx1"/>
            </w14:solidFill>
          </w14:textFill>
        </w:rPr>
        <w:t>2</w:t>
      </w:r>
      <w:r>
        <w:rPr>
          <w:b/>
          <w:bCs/>
          <w:snapToGrid w:val="0"/>
          <w:color w:val="000000" w:themeColor="text1"/>
          <w14:textFill>
            <w14:solidFill>
              <w14:schemeClr w14:val="tx1"/>
            </w14:solidFill>
          </w14:textFill>
        </w:rPr>
        <w:t>-3</w:t>
      </w:r>
      <w:r>
        <w:rPr>
          <w:rFonts w:hint="eastAsia"/>
          <w:b/>
          <w:bCs/>
          <w:snapToGrid w:val="0"/>
          <w:color w:val="000000" w:themeColor="text1"/>
          <w14:textFill>
            <w14:solidFill>
              <w14:schemeClr w14:val="tx1"/>
            </w14:solidFill>
          </w14:textFill>
        </w:rPr>
        <w:t xml:space="preserve">  季小时平均风速的日变化</w:t>
      </w:r>
    </w:p>
    <w:tbl>
      <w:tblPr>
        <w:tblStyle w:val="87"/>
        <w:tblW w:w="9009" w:type="dxa"/>
        <w:tblInd w:w="2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2"/>
        <w:gridCol w:w="662"/>
        <w:gridCol w:w="662"/>
        <w:gridCol w:w="662"/>
        <w:gridCol w:w="663"/>
        <w:gridCol w:w="663"/>
        <w:gridCol w:w="663"/>
        <w:gridCol w:w="663"/>
        <w:gridCol w:w="663"/>
        <w:gridCol w:w="663"/>
        <w:gridCol w:w="663"/>
        <w:gridCol w:w="663"/>
        <w:gridCol w:w="6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22" w:type="dxa"/>
            <w:tcBorders>
              <w:top w:val="single" w:color="000000" w:sz="12" w:space="0"/>
              <w:left w:val="single" w:color="000000" w:sz="12" w:space="0"/>
            </w:tcBorders>
          </w:tcPr>
          <w:p>
            <w:pPr>
              <w:pStyle w:val="383"/>
              <w:ind w:left="231"/>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小时(h)</w:t>
            </w:r>
          </w:p>
          <w:p>
            <w:pPr>
              <w:pStyle w:val="383"/>
              <w:spacing w:before="3" w:line="213" w:lineRule="exact"/>
              <w:ind w:left="14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风速(m/s)</w:t>
            </w:r>
          </w:p>
        </w:tc>
        <w:tc>
          <w:tcPr>
            <w:tcW w:w="662" w:type="dxa"/>
            <w:tcBorders>
              <w:top w:val="single" w:color="000000" w:sz="12" w:space="0"/>
            </w:tcBorders>
          </w:tcPr>
          <w:p>
            <w:pPr>
              <w:pStyle w:val="383"/>
              <w:spacing w:before="128"/>
              <w:ind w:left="1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p>
        </w:tc>
        <w:tc>
          <w:tcPr>
            <w:tcW w:w="662" w:type="dxa"/>
            <w:tcBorders>
              <w:top w:val="single" w:color="000000" w:sz="12" w:space="0"/>
            </w:tcBorders>
          </w:tcPr>
          <w:p>
            <w:pPr>
              <w:pStyle w:val="383"/>
              <w:spacing w:before="128"/>
              <w:ind w:lef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w:t>
            </w:r>
          </w:p>
        </w:tc>
        <w:tc>
          <w:tcPr>
            <w:tcW w:w="662" w:type="dxa"/>
            <w:tcBorders>
              <w:top w:val="single" w:color="000000" w:sz="12" w:space="0"/>
            </w:tcBorders>
          </w:tcPr>
          <w:p>
            <w:pPr>
              <w:pStyle w:val="383"/>
              <w:spacing w:before="128"/>
              <w:ind w:right="275"/>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3</w:t>
            </w:r>
          </w:p>
        </w:tc>
        <w:tc>
          <w:tcPr>
            <w:tcW w:w="663" w:type="dxa"/>
            <w:tcBorders>
              <w:top w:val="single" w:color="000000" w:sz="12" w:space="0"/>
            </w:tcBorders>
          </w:tcPr>
          <w:p>
            <w:pPr>
              <w:pStyle w:val="383"/>
              <w:spacing w:before="128"/>
              <w:ind w:lef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w:t>
            </w:r>
          </w:p>
        </w:tc>
        <w:tc>
          <w:tcPr>
            <w:tcW w:w="663" w:type="dxa"/>
            <w:tcBorders>
              <w:top w:val="single" w:color="000000" w:sz="12" w:space="0"/>
            </w:tcBorders>
          </w:tcPr>
          <w:p>
            <w:pPr>
              <w:pStyle w:val="383"/>
              <w:spacing w:before="128"/>
              <w:ind w:left="28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w:t>
            </w:r>
          </w:p>
        </w:tc>
        <w:tc>
          <w:tcPr>
            <w:tcW w:w="663" w:type="dxa"/>
            <w:tcBorders>
              <w:top w:val="single" w:color="000000" w:sz="12" w:space="0"/>
            </w:tcBorders>
          </w:tcPr>
          <w:p>
            <w:pPr>
              <w:pStyle w:val="383"/>
              <w:spacing w:before="128"/>
              <w:ind w:left="1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663" w:type="dxa"/>
            <w:tcBorders>
              <w:top w:val="single" w:color="000000" w:sz="12" w:space="0"/>
            </w:tcBorders>
          </w:tcPr>
          <w:p>
            <w:pPr>
              <w:pStyle w:val="383"/>
              <w:spacing w:before="128"/>
              <w:ind w:left="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w:t>
            </w:r>
          </w:p>
        </w:tc>
        <w:tc>
          <w:tcPr>
            <w:tcW w:w="663" w:type="dxa"/>
            <w:tcBorders>
              <w:top w:val="single" w:color="000000" w:sz="12" w:space="0"/>
            </w:tcBorders>
          </w:tcPr>
          <w:p>
            <w:pPr>
              <w:pStyle w:val="383"/>
              <w:spacing w:before="128"/>
              <w:ind w:lef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w:t>
            </w:r>
          </w:p>
        </w:tc>
        <w:tc>
          <w:tcPr>
            <w:tcW w:w="663" w:type="dxa"/>
            <w:tcBorders>
              <w:top w:val="single" w:color="000000" w:sz="12" w:space="0"/>
            </w:tcBorders>
          </w:tcPr>
          <w:p>
            <w:pPr>
              <w:pStyle w:val="383"/>
              <w:spacing w:before="128"/>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w:t>
            </w:r>
          </w:p>
        </w:tc>
        <w:tc>
          <w:tcPr>
            <w:tcW w:w="663" w:type="dxa"/>
            <w:tcBorders>
              <w:top w:val="single" w:color="000000" w:sz="12" w:space="0"/>
            </w:tcBorders>
          </w:tcPr>
          <w:p>
            <w:pPr>
              <w:pStyle w:val="383"/>
              <w:spacing w:before="128"/>
              <w:ind w:left="24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w:t>
            </w:r>
          </w:p>
        </w:tc>
        <w:tc>
          <w:tcPr>
            <w:tcW w:w="663" w:type="dxa"/>
            <w:tcBorders>
              <w:top w:val="single" w:color="000000" w:sz="12" w:space="0"/>
            </w:tcBorders>
          </w:tcPr>
          <w:p>
            <w:pPr>
              <w:pStyle w:val="383"/>
              <w:spacing w:before="128"/>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697" w:type="dxa"/>
            <w:tcBorders>
              <w:top w:val="single" w:color="000000" w:sz="12" w:space="0"/>
              <w:right w:val="single" w:color="000000" w:sz="12" w:space="0"/>
            </w:tcBorders>
          </w:tcPr>
          <w:p>
            <w:pPr>
              <w:pStyle w:val="383"/>
              <w:spacing w:before="128"/>
              <w:ind w:left="239"/>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2" w:type="dxa"/>
            <w:tcBorders>
              <w:left w:val="single" w:color="000000" w:sz="12" w:space="0"/>
            </w:tcBorders>
          </w:tcPr>
          <w:p>
            <w:pPr>
              <w:pStyle w:val="383"/>
              <w:spacing w:before="54"/>
              <w:ind w:left="316" w:right="3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春季</w:t>
            </w:r>
          </w:p>
        </w:tc>
        <w:tc>
          <w:tcPr>
            <w:tcW w:w="662" w:type="dxa"/>
          </w:tcPr>
          <w:p>
            <w:pPr>
              <w:pStyle w:val="383"/>
              <w:spacing w:before="66"/>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0.74</w:t>
            </w:r>
          </w:p>
        </w:tc>
        <w:tc>
          <w:tcPr>
            <w:tcW w:w="662" w:type="dxa"/>
          </w:tcPr>
          <w:p>
            <w:pPr>
              <w:pStyle w:val="383"/>
              <w:spacing w:before="66"/>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0.74</w:t>
            </w:r>
          </w:p>
        </w:tc>
        <w:tc>
          <w:tcPr>
            <w:tcW w:w="662" w:type="dxa"/>
          </w:tcPr>
          <w:p>
            <w:pPr>
              <w:pStyle w:val="383"/>
              <w:spacing w:before="66"/>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0.71</w:t>
            </w:r>
          </w:p>
        </w:tc>
        <w:tc>
          <w:tcPr>
            <w:tcW w:w="663" w:type="dxa"/>
          </w:tcPr>
          <w:p>
            <w:pPr>
              <w:pStyle w:val="383"/>
              <w:spacing w:before="66"/>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0.75</w:t>
            </w:r>
          </w:p>
        </w:tc>
        <w:tc>
          <w:tcPr>
            <w:tcW w:w="663" w:type="dxa"/>
          </w:tcPr>
          <w:p>
            <w:pPr>
              <w:pStyle w:val="383"/>
              <w:spacing w:before="66"/>
              <w:ind w:left="17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0.64</w:t>
            </w:r>
          </w:p>
        </w:tc>
        <w:tc>
          <w:tcPr>
            <w:tcW w:w="663" w:type="dxa"/>
          </w:tcPr>
          <w:p>
            <w:pPr>
              <w:pStyle w:val="383"/>
              <w:spacing w:before="66"/>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0.63</w:t>
            </w:r>
          </w:p>
        </w:tc>
        <w:tc>
          <w:tcPr>
            <w:tcW w:w="663" w:type="dxa"/>
          </w:tcPr>
          <w:p>
            <w:pPr>
              <w:pStyle w:val="383"/>
              <w:spacing w:before="66"/>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0.70</w:t>
            </w:r>
          </w:p>
        </w:tc>
        <w:tc>
          <w:tcPr>
            <w:tcW w:w="663" w:type="dxa"/>
          </w:tcPr>
          <w:p>
            <w:pPr>
              <w:pStyle w:val="383"/>
              <w:spacing w:before="66"/>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0.83</w:t>
            </w:r>
          </w:p>
        </w:tc>
        <w:tc>
          <w:tcPr>
            <w:tcW w:w="663" w:type="dxa"/>
          </w:tcPr>
          <w:p>
            <w:pPr>
              <w:pStyle w:val="383"/>
              <w:spacing w:before="66"/>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0.86</w:t>
            </w:r>
          </w:p>
        </w:tc>
        <w:tc>
          <w:tcPr>
            <w:tcW w:w="663" w:type="dxa"/>
          </w:tcPr>
          <w:p>
            <w:pPr>
              <w:pStyle w:val="383"/>
              <w:spacing w:before="66"/>
              <w:ind w:left="17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0.95</w:t>
            </w:r>
          </w:p>
        </w:tc>
        <w:tc>
          <w:tcPr>
            <w:tcW w:w="663" w:type="dxa"/>
          </w:tcPr>
          <w:p>
            <w:pPr>
              <w:pStyle w:val="383"/>
              <w:spacing w:before="66"/>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1.19</w:t>
            </w:r>
          </w:p>
        </w:tc>
        <w:tc>
          <w:tcPr>
            <w:tcW w:w="697" w:type="dxa"/>
            <w:tcBorders>
              <w:right w:val="single" w:color="000000" w:sz="12" w:space="0"/>
            </w:tcBorders>
          </w:tcPr>
          <w:p>
            <w:pPr>
              <w:pStyle w:val="383"/>
              <w:spacing w:before="66"/>
              <w:ind w:left="17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2" w:type="dxa"/>
            <w:tcBorders>
              <w:left w:val="single" w:color="000000" w:sz="12" w:space="0"/>
            </w:tcBorders>
          </w:tcPr>
          <w:p>
            <w:pPr>
              <w:pStyle w:val="383"/>
              <w:spacing w:before="54"/>
              <w:ind w:left="316" w:right="3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夏季</w:t>
            </w:r>
          </w:p>
        </w:tc>
        <w:tc>
          <w:tcPr>
            <w:tcW w:w="662" w:type="dxa"/>
          </w:tcPr>
          <w:p>
            <w:pPr>
              <w:pStyle w:val="383"/>
              <w:spacing w:before="64"/>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0.76</w:t>
            </w:r>
          </w:p>
        </w:tc>
        <w:tc>
          <w:tcPr>
            <w:tcW w:w="662" w:type="dxa"/>
          </w:tcPr>
          <w:p>
            <w:pPr>
              <w:pStyle w:val="383"/>
              <w:spacing w:before="64"/>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0.71</w:t>
            </w:r>
          </w:p>
        </w:tc>
        <w:tc>
          <w:tcPr>
            <w:tcW w:w="662"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0.65</w:t>
            </w:r>
          </w:p>
        </w:tc>
        <w:tc>
          <w:tcPr>
            <w:tcW w:w="663" w:type="dxa"/>
          </w:tcPr>
          <w:p>
            <w:pPr>
              <w:pStyle w:val="383"/>
              <w:spacing w:before="64"/>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0.67</w:t>
            </w:r>
          </w:p>
        </w:tc>
        <w:tc>
          <w:tcPr>
            <w:tcW w:w="663" w:type="dxa"/>
          </w:tcPr>
          <w:p>
            <w:pPr>
              <w:pStyle w:val="383"/>
              <w:spacing w:before="64"/>
              <w:ind w:left="17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0.75</w:t>
            </w:r>
          </w:p>
        </w:tc>
        <w:tc>
          <w:tcPr>
            <w:tcW w:w="663" w:type="dxa"/>
          </w:tcPr>
          <w:p>
            <w:pPr>
              <w:pStyle w:val="383"/>
              <w:spacing w:before="64"/>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0.66</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0.74</w:t>
            </w:r>
          </w:p>
        </w:tc>
        <w:tc>
          <w:tcPr>
            <w:tcW w:w="663"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0.83</w:t>
            </w:r>
          </w:p>
        </w:tc>
        <w:tc>
          <w:tcPr>
            <w:tcW w:w="663" w:type="dxa"/>
          </w:tcPr>
          <w:p>
            <w:pPr>
              <w:pStyle w:val="383"/>
              <w:spacing w:before="64"/>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0.85</w:t>
            </w:r>
          </w:p>
        </w:tc>
        <w:tc>
          <w:tcPr>
            <w:tcW w:w="663" w:type="dxa"/>
          </w:tcPr>
          <w:p>
            <w:pPr>
              <w:pStyle w:val="383"/>
              <w:spacing w:before="64"/>
              <w:ind w:left="17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1.03</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1.27</w:t>
            </w:r>
          </w:p>
        </w:tc>
        <w:tc>
          <w:tcPr>
            <w:tcW w:w="697" w:type="dxa"/>
            <w:tcBorders>
              <w:right w:val="single" w:color="000000" w:sz="12" w:space="0"/>
            </w:tcBorders>
          </w:tcPr>
          <w:p>
            <w:pPr>
              <w:pStyle w:val="383"/>
              <w:spacing w:before="64"/>
              <w:ind w:left="17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2" w:type="dxa"/>
            <w:tcBorders>
              <w:left w:val="single" w:color="000000" w:sz="12" w:space="0"/>
            </w:tcBorders>
          </w:tcPr>
          <w:p>
            <w:pPr>
              <w:pStyle w:val="383"/>
              <w:spacing w:before="55"/>
              <w:ind w:left="316" w:right="3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秋季</w:t>
            </w:r>
          </w:p>
        </w:tc>
        <w:tc>
          <w:tcPr>
            <w:tcW w:w="662" w:type="dxa"/>
          </w:tcPr>
          <w:p>
            <w:pPr>
              <w:pStyle w:val="383"/>
              <w:spacing w:before="64"/>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0.49</w:t>
            </w:r>
          </w:p>
        </w:tc>
        <w:tc>
          <w:tcPr>
            <w:tcW w:w="662" w:type="dxa"/>
          </w:tcPr>
          <w:p>
            <w:pPr>
              <w:pStyle w:val="383"/>
              <w:spacing w:before="64"/>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0.50</w:t>
            </w:r>
          </w:p>
        </w:tc>
        <w:tc>
          <w:tcPr>
            <w:tcW w:w="662"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0.49</w:t>
            </w:r>
          </w:p>
        </w:tc>
        <w:tc>
          <w:tcPr>
            <w:tcW w:w="663" w:type="dxa"/>
          </w:tcPr>
          <w:p>
            <w:pPr>
              <w:pStyle w:val="383"/>
              <w:spacing w:before="64"/>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0.46</w:t>
            </w:r>
          </w:p>
        </w:tc>
        <w:tc>
          <w:tcPr>
            <w:tcW w:w="663" w:type="dxa"/>
          </w:tcPr>
          <w:p>
            <w:pPr>
              <w:pStyle w:val="383"/>
              <w:spacing w:before="64"/>
              <w:ind w:left="17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0.41</w:t>
            </w:r>
          </w:p>
        </w:tc>
        <w:tc>
          <w:tcPr>
            <w:tcW w:w="663" w:type="dxa"/>
          </w:tcPr>
          <w:p>
            <w:pPr>
              <w:pStyle w:val="383"/>
              <w:spacing w:before="64"/>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0.40</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0.48</w:t>
            </w:r>
          </w:p>
        </w:tc>
        <w:tc>
          <w:tcPr>
            <w:tcW w:w="663"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0.64</w:t>
            </w:r>
          </w:p>
        </w:tc>
        <w:tc>
          <w:tcPr>
            <w:tcW w:w="663" w:type="dxa"/>
          </w:tcPr>
          <w:p>
            <w:pPr>
              <w:pStyle w:val="383"/>
              <w:spacing w:before="64"/>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0.73</w:t>
            </w:r>
          </w:p>
        </w:tc>
        <w:tc>
          <w:tcPr>
            <w:tcW w:w="663" w:type="dxa"/>
          </w:tcPr>
          <w:p>
            <w:pPr>
              <w:pStyle w:val="383"/>
              <w:spacing w:before="64"/>
              <w:ind w:left="17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0.72</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0.91</w:t>
            </w:r>
          </w:p>
        </w:tc>
        <w:tc>
          <w:tcPr>
            <w:tcW w:w="697" w:type="dxa"/>
            <w:tcBorders>
              <w:right w:val="single" w:color="000000" w:sz="12" w:space="0"/>
            </w:tcBorders>
          </w:tcPr>
          <w:p>
            <w:pPr>
              <w:pStyle w:val="383"/>
              <w:spacing w:before="64"/>
              <w:ind w:left="17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022" w:type="dxa"/>
            <w:tcBorders>
              <w:left w:val="single" w:color="000000" w:sz="12" w:space="0"/>
            </w:tcBorders>
          </w:tcPr>
          <w:p>
            <w:pPr>
              <w:pStyle w:val="383"/>
              <w:spacing w:before="53"/>
              <w:ind w:left="316" w:right="3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冬季</w:t>
            </w:r>
          </w:p>
        </w:tc>
        <w:tc>
          <w:tcPr>
            <w:tcW w:w="662" w:type="dxa"/>
          </w:tcPr>
          <w:p>
            <w:pPr>
              <w:pStyle w:val="383"/>
              <w:spacing w:before="65"/>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0.56</w:t>
            </w:r>
          </w:p>
        </w:tc>
        <w:tc>
          <w:tcPr>
            <w:tcW w:w="662" w:type="dxa"/>
          </w:tcPr>
          <w:p>
            <w:pPr>
              <w:pStyle w:val="383"/>
              <w:spacing w:before="65"/>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0.53</w:t>
            </w:r>
          </w:p>
        </w:tc>
        <w:tc>
          <w:tcPr>
            <w:tcW w:w="662" w:type="dxa"/>
          </w:tcPr>
          <w:p>
            <w:pPr>
              <w:pStyle w:val="383"/>
              <w:spacing w:before="65"/>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0.55</w:t>
            </w:r>
          </w:p>
        </w:tc>
        <w:tc>
          <w:tcPr>
            <w:tcW w:w="663" w:type="dxa"/>
          </w:tcPr>
          <w:p>
            <w:pPr>
              <w:pStyle w:val="383"/>
              <w:spacing w:before="65"/>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0.57</w:t>
            </w:r>
          </w:p>
        </w:tc>
        <w:tc>
          <w:tcPr>
            <w:tcW w:w="663" w:type="dxa"/>
          </w:tcPr>
          <w:p>
            <w:pPr>
              <w:pStyle w:val="383"/>
              <w:spacing w:before="65"/>
              <w:ind w:left="17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0.47</w:t>
            </w:r>
          </w:p>
        </w:tc>
        <w:tc>
          <w:tcPr>
            <w:tcW w:w="663" w:type="dxa"/>
          </w:tcPr>
          <w:p>
            <w:pPr>
              <w:pStyle w:val="383"/>
              <w:spacing w:before="65"/>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0.44</w:t>
            </w:r>
          </w:p>
        </w:tc>
        <w:tc>
          <w:tcPr>
            <w:tcW w:w="663" w:type="dxa"/>
          </w:tcPr>
          <w:p>
            <w:pPr>
              <w:pStyle w:val="383"/>
              <w:spacing w:before="65"/>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0.45</w:t>
            </w:r>
          </w:p>
        </w:tc>
        <w:tc>
          <w:tcPr>
            <w:tcW w:w="663" w:type="dxa"/>
          </w:tcPr>
          <w:p>
            <w:pPr>
              <w:pStyle w:val="383"/>
              <w:spacing w:before="65"/>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0.49</w:t>
            </w:r>
          </w:p>
        </w:tc>
        <w:tc>
          <w:tcPr>
            <w:tcW w:w="663" w:type="dxa"/>
          </w:tcPr>
          <w:p>
            <w:pPr>
              <w:pStyle w:val="383"/>
              <w:spacing w:before="65"/>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0.56</w:t>
            </w:r>
          </w:p>
        </w:tc>
        <w:tc>
          <w:tcPr>
            <w:tcW w:w="663" w:type="dxa"/>
          </w:tcPr>
          <w:p>
            <w:pPr>
              <w:pStyle w:val="383"/>
              <w:spacing w:before="65"/>
              <w:ind w:left="17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0.70</w:t>
            </w:r>
          </w:p>
        </w:tc>
        <w:tc>
          <w:tcPr>
            <w:tcW w:w="663" w:type="dxa"/>
          </w:tcPr>
          <w:p>
            <w:pPr>
              <w:pStyle w:val="383"/>
              <w:spacing w:before="65"/>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0.82</w:t>
            </w:r>
          </w:p>
        </w:tc>
        <w:tc>
          <w:tcPr>
            <w:tcW w:w="697" w:type="dxa"/>
            <w:tcBorders>
              <w:right w:val="single" w:color="000000" w:sz="12" w:space="0"/>
            </w:tcBorders>
          </w:tcPr>
          <w:p>
            <w:pPr>
              <w:pStyle w:val="383"/>
              <w:spacing w:before="65"/>
              <w:ind w:left="17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trPr>
        <w:tc>
          <w:tcPr>
            <w:tcW w:w="1022" w:type="dxa"/>
            <w:tcBorders>
              <w:left w:val="single" w:color="000000" w:sz="12" w:space="0"/>
            </w:tcBorders>
          </w:tcPr>
          <w:p>
            <w:pPr>
              <w:pStyle w:val="383"/>
              <w:ind w:left="231"/>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小时(h)</w:t>
            </w:r>
          </w:p>
          <w:p>
            <w:pPr>
              <w:pStyle w:val="383"/>
              <w:spacing w:before="2" w:line="214" w:lineRule="exact"/>
              <w:ind w:left="14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风速(m/s)</w:t>
            </w:r>
          </w:p>
        </w:tc>
        <w:tc>
          <w:tcPr>
            <w:tcW w:w="662" w:type="dxa"/>
          </w:tcPr>
          <w:p>
            <w:pPr>
              <w:pStyle w:val="383"/>
              <w:spacing w:before="127"/>
              <w:ind w:right="2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w:t>
            </w:r>
          </w:p>
        </w:tc>
        <w:tc>
          <w:tcPr>
            <w:tcW w:w="662" w:type="dxa"/>
          </w:tcPr>
          <w:p>
            <w:pPr>
              <w:pStyle w:val="383"/>
              <w:spacing w:before="127"/>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w:t>
            </w:r>
          </w:p>
        </w:tc>
        <w:tc>
          <w:tcPr>
            <w:tcW w:w="662" w:type="dxa"/>
          </w:tcPr>
          <w:p>
            <w:pPr>
              <w:pStyle w:val="383"/>
              <w:spacing w:before="127"/>
              <w:ind w:right="227"/>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15</w:t>
            </w:r>
          </w:p>
        </w:tc>
        <w:tc>
          <w:tcPr>
            <w:tcW w:w="663" w:type="dxa"/>
          </w:tcPr>
          <w:p>
            <w:pPr>
              <w:pStyle w:val="383"/>
              <w:spacing w:before="127"/>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16</w:t>
            </w:r>
          </w:p>
        </w:tc>
        <w:tc>
          <w:tcPr>
            <w:tcW w:w="663" w:type="dxa"/>
          </w:tcPr>
          <w:p>
            <w:pPr>
              <w:pStyle w:val="383"/>
              <w:spacing w:before="127"/>
              <w:ind w:left="241"/>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w:t>
            </w:r>
          </w:p>
        </w:tc>
        <w:tc>
          <w:tcPr>
            <w:tcW w:w="663" w:type="dxa"/>
          </w:tcPr>
          <w:p>
            <w:pPr>
              <w:pStyle w:val="383"/>
              <w:spacing w:before="127"/>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w:t>
            </w:r>
          </w:p>
        </w:tc>
        <w:tc>
          <w:tcPr>
            <w:tcW w:w="663" w:type="dxa"/>
          </w:tcPr>
          <w:p>
            <w:pPr>
              <w:pStyle w:val="383"/>
              <w:spacing w:before="127"/>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w:t>
            </w:r>
          </w:p>
        </w:tc>
        <w:tc>
          <w:tcPr>
            <w:tcW w:w="663" w:type="dxa"/>
          </w:tcPr>
          <w:p>
            <w:pPr>
              <w:pStyle w:val="383"/>
              <w:spacing w:before="127"/>
              <w:ind w:right="230"/>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20</w:t>
            </w:r>
          </w:p>
        </w:tc>
        <w:tc>
          <w:tcPr>
            <w:tcW w:w="663" w:type="dxa"/>
          </w:tcPr>
          <w:p>
            <w:pPr>
              <w:pStyle w:val="383"/>
              <w:spacing w:before="127"/>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w:t>
            </w:r>
          </w:p>
        </w:tc>
        <w:tc>
          <w:tcPr>
            <w:tcW w:w="663" w:type="dxa"/>
          </w:tcPr>
          <w:p>
            <w:pPr>
              <w:pStyle w:val="383"/>
              <w:spacing w:before="127"/>
              <w:ind w:left="24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w:t>
            </w:r>
          </w:p>
        </w:tc>
        <w:tc>
          <w:tcPr>
            <w:tcW w:w="663" w:type="dxa"/>
          </w:tcPr>
          <w:p>
            <w:pPr>
              <w:pStyle w:val="383"/>
              <w:spacing w:before="127"/>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w:t>
            </w:r>
          </w:p>
        </w:tc>
        <w:tc>
          <w:tcPr>
            <w:tcW w:w="697" w:type="dxa"/>
            <w:tcBorders>
              <w:right w:val="single" w:color="000000" w:sz="12" w:space="0"/>
            </w:tcBorders>
          </w:tcPr>
          <w:p>
            <w:pPr>
              <w:pStyle w:val="383"/>
              <w:spacing w:before="127"/>
              <w:ind w:left="239"/>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022" w:type="dxa"/>
            <w:tcBorders>
              <w:left w:val="single" w:color="000000" w:sz="12" w:space="0"/>
            </w:tcBorders>
          </w:tcPr>
          <w:p>
            <w:pPr>
              <w:pStyle w:val="383"/>
              <w:spacing w:before="54"/>
              <w:ind w:left="316" w:right="3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春季</w:t>
            </w:r>
          </w:p>
        </w:tc>
        <w:tc>
          <w:tcPr>
            <w:tcW w:w="662" w:type="dxa"/>
          </w:tcPr>
          <w:p>
            <w:pPr>
              <w:pStyle w:val="383"/>
              <w:spacing w:before="66"/>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1.54</w:t>
            </w:r>
          </w:p>
        </w:tc>
        <w:tc>
          <w:tcPr>
            <w:tcW w:w="662" w:type="dxa"/>
          </w:tcPr>
          <w:p>
            <w:pPr>
              <w:pStyle w:val="383"/>
              <w:spacing w:before="66"/>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1.61</w:t>
            </w:r>
          </w:p>
        </w:tc>
        <w:tc>
          <w:tcPr>
            <w:tcW w:w="662" w:type="dxa"/>
          </w:tcPr>
          <w:p>
            <w:pPr>
              <w:pStyle w:val="383"/>
              <w:spacing w:before="66"/>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1.82</w:t>
            </w:r>
          </w:p>
        </w:tc>
        <w:tc>
          <w:tcPr>
            <w:tcW w:w="663" w:type="dxa"/>
          </w:tcPr>
          <w:p>
            <w:pPr>
              <w:pStyle w:val="383"/>
              <w:spacing w:before="66"/>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1.90</w:t>
            </w:r>
          </w:p>
        </w:tc>
        <w:tc>
          <w:tcPr>
            <w:tcW w:w="663" w:type="dxa"/>
          </w:tcPr>
          <w:p>
            <w:pPr>
              <w:pStyle w:val="383"/>
              <w:spacing w:before="66"/>
              <w:ind w:left="17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1.83</w:t>
            </w:r>
          </w:p>
        </w:tc>
        <w:tc>
          <w:tcPr>
            <w:tcW w:w="663" w:type="dxa"/>
          </w:tcPr>
          <w:p>
            <w:pPr>
              <w:pStyle w:val="383"/>
              <w:spacing w:before="66"/>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1.59</w:t>
            </w:r>
          </w:p>
        </w:tc>
        <w:tc>
          <w:tcPr>
            <w:tcW w:w="663" w:type="dxa"/>
          </w:tcPr>
          <w:p>
            <w:pPr>
              <w:pStyle w:val="383"/>
              <w:spacing w:before="66"/>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1.17</w:t>
            </w:r>
          </w:p>
        </w:tc>
        <w:tc>
          <w:tcPr>
            <w:tcW w:w="663" w:type="dxa"/>
          </w:tcPr>
          <w:p>
            <w:pPr>
              <w:pStyle w:val="383"/>
              <w:spacing w:before="66"/>
              <w:ind w:right="162"/>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0.88</w:t>
            </w:r>
          </w:p>
        </w:tc>
        <w:tc>
          <w:tcPr>
            <w:tcW w:w="663" w:type="dxa"/>
          </w:tcPr>
          <w:p>
            <w:pPr>
              <w:pStyle w:val="383"/>
              <w:spacing w:before="66"/>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0.87</w:t>
            </w:r>
          </w:p>
        </w:tc>
        <w:tc>
          <w:tcPr>
            <w:tcW w:w="663" w:type="dxa"/>
          </w:tcPr>
          <w:p>
            <w:pPr>
              <w:pStyle w:val="383"/>
              <w:spacing w:before="66"/>
              <w:ind w:left="17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0.78</w:t>
            </w:r>
          </w:p>
        </w:tc>
        <w:tc>
          <w:tcPr>
            <w:tcW w:w="663" w:type="dxa"/>
          </w:tcPr>
          <w:p>
            <w:pPr>
              <w:pStyle w:val="383"/>
              <w:spacing w:before="66"/>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0.67</w:t>
            </w:r>
          </w:p>
        </w:tc>
        <w:tc>
          <w:tcPr>
            <w:tcW w:w="697" w:type="dxa"/>
            <w:tcBorders>
              <w:right w:val="single" w:color="000000" w:sz="12" w:space="0"/>
            </w:tcBorders>
          </w:tcPr>
          <w:p>
            <w:pPr>
              <w:pStyle w:val="383"/>
              <w:spacing w:before="66"/>
              <w:ind w:left="17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022" w:type="dxa"/>
            <w:tcBorders>
              <w:left w:val="single" w:color="000000" w:sz="12" w:space="0"/>
            </w:tcBorders>
          </w:tcPr>
          <w:p>
            <w:pPr>
              <w:pStyle w:val="383"/>
              <w:spacing w:before="54"/>
              <w:ind w:left="316" w:right="3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夏季</w:t>
            </w:r>
          </w:p>
        </w:tc>
        <w:tc>
          <w:tcPr>
            <w:tcW w:w="662" w:type="dxa"/>
          </w:tcPr>
          <w:p>
            <w:pPr>
              <w:pStyle w:val="383"/>
              <w:spacing w:before="64"/>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1.52</w:t>
            </w:r>
          </w:p>
        </w:tc>
        <w:tc>
          <w:tcPr>
            <w:tcW w:w="662" w:type="dxa"/>
          </w:tcPr>
          <w:p>
            <w:pPr>
              <w:pStyle w:val="383"/>
              <w:spacing w:before="64"/>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1.82</w:t>
            </w:r>
          </w:p>
        </w:tc>
        <w:tc>
          <w:tcPr>
            <w:tcW w:w="662"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1.91</w:t>
            </w:r>
          </w:p>
        </w:tc>
        <w:tc>
          <w:tcPr>
            <w:tcW w:w="663" w:type="dxa"/>
          </w:tcPr>
          <w:p>
            <w:pPr>
              <w:pStyle w:val="383"/>
              <w:spacing w:before="64"/>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1.96</w:t>
            </w:r>
          </w:p>
        </w:tc>
        <w:tc>
          <w:tcPr>
            <w:tcW w:w="663" w:type="dxa"/>
          </w:tcPr>
          <w:p>
            <w:pPr>
              <w:pStyle w:val="383"/>
              <w:spacing w:before="64"/>
              <w:ind w:left="17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1.85</w:t>
            </w:r>
          </w:p>
        </w:tc>
        <w:tc>
          <w:tcPr>
            <w:tcW w:w="663" w:type="dxa"/>
          </w:tcPr>
          <w:p>
            <w:pPr>
              <w:pStyle w:val="383"/>
              <w:spacing w:before="64"/>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1.70</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1.32</w:t>
            </w:r>
          </w:p>
        </w:tc>
        <w:tc>
          <w:tcPr>
            <w:tcW w:w="663"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0.94</w:t>
            </w:r>
          </w:p>
        </w:tc>
        <w:tc>
          <w:tcPr>
            <w:tcW w:w="663" w:type="dxa"/>
          </w:tcPr>
          <w:p>
            <w:pPr>
              <w:pStyle w:val="383"/>
              <w:spacing w:before="64"/>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0.79</w:t>
            </w:r>
          </w:p>
        </w:tc>
        <w:tc>
          <w:tcPr>
            <w:tcW w:w="663" w:type="dxa"/>
          </w:tcPr>
          <w:p>
            <w:pPr>
              <w:pStyle w:val="383"/>
              <w:spacing w:before="64"/>
              <w:ind w:left="17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0.82</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0.74</w:t>
            </w:r>
          </w:p>
        </w:tc>
        <w:tc>
          <w:tcPr>
            <w:tcW w:w="697" w:type="dxa"/>
            <w:tcBorders>
              <w:right w:val="single" w:color="000000" w:sz="12" w:space="0"/>
            </w:tcBorders>
          </w:tcPr>
          <w:p>
            <w:pPr>
              <w:pStyle w:val="383"/>
              <w:spacing w:before="64"/>
              <w:ind w:left="17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022" w:type="dxa"/>
            <w:tcBorders>
              <w:left w:val="single" w:color="000000" w:sz="12" w:space="0"/>
            </w:tcBorders>
          </w:tcPr>
          <w:p>
            <w:pPr>
              <w:pStyle w:val="383"/>
              <w:spacing w:before="54"/>
              <w:ind w:left="316" w:right="3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秋季</w:t>
            </w:r>
          </w:p>
        </w:tc>
        <w:tc>
          <w:tcPr>
            <w:tcW w:w="662" w:type="dxa"/>
          </w:tcPr>
          <w:p>
            <w:pPr>
              <w:pStyle w:val="383"/>
              <w:spacing w:before="64"/>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1.20</w:t>
            </w:r>
          </w:p>
        </w:tc>
        <w:tc>
          <w:tcPr>
            <w:tcW w:w="662" w:type="dxa"/>
          </w:tcPr>
          <w:p>
            <w:pPr>
              <w:pStyle w:val="383"/>
              <w:spacing w:before="64"/>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1.31</w:t>
            </w:r>
          </w:p>
        </w:tc>
        <w:tc>
          <w:tcPr>
            <w:tcW w:w="662"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1.43</w:t>
            </w:r>
          </w:p>
        </w:tc>
        <w:tc>
          <w:tcPr>
            <w:tcW w:w="663" w:type="dxa"/>
          </w:tcPr>
          <w:p>
            <w:pPr>
              <w:pStyle w:val="383"/>
              <w:spacing w:before="64"/>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1.37</w:t>
            </w:r>
          </w:p>
        </w:tc>
        <w:tc>
          <w:tcPr>
            <w:tcW w:w="663" w:type="dxa"/>
          </w:tcPr>
          <w:p>
            <w:pPr>
              <w:pStyle w:val="383"/>
              <w:spacing w:before="64"/>
              <w:ind w:left="17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1.14</w:t>
            </w:r>
          </w:p>
        </w:tc>
        <w:tc>
          <w:tcPr>
            <w:tcW w:w="663" w:type="dxa"/>
          </w:tcPr>
          <w:p>
            <w:pPr>
              <w:pStyle w:val="383"/>
              <w:spacing w:before="64"/>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0.82</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0.65</w:t>
            </w:r>
          </w:p>
        </w:tc>
        <w:tc>
          <w:tcPr>
            <w:tcW w:w="663" w:type="dxa"/>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0.55</w:t>
            </w:r>
          </w:p>
        </w:tc>
        <w:tc>
          <w:tcPr>
            <w:tcW w:w="663" w:type="dxa"/>
          </w:tcPr>
          <w:p>
            <w:pPr>
              <w:pStyle w:val="383"/>
              <w:spacing w:before="64"/>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0.59</w:t>
            </w:r>
          </w:p>
        </w:tc>
        <w:tc>
          <w:tcPr>
            <w:tcW w:w="663" w:type="dxa"/>
          </w:tcPr>
          <w:p>
            <w:pPr>
              <w:pStyle w:val="383"/>
              <w:spacing w:before="64"/>
              <w:ind w:left="17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0.49</w:t>
            </w:r>
          </w:p>
        </w:tc>
        <w:tc>
          <w:tcPr>
            <w:tcW w:w="663" w:type="dxa"/>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0.50</w:t>
            </w:r>
          </w:p>
        </w:tc>
        <w:tc>
          <w:tcPr>
            <w:tcW w:w="697" w:type="dxa"/>
            <w:tcBorders>
              <w:right w:val="single" w:color="000000" w:sz="12" w:space="0"/>
            </w:tcBorders>
          </w:tcPr>
          <w:p>
            <w:pPr>
              <w:pStyle w:val="383"/>
              <w:spacing w:before="64"/>
              <w:ind w:left="17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022" w:type="dxa"/>
            <w:tcBorders>
              <w:left w:val="single" w:color="000000" w:sz="12" w:space="0"/>
              <w:bottom w:val="single" w:color="000000" w:sz="12" w:space="0"/>
            </w:tcBorders>
          </w:tcPr>
          <w:p>
            <w:pPr>
              <w:pStyle w:val="383"/>
              <w:spacing w:before="55"/>
              <w:ind w:left="316" w:right="3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冬季</w:t>
            </w:r>
          </w:p>
        </w:tc>
        <w:tc>
          <w:tcPr>
            <w:tcW w:w="662" w:type="dxa"/>
            <w:tcBorders>
              <w:bottom w:val="single" w:color="000000" w:sz="12" w:space="0"/>
            </w:tcBorders>
          </w:tcPr>
          <w:p>
            <w:pPr>
              <w:pStyle w:val="383"/>
              <w:spacing w:before="64"/>
              <w:ind w:right="16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1.04</w:t>
            </w:r>
          </w:p>
        </w:tc>
        <w:tc>
          <w:tcPr>
            <w:tcW w:w="662" w:type="dxa"/>
            <w:tcBorders>
              <w:bottom w:val="single" w:color="000000" w:sz="12" w:space="0"/>
            </w:tcBorders>
          </w:tcPr>
          <w:p>
            <w:pPr>
              <w:pStyle w:val="383"/>
              <w:spacing w:before="64"/>
              <w:ind w:left="152" w:right="1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1.09</w:t>
            </w:r>
          </w:p>
        </w:tc>
        <w:tc>
          <w:tcPr>
            <w:tcW w:w="662" w:type="dxa"/>
            <w:tcBorders>
              <w:bottom w:val="single" w:color="000000" w:sz="12" w:space="0"/>
            </w:tcBorders>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1.20</w:t>
            </w:r>
          </w:p>
        </w:tc>
        <w:tc>
          <w:tcPr>
            <w:tcW w:w="663" w:type="dxa"/>
            <w:tcBorders>
              <w:bottom w:val="single" w:color="000000" w:sz="12" w:space="0"/>
            </w:tcBorders>
          </w:tcPr>
          <w:p>
            <w:pPr>
              <w:pStyle w:val="383"/>
              <w:spacing w:before="64"/>
              <w:ind w:left="150"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1.19</w:t>
            </w:r>
          </w:p>
        </w:tc>
        <w:tc>
          <w:tcPr>
            <w:tcW w:w="663" w:type="dxa"/>
            <w:tcBorders>
              <w:bottom w:val="single" w:color="000000" w:sz="12" w:space="0"/>
            </w:tcBorders>
          </w:tcPr>
          <w:p>
            <w:pPr>
              <w:pStyle w:val="383"/>
              <w:spacing w:before="64"/>
              <w:ind w:left="17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1.15</w:t>
            </w:r>
          </w:p>
        </w:tc>
        <w:tc>
          <w:tcPr>
            <w:tcW w:w="663" w:type="dxa"/>
            <w:tcBorders>
              <w:bottom w:val="single" w:color="000000" w:sz="12" w:space="0"/>
            </w:tcBorders>
          </w:tcPr>
          <w:p>
            <w:pPr>
              <w:pStyle w:val="383"/>
              <w:spacing w:before="64"/>
              <w:ind w:left="152" w:right="14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0.96</w:t>
            </w:r>
          </w:p>
        </w:tc>
        <w:tc>
          <w:tcPr>
            <w:tcW w:w="663" w:type="dxa"/>
            <w:tcBorders>
              <w:bottom w:val="single" w:color="000000" w:sz="12" w:space="0"/>
            </w:tcBorders>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0.78</w:t>
            </w:r>
          </w:p>
        </w:tc>
        <w:tc>
          <w:tcPr>
            <w:tcW w:w="663" w:type="dxa"/>
            <w:tcBorders>
              <w:bottom w:val="single" w:color="000000" w:sz="12" w:space="0"/>
            </w:tcBorders>
          </w:tcPr>
          <w:p>
            <w:pPr>
              <w:pStyle w:val="383"/>
              <w:spacing w:before="64"/>
              <w:ind w:right="16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0.67</w:t>
            </w:r>
          </w:p>
        </w:tc>
        <w:tc>
          <w:tcPr>
            <w:tcW w:w="663" w:type="dxa"/>
            <w:tcBorders>
              <w:bottom w:val="single" w:color="000000" w:sz="12" w:space="0"/>
            </w:tcBorders>
          </w:tcPr>
          <w:p>
            <w:pPr>
              <w:pStyle w:val="383"/>
              <w:spacing w:before="64"/>
              <w:ind w:left="152" w:right="14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0.62</w:t>
            </w:r>
          </w:p>
        </w:tc>
        <w:tc>
          <w:tcPr>
            <w:tcW w:w="663" w:type="dxa"/>
            <w:tcBorders>
              <w:bottom w:val="single" w:color="000000" w:sz="12" w:space="0"/>
            </w:tcBorders>
          </w:tcPr>
          <w:p>
            <w:pPr>
              <w:pStyle w:val="383"/>
              <w:spacing w:before="64"/>
              <w:ind w:left="17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0.59</w:t>
            </w:r>
          </w:p>
        </w:tc>
        <w:tc>
          <w:tcPr>
            <w:tcW w:w="663" w:type="dxa"/>
            <w:tcBorders>
              <w:bottom w:val="single" w:color="000000" w:sz="12" w:space="0"/>
            </w:tcBorders>
          </w:tcPr>
          <w:p>
            <w:pPr>
              <w:pStyle w:val="383"/>
              <w:spacing w:before="64"/>
              <w:ind w:left="151" w:right="14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0.60</w:t>
            </w:r>
          </w:p>
        </w:tc>
        <w:tc>
          <w:tcPr>
            <w:tcW w:w="697" w:type="dxa"/>
            <w:tcBorders>
              <w:bottom w:val="single" w:color="000000" w:sz="12" w:space="0"/>
              <w:right w:val="single" w:color="000000" w:sz="12" w:space="0"/>
            </w:tcBorders>
          </w:tcPr>
          <w:p>
            <w:pPr>
              <w:pStyle w:val="383"/>
              <w:spacing w:before="64"/>
              <w:ind w:left="17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0.63</w:t>
            </w:r>
          </w:p>
        </w:tc>
      </w:tr>
    </w:tbl>
    <w:p>
      <w:pPr>
        <w:pStyle w:val="385"/>
        <w:adjustRightInd w:val="0"/>
        <w:snapToGrid w:val="0"/>
        <w:spacing w:line="520" w:lineRule="exact"/>
        <w:ind w:firstLine="482"/>
        <w:jc w:val="center"/>
        <w:rPr>
          <w:rFonts w:cs="Times New Roman"/>
          <w:b/>
          <w:bCs/>
          <w:snapToGrid w:val="0"/>
          <w:color w:val="000000" w:themeColor="text1"/>
          <w14:textFill>
            <w14:solidFill>
              <w14:schemeClr w14:val="tx1"/>
            </w14:solidFill>
          </w14:textFill>
        </w:rPr>
      </w:pPr>
      <w:r>
        <w:rPr>
          <w:rFonts w:eastAsia="新宋体" w:cs="Times New Roman"/>
          <w:b/>
          <w:color w:val="000000" w:themeColor="text1"/>
          <w14:textFill>
            <w14:solidFill>
              <w14:schemeClr w14:val="tx1"/>
            </w14:solidFill>
          </w14:textFill>
        </w:rPr>
        <w:t>图</w:t>
      </w:r>
      <w:r>
        <w:rPr>
          <w:rFonts w:hint="eastAsia" w:eastAsia="新宋体" w:cs="Times New Roman"/>
          <w:b/>
          <w:color w:val="000000" w:themeColor="text1"/>
          <w:lang w:val="en-US" w:eastAsia="zh-CN"/>
          <w14:textFill>
            <w14:solidFill>
              <w14:schemeClr w14:val="tx1"/>
            </w14:solidFill>
          </w14:textFill>
        </w:rPr>
        <w:t>6</w:t>
      </w:r>
      <w:r>
        <w:rPr>
          <w:rFonts w:eastAsia="Times New Roman" w:cs="Times New Roman"/>
          <w:b/>
          <w:color w:val="000000" w:themeColor="text1"/>
          <w14:textFill>
            <w14:solidFill>
              <w14:schemeClr w14:val="tx1"/>
            </w14:solidFill>
          </w14:textFill>
        </w:rPr>
        <w:t>.</w:t>
      </w:r>
      <w:r>
        <w:rPr>
          <w:rFonts w:hint="eastAsia" w:cs="Times New Roman"/>
          <w:b/>
          <w:color w:val="000000" w:themeColor="text1"/>
          <w14:textFill>
            <w14:solidFill>
              <w14:schemeClr w14:val="tx1"/>
            </w14:solidFill>
          </w14:textFill>
        </w:rPr>
        <w:t>2</w:t>
      </w:r>
      <w:r>
        <w:rPr>
          <w:rFonts w:eastAsia="Times New Roman" w:cs="Times New Roman"/>
          <w:b/>
          <w:color w:val="000000" w:themeColor="text1"/>
          <w14:textFill>
            <w14:solidFill>
              <w14:schemeClr w14:val="tx1"/>
            </w14:solidFill>
          </w14:textFill>
        </w:rPr>
        <w:t>-3</w:t>
      </w:r>
      <w:r>
        <w:rPr>
          <w:rFonts w:eastAsia="Times New Roman" w:cs="Times New Roman"/>
          <w:b/>
          <w:color w:val="000000" w:themeColor="text1"/>
          <w14:textFill>
            <w14:solidFill>
              <w14:schemeClr w14:val="tx1"/>
            </w14:solidFill>
          </w14:textFill>
        </w:rPr>
        <w:tab/>
      </w:r>
      <w:r>
        <w:rPr>
          <w:rFonts w:eastAsia="新宋体" w:cs="Times New Roman"/>
          <w:b/>
          <w:color w:val="000000" w:themeColor="text1"/>
          <w14:textFill>
            <w14:solidFill>
              <w14:schemeClr w14:val="tx1"/>
            </w14:solidFill>
          </w14:textFill>
        </w:rPr>
        <w:t>各季小时月平均风速变化曲线</w:t>
      </w:r>
      <w:r>
        <w:rPr>
          <w:rFonts w:cs="Times New Roman"/>
          <w:color w:val="000000" w:themeColor="text1"/>
          <w14:textFill>
            <w14:solidFill>
              <w14:schemeClr w14:val="tx1"/>
            </w14:solidFill>
          </w14:textFill>
        </w:rPr>
        <w:drawing>
          <wp:anchor distT="0" distB="0" distL="0" distR="0" simplePos="0" relativeHeight="251684864" behindDoc="0" locked="0" layoutInCell="1" allowOverlap="1">
            <wp:simplePos x="0" y="0"/>
            <wp:positionH relativeFrom="page">
              <wp:posOffset>1581785</wp:posOffset>
            </wp:positionH>
            <wp:positionV relativeFrom="paragraph">
              <wp:posOffset>149225</wp:posOffset>
            </wp:positionV>
            <wp:extent cx="4740910" cy="1790700"/>
            <wp:effectExtent l="0" t="0" r="254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24" cstate="print"/>
                    <a:stretch>
                      <a:fillRect/>
                    </a:stretch>
                  </pic:blipFill>
                  <pic:spPr>
                    <a:xfrm>
                      <a:off x="0" y="0"/>
                      <a:ext cx="4740910" cy="1790700"/>
                    </a:xfrm>
                    <a:prstGeom prst="rect">
                      <a:avLst/>
                    </a:prstGeom>
                  </pic:spPr>
                </pic:pic>
              </a:graphicData>
            </a:graphic>
          </wp:anchor>
        </w:drawing>
      </w:r>
    </w:p>
    <w:p>
      <w:pPr>
        <w:pStyle w:val="385"/>
        <w:adjustRightInd w:val="0"/>
        <w:snapToGrid w:val="0"/>
        <w:spacing w:line="520" w:lineRule="exact"/>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从各季小时月平均风速统计资料中可以看出宜都市在春季最高，秋季风速最低， 一天内</w:t>
      </w:r>
      <w:r>
        <w:rPr>
          <w:rFonts w:hint="eastAsia"/>
          <w:snapToGrid w:val="0"/>
          <w:color w:val="000000" w:themeColor="text1"/>
          <w14:textFill>
            <w14:solidFill>
              <w14:schemeClr w14:val="tx1"/>
            </w14:solidFill>
          </w14:textFill>
        </w:rPr>
        <w:t>15:00</w:t>
      </w:r>
      <w:r>
        <w:rPr>
          <w:snapToGrid w:val="0"/>
          <w:color w:val="000000" w:themeColor="text1"/>
          <w14:textFill>
            <w14:solidFill>
              <w14:schemeClr w14:val="tx1"/>
            </w14:solidFill>
          </w14:textFill>
        </w:rPr>
        <w:t>的平均风速最高。</w:t>
      </w:r>
    </w:p>
    <w:p>
      <w:pPr>
        <w:pStyle w:val="385"/>
        <w:numPr>
          <w:ilvl w:val="0"/>
          <w:numId w:val="33"/>
        </w:numPr>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风向、风频</w:t>
      </w:r>
    </w:p>
    <w:p>
      <w:pPr>
        <w:pStyle w:val="385"/>
        <w:adjustRightInd w:val="0"/>
        <w:snapToGrid w:val="0"/>
        <w:spacing w:line="520" w:lineRule="exact"/>
        <w:ind w:firstLine="480"/>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每月、各季及长期平均各向风频变化情况见表</w:t>
      </w:r>
      <w:r>
        <w:rPr>
          <w:rFonts w:hint="eastAsia" w:cs="Times New Roman"/>
          <w:snapToGrid w:val="0"/>
          <w:color w:val="000000" w:themeColor="text1"/>
          <w:lang w:val="en-US" w:eastAsia="zh-CN"/>
          <w14:textFill>
            <w14:solidFill>
              <w14:schemeClr w14:val="tx1"/>
            </w14:solidFill>
          </w14:textFill>
        </w:rPr>
        <w:t>6</w:t>
      </w:r>
      <w:r>
        <w:rPr>
          <w:rFonts w:cs="Times New Roman"/>
          <w:snapToGrid w:val="0"/>
          <w:color w:val="000000" w:themeColor="text1"/>
          <w14:textFill>
            <w14:solidFill>
              <w14:schemeClr w14:val="tx1"/>
            </w14:solidFill>
          </w14:textFill>
        </w:rPr>
        <w:t>.</w:t>
      </w:r>
      <w:r>
        <w:rPr>
          <w:rFonts w:hint="eastAsia" w:cs="Times New Roman"/>
          <w:snapToGrid w:val="0"/>
          <w:color w:val="000000" w:themeColor="text1"/>
          <w14:textFill>
            <w14:solidFill>
              <w14:schemeClr w14:val="tx1"/>
            </w14:solidFill>
          </w14:textFill>
        </w:rPr>
        <w:t>2</w:t>
      </w:r>
      <w:r>
        <w:rPr>
          <w:rFonts w:cs="Times New Roman"/>
          <w:snapToGrid w:val="0"/>
          <w:color w:val="000000" w:themeColor="text1"/>
          <w14:textFill>
            <w14:solidFill>
              <w14:schemeClr w14:val="tx1"/>
            </w14:solidFill>
          </w14:textFill>
        </w:rPr>
        <w:t>-4 和表</w:t>
      </w:r>
      <w:r>
        <w:rPr>
          <w:rFonts w:hint="eastAsia" w:cs="Times New Roman"/>
          <w:snapToGrid w:val="0"/>
          <w:color w:val="000000" w:themeColor="text1"/>
          <w:lang w:val="en-US" w:eastAsia="zh-CN"/>
          <w14:textFill>
            <w14:solidFill>
              <w14:schemeClr w14:val="tx1"/>
            </w14:solidFill>
          </w14:textFill>
        </w:rPr>
        <w:t>6</w:t>
      </w:r>
      <w:r>
        <w:rPr>
          <w:rFonts w:cs="Times New Roman"/>
          <w:snapToGrid w:val="0"/>
          <w:color w:val="000000" w:themeColor="text1"/>
          <w14:textFill>
            <w14:solidFill>
              <w14:schemeClr w14:val="tx1"/>
            </w14:solidFill>
          </w14:textFill>
        </w:rPr>
        <w:t>.</w:t>
      </w:r>
      <w:r>
        <w:rPr>
          <w:rFonts w:hint="eastAsia" w:cs="Times New Roman"/>
          <w:snapToGrid w:val="0"/>
          <w:color w:val="000000" w:themeColor="text1"/>
          <w14:textFill>
            <w14:solidFill>
              <w14:schemeClr w14:val="tx1"/>
            </w14:solidFill>
          </w14:textFill>
        </w:rPr>
        <w:t>2</w:t>
      </w:r>
      <w:r>
        <w:rPr>
          <w:rFonts w:cs="Times New Roman"/>
          <w:snapToGrid w:val="0"/>
          <w:color w:val="000000" w:themeColor="text1"/>
          <w14:textFill>
            <w14:solidFill>
              <w14:schemeClr w14:val="tx1"/>
            </w14:solidFill>
          </w14:textFill>
        </w:rPr>
        <w:t>-5。</w:t>
      </w:r>
    </w:p>
    <w:p>
      <w:pPr>
        <w:tabs>
          <w:tab w:val="left" w:pos="1087"/>
        </w:tabs>
        <w:spacing w:after="46"/>
        <w:ind w:left="19"/>
        <w:jc w:val="center"/>
        <w:rPr>
          <w:rFonts w:ascii="Times New Roman" w:hAnsi="Times New Roman" w:eastAsia="新宋体"/>
          <w:b/>
          <w:color w:val="000000" w:themeColor="text1"/>
          <w:sz w:val="24"/>
          <w:szCs w:val="24"/>
          <w14:textFill>
            <w14:solidFill>
              <w14:schemeClr w14:val="tx1"/>
            </w14:solidFill>
          </w14:textFill>
        </w:rPr>
      </w:pPr>
      <w:r>
        <w:rPr>
          <w:rFonts w:ascii="Times New Roman" w:hAnsi="Times New Roman" w:eastAsia="新宋体"/>
          <w:b/>
          <w:color w:val="000000" w:themeColor="text1"/>
          <w:sz w:val="24"/>
          <w:szCs w:val="24"/>
          <w14:textFill>
            <w14:solidFill>
              <w14:schemeClr w14:val="tx1"/>
            </w14:solidFill>
          </w14:textFill>
        </w:rPr>
        <w:t>表</w:t>
      </w:r>
      <w:r>
        <w:rPr>
          <w:rFonts w:hint="eastAsia" w:ascii="Times New Roman" w:hAnsi="Times New Roman" w:eastAsia="新宋体"/>
          <w:b/>
          <w:color w:val="000000" w:themeColor="text1"/>
          <w:sz w:val="24"/>
          <w:szCs w:val="24"/>
          <w:lang w:val="en-US" w:eastAsia="zh-CN"/>
          <w14:textFill>
            <w14:solidFill>
              <w14:schemeClr w14:val="tx1"/>
            </w14:solidFill>
          </w14:textFill>
        </w:rPr>
        <w:t>6</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eastAsia="Times New Roman"/>
          <w:b/>
          <w:color w:val="000000" w:themeColor="text1"/>
          <w:sz w:val="24"/>
          <w:szCs w:val="24"/>
          <w14:textFill>
            <w14:solidFill>
              <w14:schemeClr w14:val="tx1"/>
            </w14:solidFill>
          </w14:textFill>
        </w:rPr>
        <w:t>-4</w:t>
      </w:r>
      <w:r>
        <w:rPr>
          <w:rFonts w:ascii="Times New Roman" w:hAnsi="Times New Roman" w:eastAsia="Times New Roman"/>
          <w:b/>
          <w:color w:val="000000" w:themeColor="text1"/>
          <w:sz w:val="24"/>
          <w:szCs w:val="24"/>
          <w14:textFill>
            <w14:solidFill>
              <w14:schemeClr w14:val="tx1"/>
            </w14:solidFill>
          </w14:textFill>
        </w:rPr>
        <w:tab/>
      </w:r>
      <w:r>
        <w:rPr>
          <w:rFonts w:ascii="Times New Roman" w:hAnsi="Times New Roman" w:eastAsia="新宋体"/>
          <w:b/>
          <w:color w:val="000000" w:themeColor="text1"/>
          <w:sz w:val="24"/>
          <w:szCs w:val="24"/>
          <w14:textFill>
            <w14:solidFill>
              <w14:schemeClr w14:val="tx1"/>
            </w14:solidFill>
          </w14:textFill>
        </w:rPr>
        <w:t>年均风频的季变化及年均风频</w:t>
      </w:r>
    </w:p>
    <w:tbl>
      <w:tblPr>
        <w:tblStyle w:val="87"/>
        <w:tblW w:w="9169"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489"/>
        <w:gridCol w:w="491"/>
        <w:gridCol w:w="490"/>
        <w:gridCol w:w="492"/>
        <w:gridCol w:w="490"/>
        <w:gridCol w:w="492"/>
        <w:gridCol w:w="492"/>
        <w:gridCol w:w="490"/>
        <w:gridCol w:w="492"/>
        <w:gridCol w:w="490"/>
        <w:gridCol w:w="492"/>
        <w:gridCol w:w="492"/>
        <w:gridCol w:w="490"/>
        <w:gridCol w:w="498"/>
        <w:gridCol w:w="490"/>
        <w:gridCol w:w="492"/>
        <w:gridCol w:w="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818" w:type="dxa"/>
            <w:tcBorders>
              <w:top w:val="single" w:color="000000" w:sz="12" w:space="0"/>
              <w:left w:val="single" w:color="000000" w:sz="12" w:space="0"/>
            </w:tcBorders>
          </w:tcPr>
          <w:p>
            <w:pPr>
              <w:pStyle w:val="383"/>
              <w:spacing w:before="15" w:line="230" w:lineRule="atLeast"/>
              <w:ind w:left="169" w:right="27" w:hanging="135"/>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风频(%) 风向</w:t>
            </w:r>
          </w:p>
        </w:tc>
        <w:tc>
          <w:tcPr>
            <w:tcW w:w="489" w:type="dxa"/>
            <w:tcBorders>
              <w:top w:val="single" w:color="000000" w:sz="12" w:space="0"/>
            </w:tcBorders>
          </w:tcPr>
          <w:p>
            <w:pPr>
              <w:pStyle w:val="383"/>
              <w:spacing w:before="142"/>
              <w:ind w:lef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w:t>
            </w:r>
          </w:p>
        </w:tc>
        <w:tc>
          <w:tcPr>
            <w:tcW w:w="491" w:type="dxa"/>
            <w:tcBorders>
              <w:top w:val="single" w:color="000000" w:sz="12" w:space="0"/>
            </w:tcBorders>
          </w:tcPr>
          <w:p>
            <w:pPr>
              <w:pStyle w:val="383"/>
              <w:spacing w:before="142"/>
              <w:ind w:left="41"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NNE</w:t>
            </w:r>
          </w:p>
        </w:tc>
        <w:tc>
          <w:tcPr>
            <w:tcW w:w="490" w:type="dxa"/>
            <w:tcBorders>
              <w:top w:val="single" w:color="000000" w:sz="12" w:space="0"/>
            </w:tcBorders>
          </w:tcPr>
          <w:p>
            <w:pPr>
              <w:pStyle w:val="383"/>
              <w:spacing w:before="142"/>
              <w:ind w:left="12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NE</w:t>
            </w:r>
          </w:p>
        </w:tc>
        <w:tc>
          <w:tcPr>
            <w:tcW w:w="492" w:type="dxa"/>
            <w:tcBorders>
              <w:top w:val="single" w:color="000000" w:sz="12" w:space="0"/>
            </w:tcBorders>
          </w:tcPr>
          <w:p>
            <w:pPr>
              <w:pStyle w:val="383"/>
              <w:spacing w:before="142"/>
              <w:ind w:left="10" w:righ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ENE</w:t>
            </w:r>
          </w:p>
        </w:tc>
        <w:tc>
          <w:tcPr>
            <w:tcW w:w="490" w:type="dxa"/>
            <w:tcBorders>
              <w:top w:val="single" w:color="000000" w:sz="12" w:space="0"/>
            </w:tcBorders>
          </w:tcPr>
          <w:p>
            <w:pPr>
              <w:pStyle w:val="383"/>
              <w:spacing w:before="142"/>
              <w:ind w:lef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E</w:t>
            </w:r>
          </w:p>
        </w:tc>
        <w:tc>
          <w:tcPr>
            <w:tcW w:w="492" w:type="dxa"/>
            <w:tcBorders>
              <w:top w:val="single" w:color="000000" w:sz="12" w:space="0"/>
            </w:tcBorders>
          </w:tcPr>
          <w:p>
            <w:pPr>
              <w:pStyle w:val="383"/>
              <w:spacing w:before="142"/>
              <w:ind w:left="10" w:righ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ESE</w:t>
            </w:r>
          </w:p>
        </w:tc>
        <w:tc>
          <w:tcPr>
            <w:tcW w:w="492" w:type="dxa"/>
            <w:tcBorders>
              <w:top w:val="single" w:color="000000" w:sz="12" w:space="0"/>
            </w:tcBorders>
          </w:tcPr>
          <w:p>
            <w:pPr>
              <w:pStyle w:val="383"/>
              <w:spacing w:before="142"/>
              <w:ind w:left="10" w:righ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SE</w:t>
            </w:r>
          </w:p>
        </w:tc>
        <w:tc>
          <w:tcPr>
            <w:tcW w:w="490" w:type="dxa"/>
            <w:tcBorders>
              <w:top w:val="single" w:color="000000" w:sz="12" w:space="0"/>
            </w:tcBorders>
          </w:tcPr>
          <w:p>
            <w:pPr>
              <w:pStyle w:val="383"/>
              <w:spacing w:before="142"/>
              <w:ind w:left="38"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SSE</w:t>
            </w:r>
          </w:p>
        </w:tc>
        <w:tc>
          <w:tcPr>
            <w:tcW w:w="492" w:type="dxa"/>
            <w:tcBorders>
              <w:top w:val="single" w:color="000000" w:sz="12" w:space="0"/>
            </w:tcBorders>
          </w:tcPr>
          <w:p>
            <w:pPr>
              <w:pStyle w:val="383"/>
              <w:spacing w:before="142"/>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t>
            </w:r>
          </w:p>
        </w:tc>
        <w:tc>
          <w:tcPr>
            <w:tcW w:w="490" w:type="dxa"/>
            <w:tcBorders>
              <w:top w:val="single" w:color="000000" w:sz="12" w:space="0"/>
            </w:tcBorders>
          </w:tcPr>
          <w:p>
            <w:pPr>
              <w:pStyle w:val="383"/>
              <w:spacing w:before="142"/>
              <w:ind w:left="39"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SSW</w:t>
            </w:r>
          </w:p>
        </w:tc>
        <w:tc>
          <w:tcPr>
            <w:tcW w:w="492" w:type="dxa"/>
            <w:tcBorders>
              <w:top w:val="single" w:color="000000" w:sz="12" w:space="0"/>
            </w:tcBorders>
          </w:tcPr>
          <w:p>
            <w:pPr>
              <w:pStyle w:val="383"/>
              <w:spacing w:before="142"/>
              <w:ind w:left="10"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492" w:type="dxa"/>
            <w:tcBorders>
              <w:top w:val="single" w:color="000000" w:sz="12" w:space="0"/>
            </w:tcBorders>
          </w:tcPr>
          <w:p>
            <w:pPr>
              <w:pStyle w:val="383"/>
              <w:spacing w:before="142"/>
              <w:ind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WSW</w:t>
            </w:r>
          </w:p>
        </w:tc>
        <w:tc>
          <w:tcPr>
            <w:tcW w:w="490" w:type="dxa"/>
            <w:tcBorders>
              <w:top w:val="single" w:color="000000" w:sz="12" w:space="0"/>
            </w:tcBorders>
          </w:tcPr>
          <w:p>
            <w:pPr>
              <w:pStyle w:val="383"/>
              <w:spacing w:before="142"/>
              <w:ind w:lef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w:t>
            </w:r>
          </w:p>
        </w:tc>
        <w:tc>
          <w:tcPr>
            <w:tcW w:w="498" w:type="dxa"/>
            <w:tcBorders>
              <w:top w:val="single" w:color="000000" w:sz="12" w:space="0"/>
            </w:tcBorders>
          </w:tcPr>
          <w:p>
            <w:pPr>
              <w:pStyle w:val="383"/>
              <w:spacing w:before="142"/>
              <w:ind w:lef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WNW</w:t>
            </w:r>
          </w:p>
        </w:tc>
        <w:tc>
          <w:tcPr>
            <w:tcW w:w="490" w:type="dxa"/>
            <w:tcBorders>
              <w:top w:val="single" w:color="000000" w:sz="12" w:space="0"/>
            </w:tcBorders>
          </w:tcPr>
          <w:p>
            <w:pPr>
              <w:pStyle w:val="383"/>
              <w:spacing w:before="142"/>
              <w:ind w:left="9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NW</w:t>
            </w:r>
          </w:p>
        </w:tc>
        <w:tc>
          <w:tcPr>
            <w:tcW w:w="492" w:type="dxa"/>
            <w:tcBorders>
              <w:top w:val="single" w:color="000000" w:sz="12" w:space="0"/>
            </w:tcBorders>
          </w:tcPr>
          <w:p>
            <w:pPr>
              <w:pStyle w:val="383"/>
              <w:spacing w:before="142"/>
              <w:ind w:left="10"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NNW</w:t>
            </w:r>
          </w:p>
        </w:tc>
        <w:tc>
          <w:tcPr>
            <w:tcW w:w="489" w:type="dxa"/>
            <w:tcBorders>
              <w:top w:val="single" w:color="000000" w:sz="12" w:space="0"/>
              <w:right w:val="single" w:color="000000" w:sz="12" w:space="0"/>
            </w:tcBorders>
          </w:tcPr>
          <w:p>
            <w:pPr>
              <w:pStyle w:val="383"/>
              <w:spacing w:before="142"/>
              <w:ind w:left="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18" w:type="dxa"/>
            <w:tcBorders>
              <w:left w:val="single" w:color="000000" w:sz="12" w:space="0"/>
            </w:tcBorders>
          </w:tcPr>
          <w:p>
            <w:pPr>
              <w:pStyle w:val="383"/>
              <w:spacing w:before="121" w:line="212" w:lineRule="exact"/>
              <w:ind w:left="149" w:right="14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春季</w:t>
            </w:r>
          </w:p>
        </w:tc>
        <w:tc>
          <w:tcPr>
            <w:tcW w:w="489" w:type="dxa"/>
          </w:tcPr>
          <w:p>
            <w:pPr>
              <w:pStyle w:val="383"/>
              <w:spacing w:before="78"/>
              <w:ind w:left="65" w:right="6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2.63</w:t>
            </w:r>
          </w:p>
        </w:tc>
        <w:tc>
          <w:tcPr>
            <w:tcW w:w="491" w:type="dxa"/>
          </w:tcPr>
          <w:p>
            <w:pPr>
              <w:pStyle w:val="383"/>
              <w:spacing w:before="78"/>
              <w:ind w:left="40"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2.67</w:t>
            </w:r>
          </w:p>
        </w:tc>
        <w:tc>
          <w:tcPr>
            <w:tcW w:w="490" w:type="dxa"/>
          </w:tcPr>
          <w:p>
            <w:pPr>
              <w:pStyle w:val="383"/>
              <w:spacing w:before="78"/>
              <w:ind w:left="8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4.71</w:t>
            </w:r>
          </w:p>
        </w:tc>
        <w:tc>
          <w:tcPr>
            <w:tcW w:w="492" w:type="dxa"/>
          </w:tcPr>
          <w:p>
            <w:pPr>
              <w:pStyle w:val="383"/>
              <w:spacing w:before="78"/>
              <w:ind w:left="9"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4.94</w:t>
            </w:r>
          </w:p>
        </w:tc>
        <w:tc>
          <w:tcPr>
            <w:tcW w:w="490" w:type="dxa"/>
          </w:tcPr>
          <w:p>
            <w:pPr>
              <w:pStyle w:val="383"/>
              <w:spacing w:before="78"/>
              <w:ind w:left="38"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8.74</w:t>
            </w:r>
          </w:p>
        </w:tc>
        <w:tc>
          <w:tcPr>
            <w:tcW w:w="492" w:type="dxa"/>
          </w:tcPr>
          <w:p>
            <w:pPr>
              <w:pStyle w:val="383"/>
              <w:spacing w:before="78"/>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13.27</w:t>
            </w:r>
          </w:p>
        </w:tc>
        <w:tc>
          <w:tcPr>
            <w:tcW w:w="492" w:type="dxa"/>
          </w:tcPr>
          <w:p>
            <w:pPr>
              <w:pStyle w:val="383"/>
              <w:spacing w:before="78"/>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8.70</w:t>
            </w:r>
          </w:p>
        </w:tc>
        <w:tc>
          <w:tcPr>
            <w:tcW w:w="490" w:type="dxa"/>
          </w:tcPr>
          <w:p>
            <w:pPr>
              <w:pStyle w:val="383"/>
              <w:spacing w:before="78"/>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3.49</w:t>
            </w:r>
          </w:p>
        </w:tc>
        <w:tc>
          <w:tcPr>
            <w:tcW w:w="492" w:type="dxa"/>
          </w:tcPr>
          <w:p>
            <w:pPr>
              <w:pStyle w:val="383"/>
              <w:spacing w:before="78"/>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2.54</w:t>
            </w:r>
          </w:p>
        </w:tc>
        <w:tc>
          <w:tcPr>
            <w:tcW w:w="490" w:type="dxa"/>
          </w:tcPr>
          <w:p>
            <w:pPr>
              <w:pStyle w:val="383"/>
              <w:spacing w:before="78"/>
              <w:ind w:left="36"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2.31</w:t>
            </w:r>
          </w:p>
        </w:tc>
        <w:tc>
          <w:tcPr>
            <w:tcW w:w="492" w:type="dxa"/>
          </w:tcPr>
          <w:p>
            <w:pPr>
              <w:pStyle w:val="383"/>
              <w:spacing w:before="78"/>
              <w:ind w:left="10" w:righ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3.71</w:t>
            </w:r>
          </w:p>
        </w:tc>
        <w:tc>
          <w:tcPr>
            <w:tcW w:w="492" w:type="dxa"/>
          </w:tcPr>
          <w:p>
            <w:pPr>
              <w:pStyle w:val="383"/>
              <w:spacing w:before="78"/>
              <w:ind w:right="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5.43</w:t>
            </w:r>
          </w:p>
        </w:tc>
        <w:tc>
          <w:tcPr>
            <w:tcW w:w="490" w:type="dxa"/>
          </w:tcPr>
          <w:p>
            <w:pPr>
              <w:pStyle w:val="383"/>
              <w:spacing w:before="78"/>
              <w:ind w:left="35"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6.88</w:t>
            </w:r>
          </w:p>
        </w:tc>
        <w:tc>
          <w:tcPr>
            <w:tcW w:w="498" w:type="dxa"/>
          </w:tcPr>
          <w:p>
            <w:pPr>
              <w:pStyle w:val="383"/>
              <w:spacing w:before="78"/>
              <w:ind w:left="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8.70</w:t>
            </w:r>
          </w:p>
        </w:tc>
        <w:tc>
          <w:tcPr>
            <w:tcW w:w="490" w:type="dxa"/>
          </w:tcPr>
          <w:p>
            <w:pPr>
              <w:pStyle w:val="383"/>
              <w:spacing w:before="78"/>
              <w:ind w:left="8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9.78</w:t>
            </w:r>
          </w:p>
        </w:tc>
        <w:tc>
          <w:tcPr>
            <w:tcW w:w="492" w:type="dxa"/>
          </w:tcPr>
          <w:p>
            <w:pPr>
              <w:pStyle w:val="383"/>
              <w:spacing w:before="78"/>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4.21</w:t>
            </w:r>
          </w:p>
        </w:tc>
        <w:tc>
          <w:tcPr>
            <w:tcW w:w="489" w:type="dxa"/>
            <w:tcBorders>
              <w:right w:val="single" w:color="000000" w:sz="12" w:space="0"/>
            </w:tcBorders>
          </w:tcPr>
          <w:p>
            <w:pPr>
              <w:pStyle w:val="383"/>
              <w:spacing w:before="78"/>
              <w:ind w:left="20" w:right="1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4" w:hRule="atLeast"/>
        </w:trPr>
        <w:tc>
          <w:tcPr>
            <w:tcW w:w="818" w:type="dxa"/>
            <w:tcBorders>
              <w:left w:val="single" w:color="000000" w:sz="12" w:space="0"/>
            </w:tcBorders>
          </w:tcPr>
          <w:p>
            <w:pPr>
              <w:pStyle w:val="383"/>
              <w:spacing w:before="120" w:line="214" w:lineRule="exact"/>
              <w:ind w:left="149" w:right="14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夏季</w:t>
            </w:r>
          </w:p>
        </w:tc>
        <w:tc>
          <w:tcPr>
            <w:tcW w:w="489" w:type="dxa"/>
          </w:tcPr>
          <w:p>
            <w:pPr>
              <w:pStyle w:val="383"/>
              <w:spacing w:before="79"/>
              <w:ind w:left="65" w:right="6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3.08</w:t>
            </w:r>
          </w:p>
        </w:tc>
        <w:tc>
          <w:tcPr>
            <w:tcW w:w="491" w:type="dxa"/>
          </w:tcPr>
          <w:p>
            <w:pPr>
              <w:pStyle w:val="383"/>
              <w:spacing w:before="79"/>
              <w:ind w:left="40"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2.31</w:t>
            </w:r>
          </w:p>
        </w:tc>
        <w:tc>
          <w:tcPr>
            <w:tcW w:w="490" w:type="dxa"/>
          </w:tcPr>
          <w:p>
            <w:pPr>
              <w:pStyle w:val="383"/>
              <w:spacing w:before="79"/>
              <w:ind w:left="8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4.21</w:t>
            </w:r>
          </w:p>
        </w:tc>
        <w:tc>
          <w:tcPr>
            <w:tcW w:w="492" w:type="dxa"/>
          </w:tcPr>
          <w:p>
            <w:pPr>
              <w:pStyle w:val="383"/>
              <w:spacing w:before="79"/>
              <w:ind w:left="9"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5.57</w:t>
            </w:r>
          </w:p>
        </w:tc>
        <w:tc>
          <w:tcPr>
            <w:tcW w:w="490" w:type="dxa"/>
          </w:tcPr>
          <w:p>
            <w:pPr>
              <w:pStyle w:val="383"/>
              <w:spacing w:before="79"/>
              <w:ind w:left="38"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8.02</w:t>
            </w:r>
          </w:p>
        </w:tc>
        <w:tc>
          <w:tcPr>
            <w:tcW w:w="492" w:type="dxa"/>
          </w:tcPr>
          <w:p>
            <w:pPr>
              <w:pStyle w:val="383"/>
              <w:spacing w:before="79"/>
              <w:ind w:left="10"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11.28</w:t>
            </w:r>
          </w:p>
        </w:tc>
        <w:tc>
          <w:tcPr>
            <w:tcW w:w="492" w:type="dxa"/>
          </w:tcPr>
          <w:p>
            <w:pPr>
              <w:pStyle w:val="383"/>
              <w:spacing w:before="79"/>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5.57</w:t>
            </w:r>
          </w:p>
        </w:tc>
        <w:tc>
          <w:tcPr>
            <w:tcW w:w="490" w:type="dxa"/>
          </w:tcPr>
          <w:p>
            <w:pPr>
              <w:pStyle w:val="383"/>
              <w:spacing w:before="79"/>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2.45</w:t>
            </w:r>
          </w:p>
        </w:tc>
        <w:tc>
          <w:tcPr>
            <w:tcW w:w="492" w:type="dxa"/>
          </w:tcPr>
          <w:p>
            <w:pPr>
              <w:pStyle w:val="383"/>
              <w:spacing w:before="79"/>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2.49</w:t>
            </w:r>
          </w:p>
        </w:tc>
        <w:tc>
          <w:tcPr>
            <w:tcW w:w="490" w:type="dxa"/>
          </w:tcPr>
          <w:p>
            <w:pPr>
              <w:pStyle w:val="383"/>
              <w:spacing w:before="79"/>
              <w:ind w:left="36"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1.77</w:t>
            </w:r>
          </w:p>
        </w:tc>
        <w:tc>
          <w:tcPr>
            <w:tcW w:w="492" w:type="dxa"/>
          </w:tcPr>
          <w:p>
            <w:pPr>
              <w:pStyle w:val="383"/>
              <w:spacing w:before="79"/>
              <w:ind w:left="10" w:righ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4.44</w:t>
            </w:r>
          </w:p>
        </w:tc>
        <w:tc>
          <w:tcPr>
            <w:tcW w:w="492" w:type="dxa"/>
          </w:tcPr>
          <w:p>
            <w:pPr>
              <w:pStyle w:val="383"/>
              <w:spacing w:before="79"/>
              <w:ind w:right="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4.89</w:t>
            </w:r>
          </w:p>
        </w:tc>
        <w:tc>
          <w:tcPr>
            <w:tcW w:w="490" w:type="dxa"/>
          </w:tcPr>
          <w:p>
            <w:pPr>
              <w:pStyle w:val="383"/>
              <w:spacing w:before="79"/>
              <w:ind w:left="35"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7.07</w:t>
            </w:r>
          </w:p>
        </w:tc>
        <w:tc>
          <w:tcPr>
            <w:tcW w:w="498" w:type="dxa"/>
          </w:tcPr>
          <w:p>
            <w:pPr>
              <w:pStyle w:val="383"/>
              <w:spacing w:before="79"/>
              <w:ind w:left="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9.74</w:t>
            </w:r>
          </w:p>
        </w:tc>
        <w:tc>
          <w:tcPr>
            <w:tcW w:w="490" w:type="dxa"/>
          </w:tcPr>
          <w:p>
            <w:pPr>
              <w:pStyle w:val="383"/>
              <w:spacing w:before="79"/>
              <w:ind w:left="4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11.59</w:t>
            </w:r>
          </w:p>
        </w:tc>
        <w:tc>
          <w:tcPr>
            <w:tcW w:w="492" w:type="dxa"/>
          </w:tcPr>
          <w:p>
            <w:pPr>
              <w:pStyle w:val="383"/>
              <w:spacing w:before="79"/>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3.62</w:t>
            </w:r>
          </w:p>
        </w:tc>
        <w:tc>
          <w:tcPr>
            <w:tcW w:w="489" w:type="dxa"/>
            <w:tcBorders>
              <w:right w:val="single" w:color="000000" w:sz="12" w:space="0"/>
            </w:tcBorders>
          </w:tcPr>
          <w:p>
            <w:pPr>
              <w:pStyle w:val="383"/>
              <w:spacing w:before="79"/>
              <w:ind w:left="22" w:right="1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3" w:hRule="atLeast"/>
        </w:trPr>
        <w:tc>
          <w:tcPr>
            <w:tcW w:w="818" w:type="dxa"/>
            <w:tcBorders>
              <w:left w:val="single" w:color="000000" w:sz="12" w:space="0"/>
            </w:tcBorders>
          </w:tcPr>
          <w:p>
            <w:pPr>
              <w:pStyle w:val="383"/>
              <w:spacing w:before="121" w:line="213" w:lineRule="exact"/>
              <w:ind w:left="149" w:right="14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秋季</w:t>
            </w:r>
          </w:p>
        </w:tc>
        <w:tc>
          <w:tcPr>
            <w:tcW w:w="489" w:type="dxa"/>
          </w:tcPr>
          <w:p>
            <w:pPr>
              <w:pStyle w:val="383"/>
              <w:spacing w:before="78"/>
              <w:ind w:left="65" w:right="6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2.24</w:t>
            </w:r>
          </w:p>
        </w:tc>
        <w:tc>
          <w:tcPr>
            <w:tcW w:w="491" w:type="dxa"/>
          </w:tcPr>
          <w:p>
            <w:pPr>
              <w:pStyle w:val="383"/>
              <w:spacing w:before="78"/>
              <w:ind w:left="40"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1.92</w:t>
            </w:r>
          </w:p>
        </w:tc>
        <w:tc>
          <w:tcPr>
            <w:tcW w:w="490" w:type="dxa"/>
          </w:tcPr>
          <w:p>
            <w:pPr>
              <w:pStyle w:val="383"/>
              <w:spacing w:before="78"/>
              <w:ind w:left="8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4.58</w:t>
            </w:r>
          </w:p>
        </w:tc>
        <w:tc>
          <w:tcPr>
            <w:tcW w:w="492" w:type="dxa"/>
          </w:tcPr>
          <w:p>
            <w:pPr>
              <w:pStyle w:val="383"/>
              <w:spacing w:before="78"/>
              <w:ind w:left="9"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6.04</w:t>
            </w:r>
          </w:p>
        </w:tc>
        <w:tc>
          <w:tcPr>
            <w:tcW w:w="490" w:type="dxa"/>
          </w:tcPr>
          <w:p>
            <w:pPr>
              <w:pStyle w:val="383"/>
              <w:spacing w:before="78"/>
              <w:ind w:left="38"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7.69</w:t>
            </w:r>
          </w:p>
        </w:tc>
        <w:tc>
          <w:tcPr>
            <w:tcW w:w="492" w:type="dxa"/>
          </w:tcPr>
          <w:p>
            <w:pPr>
              <w:pStyle w:val="383"/>
              <w:spacing w:before="78"/>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7.37</w:t>
            </w:r>
          </w:p>
        </w:tc>
        <w:tc>
          <w:tcPr>
            <w:tcW w:w="492" w:type="dxa"/>
          </w:tcPr>
          <w:p>
            <w:pPr>
              <w:pStyle w:val="383"/>
              <w:spacing w:before="78"/>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5.95</w:t>
            </w:r>
          </w:p>
        </w:tc>
        <w:tc>
          <w:tcPr>
            <w:tcW w:w="490" w:type="dxa"/>
          </w:tcPr>
          <w:p>
            <w:pPr>
              <w:pStyle w:val="383"/>
              <w:spacing w:before="78"/>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2.43</w:t>
            </w:r>
          </w:p>
        </w:tc>
        <w:tc>
          <w:tcPr>
            <w:tcW w:w="492" w:type="dxa"/>
          </w:tcPr>
          <w:p>
            <w:pPr>
              <w:pStyle w:val="383"/>
              <w:spacing w:before="78"/>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2.70</w:t>
            </w:r>
          </w:p>
        </w:tc>
        <w:tc>
          <w:tcPr>
            <w:tcW w:w="490" w:type="dxa"/>
          </w:tcPr>
          <w:p>
            <w:pPr>
              <w:pStyle w:val="383"/>
              <w:spacing w:before="78"/>
              <w:ind w:left="36"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2.79</w:t>
            </w:r>
          </w:p>
        </w:tc>
        <w:tc>
          <w:tcPr>
            <w:tcW w:w="492" w:type="dxa"/>
          </w:tcPr>
          <w:p>
            <w:pPr>
              <w:pStyle w:val="383"/>
              <w:spacing w:before="78"/>
              <w:ind w:left="10" w:righ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3.57</w:t>
            </w:r>
          </w:p>
        </w:tc>
        <w:tc>
          <w:tcPr>
            <w:tcW w:w="492" w:type="dxa"/>
          </w:tcPr>
          <w:p>
            <w:pPr>
              <w:pStyle w:val="383"/>
              <w:spacing w:before="78"/>
              <w:ind w:right="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6.87</w:t>
            </w:r>
          </w:p>
        </w:tc>
        <w:tc>
          <w:tcPr>
            <w:tcW w:w="490" w:type="dxa"/>
          </w:tcPr>
          <w:p>
            <w:pPr>
              <w:pStyle w:val="383"/>
              <w:spacing w:before="78"/>
              <w:ind w:left="35"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8.15</w:t>
            </w:r>
          </w:p>
        </w:tc>
        <w:tc>
          <w:tcPr>
            <w:tcW w:w="498" w:type="dxa"/>
          </w:tcPr>
          <w:p>
            <w:pPr>
              <w:pStyle w:val="383"/>
              <w:spacing w:before="78"/>
              <w:ind w:left="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6.91</w:t>
            </w:r>
          </w:p>
        </w:tc>
        <w:tc>
          <w:tcPr>
            <w:tcW w:w="490" w:type="dxa"/>
          </w:tcPr>
          <w:p>
            <w:pPr>
              <w:pStyle w:val="383"/>
              <w:spacing w:before="78"/>
              <w:ind w:left="8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4.85</w:t>
            </w:r>
          </w:p>
        </w:tc>
        <w:tc>
          <w:tcPr>
            <w:tcW w:w="492" w:type="dxa"/>
          </w:tcPr>
          <w:p>
            <w:pPr>
              <w:pStyle w:val="383"/>
              <w:spacing w:before="78"/>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2.15</w:t>
            </w:r>
          </w:p>
        </w:tc>
        <w:tc>
          <w:tcPr>
            <w:tcW w:w="489" w:type="dxa"/>
            <w:tcBorders>
              <w:right w:val="single" w:color="000000" w:sz="12" w:space="0"/>
            </w:tcBorders>
          </w:tcPr>
          <w:p>
            <w:pPr>
              <w:pStyle w:val="383"/>
              <w:spacing w:before="78"/>
              <w:ind w:left="22" w:right="1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18" w:type="dxa"/>
            <w:tcBorders>
              <w:left w:val="single" w:color="000000" w:sz="12" w:space="0"/>
            </w:tcBorders>
          </w:tcPr>
          <w:p>
            <w:pPr>
              <w:pStyle w:val="383"/>
              <w:spacing w:before="120" w:line="214" w:lineRule="exact"/>
              <w:ind w:left="149" w:right="14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冬季</w:t>
            </w:r>
          </w:p>
        </w:tc>
        <w:tc>
          <w:tcPr>
            <w:tcW w:w="489" w:type="dxa"/>
          </w:tcPr>
          <w:p>
            <w:pPr>
              <w:pStyle w:val="383"/>
              <w:spacing w:before="79"/>
              <w:ind w:left="65" w:right="6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2.98</w:t>
            </w:r>
          </w:p>
        </w:tc>
        <w:tc>
          <w:tcPr>
            <w:tcW w:w="491" w:type="dxa"/>
          </w:tcPr>
          <w:p>
            <w:pPr>
              <w:pStyle w:val="383"/>
              <w:spacing w:before="79"/>
              <w:ind w:left="40"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3.85</w:t>
            </w:r>
          </w:p>
        </w:tc>
        <w:tc>
          <w:tcPr>
            <w:tcW w:w="490" w:type="dxa"/>
          </w:tcPr>
          <w:p>
            <w:pPr>
              <w:pStyle w:val="383"/>
              <w:spacing w:before="79"/>
              <w:ind w:left="8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9.20</w:t>
            </w:r>
          </w:p>
        </w:tc>
        <w:tc>
          <w:tcPr>
            <w:tcW w:w="492" w:type="dxa"/>
          </w:tcPr>
          <w:p>
            <w:pPr>
              <w:pStyle w:val="383"/>
              <w:spacing w:before="79"/>
              <w:ind w:left="9"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7.23</w:t>
            </w:r>
          </w:p>
        </w:tc>
        <w:tc>
          <w:tcPr>
            <w:tcW w:w="490" w:type="dxa"/>
          </w:tcPr>
          <w:p>
            <w:pPr>
              <w:pStyle w:val="383"/>
              <w:spacing w:before="79"/>
              <w:ind w:left="38"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8.33</w:t>
            </w:r>
          </w:p>
        </w:tc>
        <w:tc>
          <w:tcPr>
            <w:tcW w:w="492" w:type="dxa"/>
          </w:tcPr>
          <w:p>
            <w:pPr>
              <w:pStyle w:val="383"/>
              <w:spacing w:before="79"/>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10.99</w:t>
            </w:r>
          </w:p>
        </w:tc>
        <w:tc>
          <w:tcPr>
            <w:tcW w:w="492" w:type="dxa"/>
          </w:tcPr>
          <w:p>
            <w:pPr>
              <w:pStyle w:val="383"/>
              <w:spacing w:before="79"/>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6.87</w:t>
            </w:r>
          </w:p>
        </w:tc>
        <w:tc>
          <w:tcPr>
            <w:tcW w:w="490" w:type="dxa"/>
          </w:tcPr>
          <w:p>
            <w:pPr>
              <w:pStyle w:val="383"/>
              <w:spacing w:before="79"/>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3.30</w:t>
            </w:r>
          </w:p>
        </w:tc>
        <w:tc>
          <w:tcPr>
            <w:tcW w:w="492" w:type="dxa"/>
          </w:tcPr>
          <w:p>
            <w:pPr>
              <w:pStyle w:val="383"/>
              <w:spacing w:before="79"/>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4.44</w:t>
            </w:r>
          </w:p>
        </w:tc>
        <w:tc>
          <w:tcPr>
            <w:tcW w:w="490" w:type="dxa"/>
          </w:tcPr>
          <w:p>
            <w:pPr>
              <w:pStyle w:val="383"/>
              <w:spacing w:before="79"/>
              <w:ind w:left="39" w:right="3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3.11</w:t>
            </w:r>
          </w:p>
        </w:tc>
        <w:tc>
          <w:tcPr>
            <w:tcW w:w="492" w:type="dxa"/>
          </w:tcPr>
          <w:p>
            <w:pPr>
              <w:pStyle w:val="383"/>
              <w:spacing w:before="79"/>
              <w:ind w:left="10" w:righ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3.21</w:t>
            </w:r>
          </w:p>
        </w:tc>
        <w:tc>
          <w:tcPr>
            <w:tcW w:w="492" w:type="dxa"/>
          </w:tcPr>
          <w:p>
            <w:pPr>
              <w:pStyle w:val="383"/>
              <w:spacing w:before="79"/>
              <w:ind w:right="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4.35</w:t>
            </w:r>
          </w:p>
        </w:tc>
        <w:tc>
          <w:tcPr>
            <w:tcW w:w="490" w:type="dxa"/>
          </w:tcPr>
          <w:p>
            <w:pPr>
              <w:pStyle w:val="383"/>
              <w:spacing w:before="79"/>
              <w:ind w:left="35"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7.19</w:t>
            </w:r>
          </w:p>
        </w:tc>
        <w:tc>
          <w:tcPr>
            <w:tcW w:w="498" w:type="dxa"/>
          </w:tcPr>
          <w:p>
            <w:pPr>
              <w:pStyle w:val="383"/>
              <w:spacing w:before="79"/>
              <w:ind w:left="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5.17</w:t>
            </w:r>
          </w:p>
        </w:tc>
        <w:tc>
          <w:tcPr>
            <w:tcW w:w="490" w:type="dxa"/>
          </w:tcPr>
          <w:p>
            <w:pPr>
              <w:pStyle w:val="383"/>
              <w:spacing w:before="79"/>
              <w:ind w:left="8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2.52</w:t>
            </w:r>
          </w:p>
        </w:tc>
        <w:tc>
          <w:tcPr>
            <w:tcW w:w="492" w:type="dxa"/>
          </w:tcPr>
          <w:p>
            <w:pPr>
              <w:pStyle w:val="383"/>
              <w:spacing w:before="79"/>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1.42</w:t>
            </w:r>
          </w:p>
        </w:tc>
        <w:tc>
          <w:tcPr>
            <w:tcW w:w="489" w:type="dxa"/>
            <w:tcBorders>
              <w:right w:val="single" w:color="000000" w:sz="12" w:space="0"/>
            </w:tcBorders>
          </w:tcPr>
          <w:p>
            <w:pPr>
              <w:pStyle w:val="383"/>
              <w:spacing w:before="79"/>
              <w:ind w:left="22" w:right="1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15.84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818" w:type="dxa"/>
            <w:tcBorders>
              <w:left w:val="single" w:color="000000" w:sz="12" w:space="0"/>
              <w:bottom w:val="single" w:color="000000" w:sz="12" w:space="0"/>
            </w:tcBorders>
          </w:tcPr>
          <w:p>
            <w:pPr>
              <w:pStyle w:val="383"/>
              <w:spacing w:before="121" w:line="213" w:lineRule="exact"/>
              <w:ind w:left="149" w:right="14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全年</w:t>
            </w:r>
          </w:p>
        </w:tc>
        <w:tc>
          <w:tcPr>
            <w:tcW w:w="489" w:type="dxa"/>
            <w:tcBorders>
              <w:bottom w:val="single" w:color="000000" w:sz="12" w:space="0"/>
            </w:tcBorders>
          </w:tcPr>
          <w:p>
            <w:pPr>
              <w:pStyle w:val="383"/>
              <w:spacing w:before="80"/>
              <w:ind w:left="65" w:right="6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2.73</w:t>
            </w:r>
          </w:p>
        </w:tc>
        <w:tc>
          <w:tcPr>
            <w:tcW w:w="491" w:type="dxa"/>
            <w:tcBorders>
              <w:bottom w:val="single" w:color="000000" w:sz="12" w:space="0"/>
            </w:tcBorders>
          </w:tcPr>
          <w:p>
            <w:pPr>
              <w:pStyle w:val="383"/>
              <w:spacing w:before="80"/>
              <w:ind w:left="40"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2.69</w:t>
            </w:r>
          </w:p>
        </w:tc>
        <w:tc>
          <w:tcPr>
            <w:tcW w:w="490" w:type="dxa"/>
            <w:tcBorders>
              <w:bottom w:val="single" w:color="000000" w:sz="12" w:space="0"/>
            </w:tcBorders>
          </w:tcPr>
          <w:p>
            <w:pPr>
              <w:pStyle w:val="383"/>
              <w:spacing w:before="80"/>
              <w:ind w:left="8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5.67</w:t>
            </w:r>
          </w:p>
        </w:tc>
        <w:tc>
          <w:tcPr>
            <w:tcW w:w="492" w:type="dxa"/>
            <w:tcBorders>
              <w:bottom w:val="single" w:color="000000" w:sz="12" w:space="0"/>
            </w:tcBorders>
          </w:tcPr>
          <w:p>
            <w:pPr>
              <w:pStyle w:val="383"/>
              <w:spacing w:before="80"/>
              <w:ind w:left="9" w:right="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5.94</w:t>
            </w:r>
          </w:p>
        </w:tc>
        <w:tc>
          <w:tcPr>
            <w:tcW w:w="490" w:type="dxa"/>
            <w:tcBorders>
              <w:bottom w:val="single" w:color="000000" w:sz="12" w:space="0"/>
            </w:tcBorders>
          </w:tcPr>
          <w:p>
            <w:pPr>
              <w:pStyle w:val="383"/>
              <w:spacing w:before="80"/>
              <w:ind w:left="38"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8.20</w:t>
            </w:r>
          </w:p>
        </w:tc>
        <w:tc>
          <w:tcPr>
            <w:tcW w:w="492" w:type="dxa"/>
            <w:tcBorders>
              <w:bottom w:val="single" w:color="000000" w:sz="12" w:space="0"/>
            </w:tcBorders>
          </w:tcPr>
          <w:p>
            <w:pPr>
              <w:pStyle w:val="383"/>
              <w:spacing w:before="80"/>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10.74</w:t>
            </w:r>
          </w:p>
        </w:tc>
        <w:tc>
          <w:tcPr>
            <w:tcW w:w="492" w:type="dxa"/>
            <w:tcBorders>
              <w:bottom w:val="single" w:color="000000" w:sz="12" w:space="0"/>
            </w:tcBorders>
          </w:tcPr>
          <w:p>
            <w:pPr>
              <w:pStyle w:val="383"/>
              <w:spacing w:before="80"/>
              <w:ind w:left="10" w:righ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6.77</w:t>
            </w:r>
          </w:p>
        </w:tc>
        <w:tc>
          <w:tcPr>
            <w:tcW w:w="490" w:type="dxa"/>
            <w:tcBorders>
              <w:bottom w:val="single" w:color="000000" w:sz="12" w:space="0"/>
            </w:tcBorders>
          </w:tcPr>
          <w:p>
            <w:pPr>
              <w:pStyle w:val="383"/>
              <w:spacing w:before="80"/>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2.91</w:t>
            </w:r>
          </w:p>
        </w:tc>
        <w:tc>
          <w:tcPr>
            <w:tcW w:w="492" w:type="dxa"/>
            <w:tcBorders>
              <w:bottom w:val="single" w:color="000000" w:sz="12" w:space="0"/>
            </w:tcBorders>
          </w:tcPr>
          <w:p>
            <w:pPr>
              <w:pStyle w:val="383"/>
              <w:spacing w:before="80"/>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3.04</w:t>
            </w:r>
          </w:p>
        </w:tc>
        <w:tc>
          <w:tcPr>
            <w:tcW w:w="490" w:type="dxa"/>
            <w:tcBorders>
              <w:bottom w:val="single" w:color="000000" w:sz="12" w:space="0"/>
            </w:tcBorders>
          </w:tcPr>
          <w:p>
            <w:pPr>
              <w:pStyle w:val="383"/>
              <w:spacing w:before="80"/>
              <w:ind w:left="36"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2.49</w:t>
            </w:r>
          </w:p>
        </w:tc>
        <w:tc>
          <w:tcPr>
            <w:tcW w:w="492" w:type="dxa"/>
            <w:tcBorders>
              <w:bottom w:val="single" w:color="000000" w:sz="12" w:space="0"/>
            </w:tcBorders>
          </w:tcPr>
          <w:p>
            <w:pPr>
              <w:pStyle w:val="383"/>
              <w:spacing w:before="80"/>
              <w:ind w:left="10" w:righ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3.73</w:t>
            </w:r>
          </w:p>
        </w:tc>
        <w:tc>
          <w:tcPr>
            <w:tcW w:w="492" w:type="dxa"/>
            <w:tcBorders>
              <w:bottom w:val="single" w:color="000000" w:sz="12" w:space="0"/>
            </w:tcBorders>
          </w:tcPr>
          <w:p>
            <w:pPr>
              <w:pStyle w:val="383"/>
              <w:spacing w:before="80"/>
              <w:ind w:right="8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5.38</w:t>
            </w:r>
          </w:p>
        </w:tc>
        <w:tc>
          <w:tcPr>
            <w:tcW w:w="490" w:type="dxa"/>
            <w:tcBorders>
              <w:bottom w:val="single" w:color="000000" w:sz="12" w:space="0"/>
            </w:tcBorders>
          </w:tcPr>
          <w:p>
            <w:pPr>
              <w:pStyle w:val="383"/>
              <w:spacing w:before="80"/>
              <w:ind w:left="35"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7.32</w:t>
            </w:r>
          </w:p>
        </w:tc>
        <w:tc>
          <w:tcPr>
            <w:tcW w:w="498" w:type="dxa"/>
            <w:tcBorders>
              <w:bottom w:val="single" w:color="000000" w:sz="12" w:space="0"/>
            </w:tcBorders>
          </w:tcPr>
          <w:p>
            <w:pPr>
              <w:pStyle w:val="383"/>
              <w:spacing w:before="80"/>
              <w:ind w:left="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7.64</w:t>
            </w:r>
          </w:p>
        </w:tc>
        <w:tc>
          <w:tcPr>
            <w:tcW w:w="490" w:type="dxa"/>
            <w:tcBorders>
              <w:bottom w:val="single" w:color="000000" w:sz="12" w:space="0"/>
            </w:tcBorders>
          </w:tcPr>
          <w:p>
            <w:pPr>
              <w:pStyle w:val="383"/>
              <w:spacing w:before="80"/>
              <w:ind w:left="8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7.21</w:t>
            </w:r>
          </w:p>
        </w:tc>
        <w:tc>
          <w:tcPr>
            <w:tcW w:w="492" w:type="dxa"/>
            <w:tcBorders>
              <w:bottom w:val="single" w:color="000000" w:sz="12" w:space="0"/>
            </w:tcBorders>
          </w:tcPr>
          <w:p>
            <w:pPr>
              <w:pStyle w:val="383"/>
              <w:spacing w:before="80"/>
              <w:ind w:left="10" w:righ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2.86</w:t>
            </w:r>
          </w:p>
        </w:tc>
        <w:tc>
          <w:tcPr>
            <w:tcW w:w="489" w:type="dxa"/>
            <w:tcBorders>
              <w:bottom w:val="single" w:color="000000" w:sz="12" w:space="0"/>
              <w:right w:val="single" w:color="000000" w:sz="12" w:space="0"/>
            </w:tcBorders>
          </w:tcPr>
          <w:p>
            <w:pPr>
              <w:pStyle w:val="383"/>
              <w:spacing w:before="80"/>
              <w:ind w:left="22" w:right="1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14.67</w:t>
            </w:r>
          </w:p>
        </w:tc>
      </w:tr>
    </w:tbl>
    <w:p>
      <w:pPr>
        <w:tabs>
          <w:tab w:val="left" w:pos="1085"/>
        </w:tabs>
        <w:spacing w:after="47"/>
        <w:ind w:left="17"/>
        <w:jc w:val="center"/>
        <w:rPr>
          <w:rFonts w:ascii="Times New Roman" w:hAnsi="Times New Roman" w:eastAsia="新宋体"/>
          <w:b/>
          <w:color w:val="000000" w:themeColor="text1"/>
          <w:sz w:val="24"/>
          <w:szCs w:val="24"/>
          <w14:textFill>
            <w14:solidFill>
              <w14:schemeClr w14:val="tx1"/>
            </w14:solidFill>
          </w14:textFill>
        </w:rPr>
      </w:pPr>
      <w:r>
        <w:rPr>
          <w:rFonts w:ascii="Times New Roman" w:hAnsi="Times New Roman" w:eastAsia="新宋体"/>
          <w:b/>
          <w:color w:val="000000" w:themeColor="text1"/>
          <w:sz w:val="24"/>
          <w:szCs w:val="24"/>
          <w14:textFill>
            <w14:solidFill>
              <w14:schemeClr w14:val="tx1"/>
            </w14:solidFill>
          </w14:textFill>
        </w:rPr>
        <w:t>表</w:t>
      </w:r>
      <w:r>
        <w:rPr>
          <w:rFonts w:hint="eastAsia" w:ascii="Times New Roman" w:hAnsi="Times New Roman" w:eastAsia="新宋体"/>
          <w:b/>
          <w:color w:val="000000" w:themeColor="text1"/>
          <w:sz w:val="24"/>
          <w:szCs w:val="24"/>
          <w:lang w:val="en-US" w:eastAsia="zh-CN"/>
          <w14:textFill>
            <w14:solidFill>
              <w14:schemeClr w14:val="tx1"/>
            </w14:solidFill>
          </w14:textFill>
        </w:rPr>
        <w:t>6</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eastAsia="Times New Roman"/>
          <w:b/>
          <w:color w:val="000000" w:themeColor="text1"/>
          <w:sz w:val="24"/>
          <w:szCs w:val="24"/>
          <w14:textFill>
            <w14:solidFill>
              <w14:schemeClr w14:val="tx1"/>
            </w14:solidFill>
          </w14:textFill>
        </w:rPr>
        <w:t>-5</w:t>
      </w:r>
      <w:r>
        <w:rPr>
          <w:rFonts w:ascii="Times New Roman" w:hAnsi="Times New Roman" w:eastAsia="Times New Roman"/>
          <w:b/>
          <w:color w:val="000000" w:themeColor="text1"/>
          <w:sz w:val="24"/>
          <w:szCs w:val="24"/>
          <w14:textFill>
            <w14:solidFill>
              <w14:schemeClr w14:val="tx1"/>
            </w14:solidFill>
          </w14:textFill>
        </w:rPr>
        <w:tab/>
      </w:r>
      <w:r>
        <w:rPr>
          <w:rFonts w:ascii="Times New Roman" w:hAnsi="Times New Roman" w:eastAsia="新宋体"/>
          <w:b/>
          <w:color w:val="000000" w:themeColor="text1"/>
          <w:sz w:val="24"/>
          <w:szCs w:val="24"/>
          <w14:textFill>
            <w14:solidFill>
              <w14:schemeClr w14:val="tx1"/>
            </w14:solidFill>
          </w14:textFill>
        </w:rPr>
        <w:t>年均风频的月变化情况</w:t>
      </w:r>
    </w:p>
    <w:tbl>
      <w:tblPr>
        <w:tblStyle w:val="87"/>
        <w:tblW w:w="9047" w:type="dxa"/>
        <w:tblInd w:w="24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403"/>
        <w:gridCol w:w="469"/>
        <w:gridCol w:w="510"/>
        <w:gridCol w:w="510"/>
        <w:gridCol w:w="510"/>
        <w:gridCol w:w="510"/>
        <w:gridCol w:w="503"/>
        <w:gridCol w:w="403"/>
        <w:gridCol w:w="403"/>
        <w:gridCol w:w="469"/>
        <w:gridCol w:w="403"/>
        <w:gridCol w:w="553"/>
        <w:gridCol w:w="433"/>
        <w:gridCol w:w="590"/>
        <w:gridCol w:w="434"/>
        <w:gridCol w:w="520"/>
        <w:gridCol w:w="50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924" w:type="dxa"/>
            <w:tcBorders>
              <w:tl2br w:val="nil"/>
              <w:tr2bl w:val="nil"/>
            </w:tcBorders>
          </w:tcPr>
          <w:p>
            <w:pPr>
              <w:pStyle w:val="383"/>
              <w:spacing w:before="14" w:line="230" w:lineRule="atLeast"/>
              <w:ind w:left="316" w:right="108" w:hanging="135"/>
              <w:jc w:val="left"/>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风频</w:t>
            </w:r>
            <w:r>
              <w:rPr>
                <w:color w:val="000000" w:themeColor="text1"/>
                <w:sz w:val="18"/>
                <w14:textFill>
                  <w14:solidFill>
                    <w14:schemeClr w14:val="tx1"/>
                  </w14:solidFill>
                </w14:textFill>
              </w:rPr>
              <w:t xml:space="preserve">(%) </w:t>
            </w:r>
            <w:r>
              <w:rPr>
                <w:rFonts w:hint="eastAsia" w:ascii="宋体"/>
                <w:color w:val="000000" w:themeColor="text1"/>
                <w:sz w:val="18"/>
                <w14:textFill>
                  <w14:solidFill>
                    <w14:schemeClr w14:val="tx1"/>
                  </w14:solidFill>
                </w14:textFill>
              </w:rPr>
              <w:t>风向</w:t>
            </w:r>
          </w:p>
        </w:tc>
        <w:tc>
          <w:tcPr>
            <w:tcW w:w="403" w:type="dxa"/>
            <w:tcBorders>
              <w:tl2br w:val="nil"/>
              <w:tr2bl w:val="nil"/>
            </w:tcBorders>
          </w:tcPr>
          <w:p>
            <w:pPr>
              <w:pStyle w:val="383"/>
              <w:spacing w:before="141"/>
              <w:ind w:lef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w:t>
            </w:r>
          </w:p>
        </w:tc>
        <w:tc>
          <w:tcPr>
            <w:tcW w:w="469" w:type="dxa"/>
            <w:tcBorders>
              <w:tl2br w:val="nil"/>
              <w:tr2bl w:val="nil"/>
            </w:tcBorders>
          </w:tcPr>
          <w:p>
            <w:pPr>
              <w:pStyle w:val="383"/>
              <w:spacing w:before="141"/>
              <w:ind w:left="4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NNE</w:t>
            </w:r>
          </w:p>
        </w:tc>
        <w:tc>
          <w:tcPr>
            <w:tcW w:w="510" w:type="dxa"/>
            <w:tcBorders>
              <w:tl2br w:val="nil"/>
              <w:tr2bl w:val="nil"/>
            </w:tcBorders>
          </w:tcPr>
          <w:p>
            <w:pPr>
              <w:pStyle w:val="383"/>
              <w:spacing w:before="141"/>
              <w:ind w:left="32"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NE</w:t>
            </w:r>
          </w:p>
        </w:tc>
        <w:tc>
          <w:tcPr>
            <w:tcW w:w="510" w:type="dxa"/>
            <w:tcBorders>
              <w:tl2br w:val="nil"/>
              <w:tr2bl w:val="nil"/>
            </w:tcBorders>
          </w:tcPr>
          <w:p>
            <w:pPr>
              <w:pStyle w:val="383"/>
              <w:spacing w:before="141"/>
              <w:ind w:left="32" w:right="2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ENE</w:t>
            </w:r>
          </w:p>
        </w:tc>
        <w:tc>
          <w:tcPr>
            <w:tcW w:w="510" w:type="dxa"/>
            <w:tcBorders>
              <w:tl2br w:val="nil"/>
              <w:tr2bl w:val="nil"/>
            </w:tcBorders>
          </w:tcPr>
          <w:p>
            <w:pPr>
              <w:pStyle w:val="383"/>
              <w:spacing w:before="141"/>
              <w:ind w:left="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E</w:t>
            </w:r>
          </w:p>
        </w:tc>
        <w:tc>
          <w:tcPr>
            <w:tcW w:w="510" w:type="dxa"/>
            <w:tcBorders>
              <w:tl2br w:val="nil"/>
              <w:tr2bl w:val="nil"/>
            </w:tcBorders>
          </w:tcPr>
          <w:p>
            <w:pPr>
              <w:pStyle w:val="383"/>
              <w:spacing w:before="141"/>
              <w:ind w:left="9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ESE</w:t>
            </w:r>
          </w:p>
        </w:tc>
        <w:tc>
          <w:tcPr>
            <w:tcW w:w="503" w:type="dxa"/>
            <w:tcBorders>
              <w:tl2br w:val="nil"/>
              <w:tr2bl w:val="nil"/>
            </w:tcBorders>
          </w:tcPr>
          <w:p>
            <w:pPr>
              <w:pStyle w:val="383"/>
              <w:spacing w:before="141"/>
              <w:ind w:left="28" w:right="2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SE</w:t>
            </w:r>
          </w:p>
        </w:tc>
        <w:tc>
          <w:tcPr>
            <w:tcW w:w="403" w:type="dxa"/>
            <w:tcBorders>
              <w:tl2br w:val="nil"/>
              <w:tr2bl w:val="nil"/>
            </w:tcBorders>
          </w:tcPr>
          <w:p>
            <w:pPr>
              <w:pStyle w:val="383"/>
              <w:spacing w:before="141"/>
              <w:ind w:right="3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SSE</w:t>
            </w:r>
          </w:p>
        </w:tc>
        <w:tc>
          <w:tcPr>
            <w:tcW w:w="403" w:type="dxa"/>
            <w:tcBorders>
              <w:tl2br w:val="nil"/>
              <w:tr2bl w:val="nil"/>
            </w:tcBorders>
          </w:tcPr>
          <w:p>
            <w:pPr>
              <w:pStyle w:val="383"/>
              <w:spacing w:before="141"/>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t>
            </w:r>
          </w:p>
        </w:tc>
        <w:tc>
          <w:tcPr>
            <w:tcW w:w="469" w:type="dxa"/>
            <w:tcBorders>
              <w:tl2br w:val="nil"/>
              <w:tr2bl w:val="nil"/>
            </w:tcBorders>
          </w:tcPr>
          <w:p>
            <w:pPr>
              <w:pStyle w:val="383"/>
              <w:spacing w:before="141"/>
              <w:ind w:left="30"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SSW</w:t>
            </w:r>
          </w:p>
        </w:tc>
        <w:tc>
          <w:tcPr>
            <w:tcW w:w="403" w:type="dxa"/>
            <w:tcBorders>
              <w:tl2br w:val="nil"/>
              <w:tr2bl w:val="nil"/>
            </w:tcBorders>
          </w:tcPr>
          <w:p>
            <w:pPr>
              <w:pStyle w:val="383"/>
              <w:spacing w:before="141"/>
              <w:ind w:left="22"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SW</w:t>
            </w:r>
          </w:p>
        </w:tc>
        <w:tc>
          <w:tcPr>
            <w:tcW w:w="553" w:type="dxa"/>
            <w:tcBorders>
              <w:tl2br w:val="nil"/>
              <w:tr2bl w:val="nil"/>
            </w:tcBorders>
          </w:tcPr>
          <w:p>
            <w:pPr>
              <w:pStyle w:val="383"/>
              <w:spacing w:before="141"/>
              <w:ind w:left="36" w:right="3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WSW</w:t>
            </w:r>
          </w:p>
        </w:tc>
        <w:tc>
          <w:tcPr>
            <w:tcW w:w="433" w:type="dxa"/>
            <w:tcBorders>
              <w:tl2br w:val="nil"/>
              <w:tr2bl w:val="nil"/>
            </w:tcBorders>
          </w:tcPr>
          <w:p>
            <w:pPr>
              <w:pStyle w:val="383"/>
              <w:spacing w:before="141"/>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w:t>
            </w:r>
          </w:p>
        </w:tc>
        <w:tc>
          <w:tcPr>
            <w:tcW w:w="590" w:type="dxa"/>
            <w:tcBorders>
              <w:tl2br w:val="nil"/>
              <w:tr2bl w:val="nil"/>
            </w:tcBorders>
          </w:tcPr>
          <w:p>
            <w:pPr>
              <w:pStyle w:val="383"/>
              <w:spacing w:before="141"/>
              <w:ind w:left="40"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WNW</w:t>
            </w:r>
          </w:p>
        </w:tc>
        <w:tc>
          <w:tcPr>
            <w:tcW w:w="434" w:type="dxa"/>
            <w:tcBorders>
              <w:tl2br w:val="nil"/>
              <w:tr2bl w:val="nil"/>
            </w:tcBorders>
          </w:tcPr>
          <w:p>
            <w:pPr>
              <w:pStyle w:val="383"/>
              <w:spacing w:before="141"/>
              <w:ind w:left="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NW</w:t>
            </w:r>
          </w:p>
        </w:tc>
        <w:tc>
          <w:tcPr>
            <w:tcW w:w="520" w:type="dxa"/>
            <w:tcBorders>
              <w:tl2br w:val="nil"/>
              <w:tr2bl w:val="nil"/>
            </w:tcBorders>
          </w:tcPr>
          <w:p>
            <w:pPr>
              <w:pStyle w:val="383"/>
              <w:spacing w:before="141"/>
              <w:ind w:left="25"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NNW</w:t>
            </w:r>
          </w:p>
        </w:tc>
        <w:tc>
          <w:tcPr>
            <w:tcW w:w="500" w:type="dxa"/>
            <w:tcBorders>
              <w:tl2br w:val="nil"/>
              <w:tr2bl w:val="nil"/>
            </w:tcBorders>
          </w:tcPr>
          <w:p>
            <w:pPr>
              <w:pStyle w:val="383"/>
              <w:spacing w:before="141"/>
              <w:ind w:left="15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C</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4" w:type="dxa"/>
            <w:tcBorders>
              <w:tl2br w:val="nil"/>
              <w:tr2bl w:val="nil"/>
            </w:tcBorders>
          </w:tcPr>
          <w:p>
            <w:pPr>
              <w:pStyle w:val="383"/>
              <w:spacing w:before="68"/>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一月</w:t>
            </w:r>
          </w:p>
        </w:tc>
        <w:tc>
          <w:tcPr>
            <w:tcW w:w="403" w:type="dxa"/>
            <w:tcBorders>
              <w:tl2br w:val="nil"/>
              <w:tr2bl w:val="nil"/>
            </w:tcBorders>
          </w:tcPr>
          <w:p>
            <w:pPr>
              <w:pStyle w:val="383"/>
              <w:spacing w:before="78"/>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6.45</w:t>
            </w:r>
          </w:p>
        </w:tc>
        <w:tc>
          <w:tcPr>
            <w:tcW w:w="469" w:type="dxa"/>
            <w:tcBorders>
              <w:tl2br w:val="nil"/>
              <w:tr2bl w:val="nil"/>
            </w:tcBorders>
          </w:tcPr>
          <w:p>
            <w:pPr>
              <w:pStyle w:val="383"/>
              <w:spacing w:before="78"/>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6.18</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15.46</w:t>
            </w:r>
          </w:p>
        </w:tc>
        <w:tc>
          <w:tcPr>
            <w:tcW w:w="510" w:type="dxa"/>
            <w:tcBorders>
              <w:tl2br w:val="nil"/>
              <w:tr2bl w:val="nil"/>
            </w:tcBorders>
          </w:tcPr>
          <w:p>
            <w:pPr>
              <w:pStyle w:val="383"/>
              <w:spacing w:before="78"/>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8.33</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6.18</w:t>
            </w:r>
          </w:p>
        </w:tc>
        <w:tc>
          <w:tcPr>
            <w:tcW w:w="510" w:type="dxa"/>
            <w:tcBorders>
              <w:tl2br w:val="nil"/>
              <w:tr2bl w:val="nil"/>
            </w:tcBorders>
          </w:tcPr>
          <w:p>
            <w:pPr>
              <w:pStyle w:val="383"/>
              <w:spacing w:before="78"/>
              <w:ind w:left="9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9.81</w:t>
            </w:r>
          </w:p>
        </w:tc>
        <w:tc>
          <w:tcPr>
            <w:tcW w:w="503" w:type="dxa"/>
            <w:tcBorders>
              <w:tl2br w:val="nil"/>
              <w:tr2bl w:val="nil"/>
            </w:tcBorders>
          </w:tcPr>
          <w:p>
            <w:pPr>
              <w:pStyle w:val="383"/>
              <w:spacing w:before="78"/>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6.59</w:t>
            </w:r>
          </w:p>
        </w:tc>
        <w:tc>
          <w:tcPr>
            <w:tcW w:w="403" w:type="dxa"/>
            <w:tcBorders>
              <w:tl2br w:val="nil"/>
              <w:tr2bl w:val="nil"/>
            </w:tcBorders>
          </w:tcPr>
          <w:p>
            <w:pPr>
              <w:pStyle w:val="383"/>
              <w:spacing w:before="78"/>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4.17</w:t>
            </w:r>
          </w:p>
        </w:tc>
        <w:tc>
          <w:tcPr>
            <w:tcW w:w="403" w:type="dxa"/>
            <w:tcBorders>
              <w:tl2br w:val="nil"/>
              <w:tr2bl w:val="nil"/>
            </w:tcBorders>
          </w:tcPr>
          <w:p>
            <w:pPr>
              <w:pStyle w:val="383"/>
              <w:spacing w:before="78"/>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4.97</w:t>
            </w:r>
          </w:p>
        </w:tc>
        <w:tc>
          <w:tcPr>
            <w:tcW w:w="469" w:type="dxa"/>
            <w:tcBorders>
              <w:tl2br w:val="nil"/>
              <w:tr2bl w:val="nil"/>
            </w:tcBorders>
          </w:tcPr>
          <w:p>
            <w:pPr>
              <w:pStyle w:val="383"/>
              <w:spacing w:before="78"/>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3.36</w:t>
            </w:r>
          </w:p>
        </w:tc>
        <w:tc>
          <w:tcPr>
            <w:tcW w:w="403" w:type="dxa"/>
            <w:tcBorders>
              <w:tl2br w:val="nil"/>
              <w:tr2bl w:val="nil"/>
            </w:tcBorders>
          </w:tcPr>
          <w:p>
            <w:pPr>
              <w:pStyle w:val="383"/>
              <w:spacing w:before="78"/>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3.36</w:t>
            </w:r>
          </w:p>
        </w:tc>
        <w:tc>
          <w:tcPr>
            <w:tcW w:w="553" w:type="dxa"/>
            <w:tcBorders>
              <w:tl2br w:val="nil"/>
              <w:tr2bl w:val="nil"/>
            </w:tcBorders>
          </w:tcPr>
          <w:p>
            <w:pPr>
              <w:pStyle w:val="383"/>
              <w:spacing w:before="78"/>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2.96</w:t>
            </w:r>
          </w:p>
        </w:tc>
        <w:tc>
          <w:tcPr>
            <w:tcW w:w="433" w:type="dxa"/>
            <w:tcBorders>
              <w:tl2br w:val="nil"/>
              <w:tr2bl w:val="nil"/>
            </w:tcBorders>
          </w:tcPr>
          <w:p>
            <w:pPr>
              <w:pStyle w:val="383"/>
              <w:spacing w:before="78"/>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4.57</w:t>
            </w:r>
          </w:p>
        </w:tc>
        <w:tc>
          <w:tcPr>
            <w:tcW w:w="590" w:type="dxa"/>
            <w:tcBorders>
              <w:tl2br w:val="nil"/>
              <w:tr2bl w:val="nil"/>
            </w:tcBorders>
          </w:tcPr>
          <w:p>
            <w:pPr>
              <w:pStyle w:val="383"/>
              <w:spacing w:before="78"/>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3.49</w:t>
            </w:r>
          </w:p>
        </w:tc>
        <w:tc>
          <w:tcPr>
            <w:tcW w:w="434" w:type="dxa"/>
            <w:tcBorders>
              <w:tl2br w:val="nil"/>
              <w:tr2bl w:val="nil"/>
            </w:tcBorders>
          </w:tcPr>
          <w:p>
            <w:pPr>
              <w:pStyle w:val="383"/>
              <w:spacing w:before="78"/>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1.61</w:t>
            </w:r>
          </w:p>
        </w:tc>
        <w:tc>
          <w:tcPr>
            <w:tcW w:w="520" w:type="dxa"/>
            <w:tcBorders>
              <w:tl2br w:val="nil"/>
              <w:tr2bl w:val="nil"/>
            </w:tcBorders>
          </w:tcPr>
          <w:p>
            <w:pPr>
              <w:pStyle w:val="383"/>
              <w:spacing w:before="78"/>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1.21</w:t>
            </w:r>
          </w:p>
        </w:tc>
        <w:tc>
          <w:tcPr>
            <w:tcW w:w="500" w:type="dxa"/>
            <w:tcBorders>
              <w:tl2br w:val="nil"/>
              <w:tr2bl w:val="nil"/>
            </w:tcBorders>
          </w:tcPr>
          <w:p>
            <w:pPr>
              <w:pStyle w:val="383"/>
              <w:spacing w:before="78"/>
              <w:ind w:lef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11.29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24" w:type="dxa"/>
            <w:tcBorders>
              <w:tl2br w:val="nil"/>
              <w:tr2bl w:val="nil"/>
            </w:tcBorders>
          </w:tcPr>
          <w:p>
            <w:pPr>
              <w:pStyle w:val="383"/>
              <w:spacing w:before="67"/>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二月</w:t>
            </w:r>
          </w:p>
        </w:tc>
        <w:tc>
          <w:tcPr>
            <w:tcW w:w="403" w:type="dxa"/>
            <w:tcBorders>
              <w:tl2br w:val="nil"/>
              <w:tr2bl w:val="nil"/>
            </w:tcBorders>
          </w:tcPr>
          <w:p>
            <w:pPr>
              <w:pStyle w:val="383"/>
              <w:spacing w:before="79"/>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1.01</w:t>
            </w:r>
          </w:p>
        </w:tc>
        <w:tc>
          <w:tcPr>
            <w:tcW w:w="469" w:type="dxa"/>
            <w:tcBorders>
              <w:tl2br w:val="nil"/>
              <w:tr2bl w:val="nil"/>
            </w:tcBorders>
          </w:tcPr>
          <w:p>
            <w:pPr>
              <w:pStyle w:val="383"/>
              <w:spacing w:before="79"/>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2.01</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3.74</w:t>
            </w:r>
          </w:p>
        </w:tc>
        <w:tc>
          <w:tcPr>
            <w:tcW w:w="510" w:type="dxa"/>
            <w:tcBorders>
              <w:tl2br w:val="nil"/>
              <w:tr2bl w:val="nil"/>
            </w:tcBorders>
          </w:tcPr>
          <w:p>
            <w:pPr>
              <w:pStyle w:val="383"/>
              <w:spacing w:before="79"/>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7.33</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8.62</w:t>
            </w:r>
          </w:p>
        </w:tc>
        <w:tc>
          <w:tcPr>
            <w:tcW w:w="510" w:type="dxa"/>
            <w:tcBorders>
              <w:tl2br w:val="nil"/>
              <w:tr2bl w:val="nil"/>
            </w:tcBorders>
          </w:tcPr>
          <w:p>
            <w:pPr>
              <w:pStyle w:val="383"/>
              <w:spacing w:before="79"/>
              <w:ind w:left="5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12.79</w:t>
            </w:r>
          </w:p>
        </w:tc>
        <w:tc>
          <w:tcPr>
            <w:tcW w:w="503" w:type="dxa"/>
            <w:tcBorders>
              <w:tl2br w:val="nil"/>
              <w:tr2bl w:val="nil"/>
            </w:tcBorders>
          </w:tcPr>
          <w:p>
            <w:pPr>
              <w:pStyle w:val="383"/>
              <w:spacing w:before="79"/>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8.62</w:t>
            </w:r>
          </w:p>
        </w:tc>
        <w:tc>
          <w:tcPr>
            <w:tcW w:w="403" w:type="dxa"/>
            <w:tcBorders>
              <w:tl2br w:val="nil"/>
              <w:tr2bl w:val="nil"/>
            </w:tcBorders>
          </w:tcPr>
          <w:p>
            <w:pPr>
              <w:pStyle w:val="383"/>
              <w:spacing w:before="79"/>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3.16</w:t>
            </w:r>
          </w:p>
        </w:tc>
        <w:tc>
          <w:tcPr>
            <w:tcW w:w="403" w:type="dxa"/>
            <w:tcBorders>
              <w:tl2br w:val="nil"/>
              <w:tr2bl w:val="nil"/>
            </w:tcBorders>
          </w:tcPr>
          <w:p>
            <w:pPr>
              <w:pStyle w:val="383"/>
              <w:spacing w:before="79"/>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4.02</w:t>
            </w:r>
          </w:p>
        </w:tc>
        <w:tc>
          <w:tcPr>
            <w:tcW w:w="469" w:type="dxa"/>
            <w:tcBorders>
              <w:tl2br w:val="nil"/>
              <w:tr2bl w:val="nil"/>
            </w:tcBorders>
          </w:tcPr>
          <w:p>
            <w:pPr>
              <w:pStyle w:val="383"/>
              <w:spacing w:before="79"/>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3.45</w:t>
            </w:r>
          </w:p>
        </w:tc>
        <w:tc>
          <w:tcPr>
            <w:tcW w:w="403" w:type="dxa"/>
            <w:tcBorders>
              <w:tl2br w:val="nil"/>
              <w:tr2bl w:val="nil"/>
            </w:tcBorders>
          </w:tcPr>
          <w:p>
            <w:pPr>
              <w:pStyle w:val="383"/>
              <w:spacing w:before="79"/>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3.74</w:t>
            </w:r>
          </w:p>
        </w:tc>
        <w:tc>
          <w:tcPr>
            <w:tcW w:w="553" w:type="dxa"/>
            <w:tcBorders>
              <w:tl2br w:val="nil"/>
              <w:tr2bl w:val="nil"/>
            </w:tcBorders>
          </w:tcPr>
          <w:p>
            <w:pPr>
              <w:pStyle w:val="383"/>
              <w:spacing w:before="79"/>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5.75</w:t>
            </w:r>
          </w:p>
        </w:tc>
        <w:tc>
          <w:tcPr>
            <w:tcW w:w="433" w:type="dxa"/>
            <w:tcBorders>
              <w:tl2br w:val="nil"/>
              <w:tr2bl w:val="nil"/>
            </w:tcBorders>
          </w:tcPr>
          <w:p>
            <w:pPr>
              <w:pStyle w:val="383"/>
              <w:spacing w:before="79"/>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10.20</w:t>
            </w:r>
          </w:p>
        </w:tc>
        <w:tc>
          <w:tcPr>
            <w:tcW w:w="590" w:type="dxa"/>
            <w:tcBorders>
              <w:tl2br w:val="nil"/>
              <w:tr2bl w:val="nil"/>
            </w:tcBorders>
          </w:tcPr>
          <w:p>
            <w:pPr>
              <w:pStyle w:val="383"/>
              <w:spacing w:before="79"/>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6.18</w:t>
            </w:r>
          </w:p>
        </w:tc>
        <w:tc>
          <w:tcPr>
            <w:tcW w:w="434" w:type="dxa"/>
            <w:tcBorders>
              <w:tl2br w:val="nil"/>
              <w:tr2bl w:val="nil"/>
            </w:tcBorders>
          </w:tcPr>
          <w:p>
            <w:pPr>
              <w:pStyle w:val="383"/>
              <w:spacing w:before="79"/>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3.88</w:t>
            </w:r>
          </w:p>
        </w:tc>
        <w:tc>
          <w:tcPr>
            <w:tcW w:w="520" w:type="dxa"/>
            <w:tcBorders>
              <w:tl2br w:val="nil"/>
              <w:tr2bl w:val="nil"/>
            </w:tcBorders>
          </w:tcPr>
          <w:p>
            <w:pPr>
              <w:pStyle w:val="383"/>
              <w:spacing w:before="79"/>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2.16</w:t>
            </w:r>
          </w:p>
        </w:tc>
        <w:tc>
          <w:tcPr>
            <w:tcW w:w="500" w:type="dxa"/>
            <w:tcBorders>
              <w:tl2br w:val="nil"/>
              <w:tr2bl w:val="nil"/>
            </w:tcBorders>
          </w:tcPr>
          <w:p>
            <w:pPr>
              <w:pStyle w:val="383"/>
              <w:spacing w:before="79"/>
              <w:ind w:left="1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13.36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24" w:type="dxa"/>
            <w:tcBorders>
              <w:tl2br w:val="nil"/>
              <w:tr2bl w:val="nil"/>
            </w:tcBorders>
          </w:tcPr>
          <w:p>
            <w:pPr>
              <w:pStyle w:val="383"/>
              <w:spacing w:before="68"/>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三月</w:t>
            </w:r>
          </w:p>
        </w:tc>
        <w:tc>
          <w:tcPr>
            <w:tcW w:w="403" w:type="dxa"/>
            <w:tcBorders>
              <w:tl2br w:val="nil"/>
              <w:tr2bl w:val="nil"/>
            </w:tcBorders>
          </w:tcPr>
          <w:p>
            <w:pPr>
              <w:pStyle w:val="383"/>
              <w:spacing w:before="80"/>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469" w:type="dxa"/>
            <w:tcBorders>
              <w:tl2br w:val="nil"/>
              <w:tr2bl w:val="nil"/>
            </w:tcBorders>
          </w:tcPr>
          <w:p>
            <w:pPr>
              <w:pStyle w:val="383"/>
              <w:spacing w:before="80"/>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2.42</w:t>
            </w:r>
          </w:p>
        </w:tc>
        <w:tc>
          <w:tcPr>
            <w:tcW w:w="510" w:type="dxa"/>
            <w:tcBorders>
              <w:tl2br w:val="nil"/>
              <w:tr2bl w:val="nil"/>
            </w:tcBorders>
          </w:tcPr>
          <w:p>
            <w:pPr>
              <w:pStyle w:val="383"/>
              <w:spacing w:before="80"/>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3.63</w:t>
            </w:r>
          </w:p>
        </w:tc>
        <w:tc>
          <w:tcPr>
            <w:tcW w:w="510" w:type="dxa"/>
            <w:tcBorders>
              <w:tl2br w:val="nil"/>
              <w:tr2bl w:val="nil"/>
            </w:tcBorders>
          </w:tcPr>
          <w:p>
            <w:pPr>
              <w:pStyle w:val="383"/>
              <w:spacing w:before="80"/>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4.84</w:t>
            </w:r>
          </w:p>
        </w:tc>
        <w:tc>
          <w:tcPr>
            <w:tcW w:w="510" w:type="dxa"/>
            <w:tcBorders>
              <w:tl2br w:val="nil"/>
              <w:tr2bl w:val="nil"/>
            </w:tcBorders>
          </w:tcPr>
          <w:p>
            <w:pPr>
              <w:pStyle w:val="383"/>
              <w:spacing w:before="80"/>
              <w:ind w:left="32" w:right="2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11.16</w:t>
            </w:r>
          </w:p>
        </w:tc>
        <w:tc>
          <w:tcPr>
            <w:tcW w:w="510" w:type="dxa"/>
            <w:tcBorders>
              <w:tl2br w:val="nil"/>
              <w:tr2bl w:val="nil"/>
            </w:tcBorders>
          </w:tcPr>
          <w:p>
            <w:pPr>
              <w:pStyle w:val="383"/>
              <w:spacing w:before="80"/>
              <w:ind w:left="5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11.29</w:t>
            </w:r>
          </w:p>
        </w:tc>
        <w:tc>
          <w:tcPr>
            <w:tcW w:w="503" w:type="dxa"/>
            <w:tcBorders>
              <w:tl2br w:val="nil"/>
              <w:tr2bl w:val="nil"/>
            </w:tcBorders>
          </w:tcPr>
          <w:p>
            <w:pPr>
              <w:pStyle w:val="383"/>
              <w:spacing w:before="80"/>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5.65</w:t>
            </w:r>
          </w:p>
        </w:tc>
        <w:tc>
          <w:tcPr>
            <w:tcW w:w="403" w:type="dxa"/>
            <w:tcBorders>
              <w:tl2br w:val="nil"/>
              <w:tr2bl w:val="nil"/>
            </w:tcBorders>
          </w:tcPr>
          <w:p>
            <w:pPr>
              <w:pStyle w:val="383"/>
              <w:spacing w:before="80"/>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3.63</w:t>
            </w:r>
          </w:p>
        </w:tc>
        <w:tc>
          <w:tcPr>
            <w:tcW w:w="403" w:type="dxa"/>
            <w:tcBorders>
              <w:tl2br w:val="nil"/>
              <w:tr2bl w:val="nil"/>
            </w:tcBorders>
          </w:tcPr>
          <w:p>
            <w:pPr>
              <w:pStyle w:val="383"/>
              <w:spacing w:before="80"/>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2.15</w:t>
            </w:r>
          </w:p>
        </w:tc>
        <w:tc>
          <w:tcPr>
            <w:tcW w:w="469" w:type="dxa"/>
            <w:tcBorders>
              <w:tl2br w:val="nil"/>
              <w:tr2bl w:val="nil"/>
            </w:tcBorders>
          </w:tcPr>
          <w:p>
            <w:pPr>
              <w:pStyle w:val="383"/>
              <w:spacing w:before="80"/>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1.21</w:t>
            </w:r>
          </w:p>
        </w:tc>
        <w:tc>
          <w:tcPr>
            <w:tcW w:w="403" w:type="dxa"/>
            <w:tcBorders>
              <w:tl2br w:val="nil"/>
              <w:tr2bl w:val="nil"/>
            </w:tcBorders>
          </w:tcPr>
          <w:p>
            <w:pPr>
              <w:pStyle w:val="383"/>
              <w:spacing w:before="80"/>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3.23</w:t>
            </w:r>
          </w:p>
        </w:tc>
        <w:tc>
          <w:tcPr>
            <w:tcW w:w="553" w:type="dxa"/>
            <w:tcBorders>
              <w:tl2br w:val="nil"/>
              <w:tr2bl w:val="nil"/>
            </w:tcBorders>
          </w:tcPr>
          <w:p>
            <w:pPr>
              <w:pStyle w:val="383"/>
              <w:spacing w:before="80"/>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4.84</w:t>
            </w:r>
          </w:p>
        </w:tc>
        <w:tc>
          <w:tcPr>
            <w:tcW w:w="433" w:type="dxa"/>
            <w:tcBorders>
              <w:tl2br w:val="nil"/>
              <w:tr2bl w:val="nil"/>
            </w:tcBorders>
          </w:tcPr>
          <w:p>
            <w:pPr>
              <w:pStyle w:val="383"/>
              <w:spacing w:before="80"/>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6.05</w:t>
            </w:r>
          </w:p>
        </w:tc>
        <w:tc>
          <w:tcPr>
            <w:tcW w:w="590" w:type="dxa"/>
            <w:tcBorders>
              <w:tl2br w:val="nil"/>
              <w:tr2bl w:val="nil"/>
            </w:tcBorders>
          </w:tcPr>
          <w:p>
            <w:pPr>
              <w:pStyle w:val="383"/>
              <w:spacing w:before="80"/>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9.14</w:t>
            </w:r>
          </w:p>
        </w:tc>
        <w:tc>
          <w:tcPr>
            <w:tcW w:w="434" w:type="dxa"/>
            <w:tcBorders>
              <w:tl2br w:val="nil"/>
              <w:tr2bl w:val="nil"/>
            </w:tcBorders>
          </w:tcPr>
          <w:p>
            <w:pPr>
              <w:pStyle w:val="383"/>
              <w:spacing w:before="80"/>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9.95</w:t>
            </w:r>
          </w:p>
        </w:tc>
        <w:tc>
          <w:tcPr>
            <w:tcW w:w="520" w:type="dxa"/>
            <w:tcBorders>
              <w:tl2br w:val="nil"/>
              <w:tr2bl w:val="nil"/>
            </w:tcBorders>
          </w:tcPr>
          <w:p>
            <w:pPr>
              <w:pStyle w:val="383"/>
              <w:spacing w:before="80"/>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4.03</w:t>
            </w:r>
          </w:p>
        </w:tc>
        <w:tc>
          <w:tcPr>
            <w:tcW w:w="500" w:type="dxa"/>
            <w:tcBorders>
              <w:tl2br w:val="nil"/>
              <w:tr2bl w:val="nil"/>
            </w:tcBorders>
          </w:tcPr>
          <w:p>
            <w:pPr>
              <w:pStyle w:val="383"/>
              <w:spacing w:before="80"/>
              <w:ind w:left="1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14.25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4" w:type="dxa"/>
            <w:tcBorders>
              <w:tl2br w:val="nil"/>
              <w:tr2bl w:val="nil"/>
            </w:tcBorders>
          </w:tcPr>
          <w:p>
            <w:pPr>
              <w:pStyle w:val="383"/>
              <w:spacing w:before="69"/>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四月</w:t>
            </w:r>
          </w:p>
        </w:tc>
        <w:tc>
          <w:tcPr>
            <w:tcW w:w="403" w:type="dxa"/>
            <w:tcBorders>
              <w:tl2br w:val="nil"/>
              <w:tr2bl w:val="nil"/>
            </w:tcBorders>
          </w:tcPr>
          <w:p>
            <w:pPr>
              <w:pStyle w:val="383"/>
              <w:spacing w:before="78"/>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3.47</w:t>
            </w:r>
          </w:p>
        </w:tc>
        <w:tc>
          <w:tcPr>
            <w:tcW w:w="469" w:type="dxa"/>
            <w:tcBorders>
              <w:tl2br w:val="nil"/>
              <w:tr2bl w:val="nil"/>
            </w:tcBorders>
          </w:tcPr>
          <w:p>
            <w:pPr>
              <w:pStyle w:val="383"/>
              <w:spacing w:before="78"/>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2.22</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5.14</w:t>
            </w:r>
          </w:p>
        </w:tc>
        <w:tc>
          <w:tcPr>
            <w:tcW w:w="510" w:type="dxa"/>
            <w:tcBorders>
              <w:tl2br w:val="nil"/>
              <w:tr2bl w:val="nil"/>
            </w:tcBorders>
          </w:tcPr>
          <w:p>
            <w:pPr>
              <w:pStyle w:val="383"/>
              <w:spacing w:before="78"/>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5.14</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8.33</w:t>
            </w:r>
          </w:p>
        </w:tc>
        <w:tc>
          <w:tcPr>
            <w:tcW w:w="510" w:type="dxa"/>
            <w:tcBorders>
              <w:tl2br w:val="nil"/>
              <w:tr2bl w:val="nil"/>
            </w:tcBorders>
          </w:tcPr>
          <w:p>
            <w:pPr>
              <w:pStyle w:val="383"/>
              <w:spacing w:before="78"/>
              <w:ind w:left="5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14.44</w:t>
            </w:r>
          </w:p>
        </w:tc>
        <w:tc>
          <w:tcPr>
            <w:tcW w:w="503" w:type="dxa"/>
            <w:tcBorders>
              <w:tl2br w:val="nil"/>
              <w:tr2bl w:val="nil"/>
            </w:tcBorders>
          </w:tcPr>
          <w:p>
            <w:pPr>
              <w:pStyle w:val="383"/>
              <w:spacing w:before="78"/>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9.31</w:t>
            </w:r>
          </w:p>
        </w:tc>
        <w:tc>
          <w:tcPr>
            <w:tcW w:w="403" w:type="dxa"/>
            <w:tcBorders>
              <w:tl2br w:val="nil"/>
              <w:tr2bl w:val="nil"/>
            </w:tcBorders>
          </w:tcPr>
          <w:p>
            <w:pPr>
              <w:pStyle w:val="383"/>
              <w:spacing w:before="78"/>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3.47</w:t>
            </w:r>
          </w:p>
        </w:tc>
        <w:tc>
          <w:tcPr>
            <w:tcW w:w="403" w:type="dxa"/>
            <w:tcBorders>
              <w:tl2br w:val="nil"/>
              <w:tr2bl w:val="nil"/>
            </w:tcBorders>
          </w:tcPr>
          <w:p>
            <w:pPr>
              <w:pStyle w:val="383"/>
              <w:spacing w:before="78"/>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2.92</w:t>
            </w:r>
          </w:p>
        </w:tc>
        <w:tc>
          <w:tcPr>
            <w:tcW w:w="469" w:type="dxa"/>
            <w:tcBorders>
              <w:tl2br w:val="nil"/>
              <w:tr2bl w:val="nil"/>
            </w:tcBorders>
          </w:tcPr>
          <w:p>
            <w:pPr>
              <w:pStyle w:val="383"/>
              <w:spacing w:before="78"/>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2.92</w:t>
            </w:r>
          </w:p>
        </w:tc>
        <w:tc>
          <w:tcPr>
            <w:tcW w:w="403" w:type="dxa"/>
            <w:tcBorders>
              <w:tl2br w:val="nil"/>
              <w:tr2bl w:val="nil"/>
            </w:tcBorders>
          </w:tcPr>
          <w:p>
            <w:pPr>
              <w:pStyle w:val="383"/>
              <w:spacing w:before="78"/>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3.47</w:t>
            </w:r>
          </w:p>
        </w:tc>
        <w:tc>
          <w:tcPr>
            <w:tcW w:w="553" w:type="dxa"/>
            <w:tcBorders>
              <w:tl2br w:val="nil"/>
              <w:tr2bl w:val="nil"/>
            </w:tcBorders>
          </w:tcPr>
          <w:p>
            <w:pPr>
              <w:pStyle w:val="383"/>
              <w:spacing w:before="78"/>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5.14</w:t>
            </w:r>
          </w:p>
        </w:tc>
        <w:tc>
          <w:tcPr>
            <w:tcW w:w="433" w:type="dxa"/>
            <w:tcBorders>
              <w:tl2br w:val="nil"/>
              <w:tr2bl w:val="nil"/>
            </w:tcBorders>
          </w:tcPr>
          <w:p>
            <w:pPr>
              <w:pStyle w:val="383"/>
              <w:spacing w:before="78"/>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8.89</w:t>
            </w:r>
          </w:p>
        </w:tc>
        <w:tc>
          <w:tcPr>
            <w:tcW w:w="590" w:type="dxa"/>
            <w:tcBorders>
              <w:tl2br w:val="nil"/>
              <w:tr2bl w:val="nil"/>
            </w:tcBorders>
          </w:tcPr>
          <w:p>
            <w:pPr>
              <w:pStyle w:val="383"/>
              <w:spacing w:before="78"/>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8.47</w:t>
            </w:r>
          </w:p>
        </w:tc>
        <w:tc>
          <w:tcPr>
            <w:tcW w:w="434" w:type="dxa"/>
            <w:tcBorders>
              <w:tl2br w:val="nil"/>
              <w:tr2bl w:val="nil"/>
            </w:tcBorders>
          </w:tcPr>
          <w:p>
            <w:pPr>
              <w:pStyle w:val="383"/>
              <w:spacing w:before="78"/>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8.61</w:t>
            </w:r>
          </w:p>
        </w:tc>
        <w:tc>
          <w:tcPr>
            <w:tcW w:w="520" w:type="dxa"/>
            <w:tcBorders>
              <w:tl2br w:val="nil"/>
              <w:tr2bl w:val="nil"/>
            </w:tcBorders>
          </w:tcPr>
          <w:p>
            <w:pPr>
              <w:pStyle w:val="383"/>
              <w:spacing w:before="78"/>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4.03</w:t>
            </w:r>
          </w:p>
        </w:tc>
        <w:tc>
          <w:tcPr>
            <w:tcW w:w="500" w:type="dxa"/>
            <w:tcBorders>
              <w:tl2br w:val="nil"/>
              <w:tr2bl w:val="nil"/>
            </w:tcBorders>
          </w:tcPr>
          <w:p>
            <w:pPr>
              <w:pStyle w:val="383"/>
              <w:spacing w:before="78"/>
              <w:ind w:left="5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4.03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53" w:hRule="atLeast"/>
        </w:trPr>
        <w:tc>
          <w:tcPr>
            <w:tcW w:w="924" w:type="dxa"/>
            <w:tcBorders>
              <w:tl2br w:val="nil"/>
              <w:tr2bl w:val="nil"/>
            </w:tcBorders>
          </w:tcPr>
          <w:p>
            <w:pPr>
              <w:pStyle w:val="383"/>
              <w:spacing w:before="67"/>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五月</w:t>
            </w:r>
          </w:p>
        </w:tc>
        <w:tc>
          <w:tcPr>
            <w:tcW w:w="403" w:type="dxa"/>
            <w:tcBorders>
              <w:tl2br w:val="nil"/>
              <w:tr2bl w:val="nil"/>
            </w:tcBorders>
          </w:tcPr>
          <w:p>
            <w:pPr>
              <w:pStyle w:val="383"/>
              <w:spacing w:before="79"/>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1.88</w:t>
            </w:r>
          </w:p>
        </w:tc>
        <w:tc>
          <w:tcPr>
            <w:tcW w:w="469" w:type="dxa"/>
            <w:tcBorders>
              <w:tl2br w:val="nil"/>
              <w:tr2bl w:val="nil"/>
            </w:tcBorders>
          </w:tcPr>
          <w:p>
            <w:pPr>
              <w:pStyle w:val="383"/>
              <w:spacing w:before="79"/>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3.36</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5.38</w:t>
            </w:r>
          </w:p>
        </w:tc>
        <w:tc>
          <w:tcPr>
            <w:tcW w:w="510" w:type="dxa"/>
            <w:tcBorders>
              <w:tl2br w:val="nil"/>
              <w:tr2bl w:val="nil"/>
            </w:tcBorders>
          </w:tcPr>
          <w:p>
            <w:pPr>
              <w:pStyle w:val="383"/>
              <w:spacing w:before="79"/>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4.84</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6.72</w:t>
            </w:r>
          </w:p>
        </w:tc>
        <w:tc>
          <w:tcPr>
            <w:tcW w:w="510" w:type="dxa"/>
            <w:tcBorders>
              <w:tl2br w:val="nil"/>
              <w:tr2bl w:val="nil"/>
            </w:tcBorders>
          </w:tcPr>
          <w:p>
            <w:pPr>
              <w:pStyle w:val="383"/>
              <w:spacing w:before="79"/>
              <w:ind w:left="5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14.11</w:t>
            </w:r>
          </w:p>
        </w:tc>
        <w:tc>
          <w:tcPr>
            <w:tcW w:w="503" w:type="dxa"/>
            <w:tcBorders>
              <w:tl2br w:val="nil"/>
              <w:tr2bl w:val="nil"/>
            </w:tcBorders>
          </w:tcPr>
          <w:p>
            <w:pPr>
              <w:pStyle w:val="383"/>
              <w:spacing w:before="79"/>
              <w:ind w:left="28" w:right="2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11.16</w:t>
            </w:r>
          </w:p>
        </w:tc>
        <w:tc>
          <w:tcPr>
            <w:tcW w:w="403" w:type="dxa"/>
            <w:tcBorders>
              <w:tl2br w:val="nil"/>
              <w:tr2bl w:val="nil"/>
            </w:tcBorders>
          </w:tcPr>
          <w:p>
            <w:pPr>
              <w:pStyle w:val="383"/>
              <w:spacing w:before="79"/>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3.36</w:t>
            </w:r>
          </w:p>
        </w:tc>
        <w:tc>
          <w:tcPr>
            <w:tcW w:w="403" w:type="dxa"/>
            <w:tcBorders>
              <w:tl2br w:val="nil"/>
              <w:tr2bl w:val="nil"/>
            </w:tcBorders>
          </w:tcPr>
          <w:p>
            <w:pPr>
              <w:pStyle w:val="383"/>
              <w:spacing w:before="79"/>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469" w:type="dxa"/>
            <w:tcBorders>
              <w:tl2br w:val="nil"/>
              <w:tr2bl w:val="nil"/>
            </w:tcBorders>
          </w:tcPr>
          <w:p>
            <w:pPr>
              <w:pStyle w:val="383"/>
              <w:spacing w:before="79"/>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2.82</w:t>
            </w:r>
          </w:p>
        </w:tc>
        <w:tc>
          <w:tcPr>
            <w:tcW w:w="403" w:type="dxa"/>
            <w:tcBorders>
              <w:tl2br w:val="nil"/>
              <w:tr2bl w:val="nil"/>
            </w:tcBorders>
          </w:tcPr>
          <w:p>
            <w:pPr>
              <w:pStyle w:val="383"/>
              <w:spacing w:before="79"/>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4.44</w:t>
            </w:r>
          </w:p>
        </w:tc>
        <w:tc>
          <w:tcPr>
            <w:tcW w:w="553" w:type="dxa"/>
            <w:tcBorders>
              <w:tl2br w:val="nil"/>
              <w:tr2bl w:val="nil"/>
            </w:tcBorders>
          </w:tcPr>
          <w:p>
            <w:pPr>
              <w:pStyle w:val="383"/>
              <w:spacing w:before="79"/>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6.32</w:t>
            </w:r>
          </w:p>
        </w:tc>
        <w:tc>
          <w:tcPr>
            <w:tcW w:w="433" w:type="dxa"/>
            <w:tcBorders>
              <w:tl2br w:val="nil"/>
              <w:tr2bl w:val="nil"/>
            </w:tcBorders>
          </w:tcPr>
          <w:p>
            <w:pPr>
              <w:pStyle w:val="383"/>
              <w:spacing w:before="79"/>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5.78</w:t>
            </w:r>
          </w:p>
        </w:tc>
        <w:tc>
          <w:tcPr>
            <w:tcW w:w="590" w:type="dxa"/>
            <w:tcBorders>
              <w:tl2br w:val="nil"/>
              <w:tr2bl w:val="nil"/>
            </w:tcBorders>
          </w:tcPr>
          <w:p>
            <w:pPr>
              <w:pStyle w:val="383"/>
              <w:spacing w:before="79"/>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8.47</w:t>
            </w:r>
          </w:p>
        </w:tc>
        <w:tc>
          <w:tcPr>
            <w:tcW w:w="434" w:type="dxa"/>
            <w:tcBorders>
              <w:tl2br w:val="nil"/>
              <w:tr2bl w:val="nil"/>
            </w:tcBorders>
          </w:tcPr>
          <w:p>
            <w:pPr>
              <w:pStyle w:val="383"/>
              <w:spacing w:before="79"/>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10.75</w:t>
            </w:r>
          </w:p>
        </w:tc>
        <w:tc>
          <w:tcPr>
            <w:tcW w:w="520" w:type="dxa"/>
            <w:tcBorders>
              <w:tl2br w:val="nil"/>
              <w:tr2bl w:val="nil"/>
            </w:tcBorders>
          </w:tcPr>
          <w:p>
            <w:pPr>
              <w:pStyle w:val="383"/>
              <w:spacing w:before="79"/>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4.57</w:t>
            </w:r>
          </w:p>
        </w:tc>
        <w:tc>
          <w:tcPr>
            <w:tcW w:w="500" w:type="dxa"/>
            <w:tcBorders>
              <w:tl2br w:val="nil"/>
              <w:tr2bl w:val="nil"/>
            </w:tcBorders>
          </w:tcPr>
          <w:p>
            <w:pPr>
              <w:pStyle w:val="383"/>
              <w:spacing w:before="79"/>
              <w:ind w:left="5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3.49</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4" w:type="dxa"/>
            <w:tcBorders>
              <w:tl2br w:val="nil"/>
              <w:tr2bl w:val="nil"/>
            </w:tcBorders>
          </w:tcPr>
          <w:p>
            <w:pPr>
              <w:pStyle w:val="383"/>
              <w:spacing w:before="68"/>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六月</w:t>
            </w:r>
          </w:p>
        </w:tc>
        <w:tc>
          <w:tcPr>
            <w:tcW w:w="403" w:type="dxa"/>
            <w:tcBorders>
              <w:tl2br w:val="nil"/>
              <w:tr2bl w:val="nil"/>
            </w:tcBorders>
          </w:tcPr>
          <w:p>
            <w:pPr>
              <w:pStyle w:val="383"/>
              <w:spacing w:before="78"/>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3.61</w:t>
            </w:r>
          </w:p>
        </w:tc>
        <w:tc>
          <w:tcPr>
            <w:tcW w:w="469" w:type="dxa"/>
            <w:tcBorders>
              <w:tl2br w:val="nil"/>
              <w:tr2bl w:val="nil"/>
            </w:tcBorders>
          </w:tcPr>
          <w:p>
            <w:pPr>
              <w:pStyle w:val="383"/>
              <w:spacing w:before="78"/>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2.08</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3.47</w:t>
            </w:r>
          </w:p>
        </w:tc>
        <w:tc>
          <w:tcPr>
            <w:tcW w:w="510" w:type="dxa"/>
            <w:tcBorders>
              <w:tl2br w:val="nil"/>
              <w:tr2bl w:val="nil"/>
            </w:tcBorders>
          </w:tcPr>
          <w:p>
            <w:pPr>
              <w:pStyle w:val="383"/>
              <w:spacing w:before="78"/>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5.69</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8.75</w:t>
            </w:r>
          </w:p>
        </w:tc>
        <w:tc>
          <w:tcPr>
            <w:tcW w:w="510" w:type="dxa"/>
            <w:tcBorders>
              <w:tl2br w:val="nil"/>
              <w:tr2bl w:val="nil"/>
            </w:tcBorders>
          </w:tcPr>
          <w:p>
            <w:pPr>
              <w:pStyle w:val="383"/>
              <w:spacing w:before="78"/>
              <w:ind w:left="5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14.17</w:t>
            </w:r>
          </w:p>
        </w:tc>
        <w:tc>
          <w:tcPr>
            <w:tcW w:w="503" w:type="dxa"/>
            <w:tcBorders>
              <w:tl2br w:val="nil"/>
              <w:tr2bl w:val="nil"/>
            </w:tcBorders>
          </w:tcPr>
          <w:p>
            <w:pPr>
              <w:pStyle w:val="383"/>
              <w:spacing w:before="78"/>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7.50</w:t>
            </w:r>
          </w:p>
        </w:tc>
        <w:tc>
          <w:tcPr>
            <w:tcW w:w="403" w:type="dxa"/>
            <w:tcBorders>
              <w:tl2br w:val="nil"/>
              <w:tr2bl w:val="nil"/>
            </w:tcBorders>
          </w:tcPr>
          <w:p>
            <w:pPr>
              <w:pStyle w:val="383"/>
              <w:spacing w:before="78"/>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1.94</w:t>
            </w:r>
          </w:p>
        </w:tc>
        <w:tc>
          <w:tcPr>
            <w:tcW w:w="403" w:type="dxa"/>
            <w:tcBorders>
              <w:tl2br w:val="nil"/>
              <w:tr2bl w:val="nil"/>
            </w:tcBorders>
          </w:tcPr>
          <w:p>
            <w:pPr>
              <w:pStyle w:val="383"/>
              <w:spacing w:before="78"/>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1.25</w:t>
            </w:r>
          </w:p>
        </w:tc>
        <w:tc>
          <w:tcPr>
            <w:tcW w:w="469" w:type="dxa"/>
            <w:tcBorders>
              <w:tl2br w:val="nil"/>
              <w:tr2bl w:val="nil"/>
            </w:tcBorders>
          </w:tcPr>
          <w:p>
            <w:pPr>
              <w:pStyle w:val="383"/>
              <w:spacing w:before="78"/>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1.25</w:t>
            </w:r>
          </w:p>
        </w:tc>
        <w:tc>
          <w:tcPr>
            <w:tcW w:w="403" w:type="dxa"/>
            <w:tcBorders>
              <w:tl2br w:val="nil"/>
              <w:tr2bl w:val="nil"/>
            </w:tcBorders>
          </w:tcPr>
          <w:p>
            <w:pPr>
              <w:pStyle w:val="383"/>
              <w:spacing w:before="78"/>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3.61</w:t>
            </w:r>
          </w:p>
        </w:tc>
        <w:tc>
          <w:tcPr>
            <w:tcW w:w="553" w:type="dxa"/>
            <w:tcBorders>
              <w:tl2br w:val="nil"/>
              <w:tr2bl w:val="nil"/>
            </w:tcBorders>
          </w:tcPr>
          <w:p>
            <w:pPr>
              <w:pStyle w:val="383"/>
              <w:spacing w:before="78"/>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5.97</w:t>
            </w:r>
          </w:p>
        </w:tc>
        <w:tc>
          <w:tcPr>
            <w:tcW w:w="433" w:type="dxa"/>
            <w:tcBorders>
              <w:tl2br w:val="nil"/>
              <w:tr2bl w:val="nil"/>
            </w:tcBorders>
          </w:tcPr>
          <w:p>
            <w:pPr>
              <w:pStyle w:val="383"/>
              <w:spacing w:before="78"/>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8.06</w:t>
            </w:r>
          </w:p>
        </w:tc>
        <w:tc>
          <w:tcPr>
            <w:tcW w:w="590" w:type="dxa"/>
            <w:tcBorders>
              <w:tl2br w:val="nil"/>
              <w:tr2bl w:val="nil"/>
            </w:tcBorders>
          </w:tcPr>
          <w:p>
            <w:pPr>
              <w:pStyle w:val="383"/>
              <w:spacing w:before="78"/>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10.14</w:t>
            </w:r>
          </w:p>
        </w:tc>
        <w:tc>
          <w:tcPr>
            <w:tcW w:w="434" w:type="dxa"/>
            <w:tcBorders>
              <w:tl2br w:val="nil"/>
              <w:tr2bl w:val="nil"/>
            </w:tcBorders>
          </w:tcPr>
          <w:p>
            <w:pPr>
              <w:pStyle w:val="383"/>
              <w:spacing w:before="78"/>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10.00</w:t>
            </w:r>
          </w:p>
        </w:tc>
        <w:tc>
          <w:tcPr>
            <w:tcW w:w="520" w:type="dxa"/>
            <w:tcBorders>
              <w:tl2br w:val="nil"/>
              <w:tr2bl w:val="nil"/>
            </w:tcBorders>
          </w:tcPr>
          <w:p>
            <w:pPr>
              <w:pStyle w:val="383"/>
              <w:spacing w:before="78"/>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3.75</w:t>
            </w:r>
          </w:p>
        </w:tc>
        <w:tc>
          <w:tcPr>
            <w:tcW w:w="500" w:type="dxa"/>
            <w:tcBorders>
              <w:tl2br w:val="nil"/>
              <w:tr2bl w:val="nil"/>
            </w:tcBorders>
          </w:tcPr>
          <w:p>
            <w:pPr>
              <w:pStyle w:val="383"/>
              <w:spacing w:before="78"/>
              <w:ind w:left="5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8.75</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4" w:type="dxa"/>
            <w:tcBorders>
              <w:tl2br w:val="nil"/>
              <w:tr2bl w:val="nil"/>
            </w:tcBorders>
          </w:tcPr>
          <w:p>
            <w:pPr>
              <w:pStyle w:val="383"/>
              <w:spacing w:before="67"/>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七月</w:t>
            </w:r>
          </w:p>
        </w:tc>
        <w:tc>
          <w:tcPr>
            <w:tcW w:w="403" w:type="dxa"/>
            <w:tcBorders>
              <w:tl2br w:val="nil"/>
              <w:tr2bl w:val="nil"/>
            </w:tcBorders>
          </w:tcPr>
          <w:p>
            <w:pPr>
              <w:pStyle w:val="383"/>
              <w:spacing w:before="79"/>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3.09</w:t>
            </w:r>
          </w:p>
        </w:tc>
        <w:tc>
          <w:tcPr>
            <w:tcW w:w="469" w:type="dxa"/>
            <w:tcBorders>
              <w:tl2br w:val="nil"/>
              <w:tr2bl w:val="nil"/>
            </w:tcBorders>
          </w:tcPr>
          <w:p>
            <w:pPr>
              <w:pStyle w:val="383"/>
              <w:spacing w:before="79"/>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2.28</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5.91</w:t>
            </w:r>
          </w:p>
        </w:tc>
        <w:tc>
          <w:tcPr>
            <w:tcW w:w="510" w:type="dxa"/>
            <w:tcBorders>
              <w:tl2br w:val="nil"/>
              <w:tr2bl w:val="nil"/>
            </w:tcBorders>
          </w:tcPr>
          <w:p>
            <w:pPr>
              <w:pStyle w:val="383"/>
              <w:spacing w:before="79"/>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6.72</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8.06</w:t>
            </w:r>
          </w:p>
        </w:tc>
        <w:tc>
          <w:tcPr>
            <w:tcW w:w="510" w:type="dxa"/>
            <w:tcBorders>
              <w:tl2br w:val="nil"/>
              <w:tr2bl w:val="nil"/>
            </w:tcBorders>
          </w:tcPr>
          <w:p>
            <w:pPr>
              <w:pStyle w:val="383"/>
              <w:spacing w:before="79"/>
              <w:ind w:left="5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11.96</w:t>
            </w:r>
          </w:p>
        </w:tc>
        <w:tc>
          <w:tcPr>
            <w:tcW w:w="503" w:type="dxa"/>
            <w:tcBorders>
              <w:tl2br w:val="nil"/>
              <w:tr2bl w:val="nil"/>
            </w:tcBorders>
          </w:tcPr>
          <w:p>
            <w:pPr>
              <w:pStyle w:val="383"/>
              <w:spacing w:before="79"/>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3.90</w:t>
            </w:r>
          </w:p>
        </w:tc>
        <w:tc>
          <w:tcPr>
            <w:tcW w:w="403" w:type="dxa"/>
            <w:tcBorders>
              <w:tl2br w:val="nil"/>
              <w:tr2bl w:val="nil"/>
            </w:tcBorders>
          </w:tcPr>
          <w:p>
            <w:pPr>
              <w:pStyle w:val="383"/>
              <w:spacing w:before="79"/>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2.82</w:t>
            </w:r>
          </w:p>
        </w:tc>
        <w:tc>
          <w:tcPr>
            <w:tcW w:w="403" w:type="dxa"/>
            <w:tcBorders>
              <w:tl2br w:val="nil"/>
              <w:tr2bl w:val="nil"/>
            </w:tcBorders>
          </w:tcPr>
          <w:p>
            <w:pPr>
              <w:pStyle w:val="383"/>
              <w:spacing w:before="79"/>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3.76</w:t>
            </w:r>
          </w:p>
        </w:tc>
        <w:tc>
          <w:tcPr>
            <w:tcW w:w="469" w:type="dxa"/>
            <w:tcBorders>
              <w:tl2br w:val="nil"/>
              <w:tr2bl w:val="nil"/>
            </w:tcBorders>
          </w:tcPr>
          <w:p>
            <w:pPr>
              <w:pStyle w:val="383"/>
              <w:spacing w:before="79"/>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1.88</w:t>
            </w:r>
          </w:p>
        </w:tc>
        <w:tc>
          <w:tcPr>
            <w:tcW w:w="403" w:type="dxa"/>
            <w:tcBorders>
              <w:tl2br w:val="nil"/>
              <w:tr2bl w:val="nil"/>
            </w:tcBorders>
          </w:tcPr>
          <w:p>
            <w:pPr>
              <w:pStyle w:val="383"/>
              <w:spacing w:before="79"/>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3.90</w:t>
            </w:r>
          </w:p>
        </w:tc>
        <w:tc>
          <w:tcPr>
            <w:tcW w:w="553" w:type="dxa"/>
            <w:tcBorders>
              <w:tl2br w:val="nil"/>
              <w:tr2bl w:val="nil"/>
            </w:tcBorders>
          </w:tcPr>
          <w:p>
            <w:pPr>
              <w:pStyle w:val="383"/>
              <w:spacing w:before="79"/>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2.82</w:t>
            </w:r>
          </w:p>
        </w:tc>
        <w:tc>
          <w:tcPr>
            <w:tcW w:w="433" w:type="dxa"/>
            <w:tcBorders>
              <w:tl2br w:val="nil"/>
              <w:tr2bl w:val="nil"/>
            </w:tcBorders>
          </w:tcPr>
          <w:p>
            <w:pPr>
              <w:pStyle w:val="383"/>
              <w:spacing w:before="79"/>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5.24</w:t>
            </w:r>
          </w:p>
        </w:tc>
        <w:tc>
          <w:tcPr>
            <w:tcW w:w="590" w:type="dxa"/>
            <w:tcBorders>
              <w:tl2br w:val="nil"/>
              <w:tr2bl w:val="nil"/>
            </w:tcBorders>
          </w:tcPr>
          <w:p>
            <w:pPr>
              <w:pStyle w:val="383"/>
              <w:spacing w:before="79"/>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8.20</w:t>
            </w:r>
          </w:p>
        </w:tc>
        <w:tc>
          <w:tcPr>
            <w:tcW w:w="434" w:type="dxa"/>
            <w:tcBorders>
              <w:tl2br w:val="nil"/>
              <w:tr2bl w:val="nil"/>
            </w:tcBorders>
          </w:tcPr>
          <w:p>
            <w:pPr>
              <w:pStyle w:val="383"/>
              <w:spacing w:before="79"/>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13.17</w:t>
            </w:r>
          </w:p>
        </w:tc>
        <w:tc>
          <w:tcPr>
            <w:tcW w:w="520" w:type="dxa"/>
            <w:tcBorders>
              <w:tl2br w:val="nil"/>
              <w:tr2bl w:val="nil"/>
            </w:tcBorders>
          </w:tcPr>
          <w:p>
            <w:pPr>
              <w:pStyle w:val="383"/>
              <w:spacing w:before="79"/>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3.90</w:t>
            </w:r>
          </w:p>
        </w:tc>
        <w:tc>
          <w:tcPr>
            <w:tcW w:w="500" w:type="dxa"/>
            <w:tcBorders>
              <w:tl2br w:val="nil"/>
              <w:tr2bl w:val="nil"/>
            </w:tcBorders>
          </w:tcPr>
          <w:p>
            <w:pPr>
              <w:pStyle w:val="383"/>
              <w:spacing w:before="79"/>
              <w:ind w:left="1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12.37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24" w:type="dxa"/>
            <w:tcBorders>
              <w:tl2br w:val="nil"/>
              <w:tr2bl w:val="nil"/>
            </w:tcBorders>
          </w:tcPr>
          <w:p>
            <w:pPr>
              <w:pStyle w:val="383"/>
              <w:spacing w:before="68"/>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八月</w:t>
            </w:r>
          </w:p>
        </w:tc>
        <w:tc>
          <w:tcPr>
            <w:tcW w:w="403" w:type="dxa"/>
            <w:tcBorders>
              <w:tl2br w:val="nil"/>
              <w:tr2bl w:val="nil"/>
            </w:tcBorders>
          </w:tcPr>
          <w:p>
            <w:pPr>
              <w:pStyle w:val="383"/>
              <w:spacing w:before="78"/>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469" w:type="dxa"/>
            <w:tcBorders>
              <w:tl2br w:val="nil"/>
              <w:tr2bl w:val="nil"/>
            </w:tcBorders>
          </w:tcPr>
          <w:p>
            <w:pPr>
              <w:pStyle w:val="383"/>
              <w:spacing w:before="78"/>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3.23</w:t>
            </w:r>
          </w:p>
        </w:tc>
        <w:tc>
          <w:tcPr>
            <w:tcW w:w="510" w:type="dxa"/>
            <w:tcBorders>
              <w:tl2br w:val="nil"/>
              <w:tr2bl w:val="nil"/>
            </w:tcBorders>
          </w:tcPr>
          <w:p>
            <w:pPr>
              <w:pStyle w:val="383"/>
              <w:spacing w:before="78"/>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4.30</w:t>
            </w:r>
          </w:p>
        </w:tc>
        <w:tc>
          <w:tcPr>
            <w:tcW w:w="510" w:type="dxa"/>
            <w:tcBorders>
              <w:tl2br w:val="nil"/>
              <w:tr2bl w:val="nil"/>
            </w:tcBorders>
          </w:tcPr>
          <w:p>
            <w:pPr>
              <w:pStyle w:val="383"/>
              <w:spacing w:before="78"/>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7.26</w:t>
            </w:r>
          </w:p>
        </w:tc>
        <w:tc>
          <w:tcPr>
            <w:tcW w:w="510" w:type="dxa"/>
            <w:tcBorders>
              <w:tl2br w:val="nil"/>
              <w:tr2bl w:val="nil"/>
            </w:tcBorders>
          </w:tcPr>
          <w:p>
            <w:pPr>
              <w:pStyle w:val="383"/>
              <w:spacing w:before="78"/>
              <w:ind w:left="9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7.80</w:t>
            </w:r>
          </w:p>
        </w:tc>
        <w:tc>
          <w:tcPr>
            <w:tcW w:w="503" w:type="dxa"/>
            <w:tcBorders>
              <w:tl2br w:val="nil"/>
              <w:tr2bl w:val="nil"/>
            </w:tcBorders>
          </w:tcPr>
          <w:p>
            <w:pPr>
              <w:pStyle w:val="383"/>
              <w:spacing w:before="78"/>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5.38</w:t>
            </w:r>
          </w:p>
        </w:tc>
        <w:tc>
          <w:tcPr>
            <w:tcW w:w="403" w:type="dxa"/>
            <w:tcBorders>
              <w:tl2br w:val="nil"/>
              <w:tr2bl w:val="nil"/>
            </w:tcBorders>
          </w:tcPr>
          <w:p>
            <w:pPr>
              <w:pStyle w:val="383"/>
              <w:spacing w:before="78"/>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403" w:type="dxa"/>
            <w:tcBorders>
              <w:tl2br w:val="nil"/>
              <w:tr2bl w:val="nil"/>
            </w:tcBorders>
          </w:tcPr>
          <w:p>
            <w:pPr>
              <w:pStyle w:val="383"/>
              <w:spacing w:before="78"/>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2.42</w:t>
            </w:r>
          </w:p>
        </w:tc>
        <w:tc>
          <w:tcPr>
            <w:tcW w:w="469" w:type="dxa"/>
            <w:tcBorders>
              <w:tl2br w:val="nil"/>
              <w:tr2bl w:val="nil"/>
            </w:tcBorders>
          </w:tcPr>
          <w:p>
            <w:pPr>
              <w:pStyle w:val="383"/>
              <w:spacing w:before="78"/>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2.15</w:t>
            </w:r>
          </w:p>
        </w:tc>
        <w:tc>
          <w:tcPr>
            <w:tcW w:w="403" w:type="dxa"/>
            <w:tcBorders>
              <w:tl2br w:val="nil"/>
              <w:tr2bl w:val="nil"/>
            </w:tcBorders>
          </w:tcPr>
          <w:p>
            <w:pPr>
              <w:pStyle w:val="383"/>
              <w:spacing w:before="78"/>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5.78</w:t>
            </w:r>
          </w:p>
        </w:tc>
        <w:tc>
          <w:tcPr>
            <w:tcW w:w="553" w:type="dxa"/>
            <w:tcBorders>
              <w:tl2br w:val="nil"/>
              <w:tr2bl w:val="nil"/>
            </w:tcBorders>
          </w:tcPr>
          <w:p>
            <w:pPr>
              <w:pStyle w:val="383"/>
              <w:spacing w:before="78"/>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5.91</w:t>
            </w:r>
          </w:p>
        </w:tc>
        <w:tc>
          <w:tcPr>
            <w:tcW w:w="433" w:type="dxa"/>
            <w:tcBorders>
              <w:tl2br w:val="nil"/>
              <w:tr2bl w:val="nil"/>
            </w:tcBorders>
          </w:tcPr>
          <w:p>
            <w:pPr>
              <w:pStyle w:val="383"/>
              <w:spacing w:before="78"/>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7.93</w:t>
            </w:r>
          </w:p>
        </w:tc>
        <w:tc>
          <w:tcPr>
            <w:tcW w:w="590" w:type="dxa"/>
            <w:tcBorders>
              <w:tl2br w:val="nil"/>
              <w:tr2bl w:val="nil"/>
            </w:tcBorders>
          </w:tcPr>
          <w:p>
            <w:pPr>
              <w:pStyle w:val="383"/>
              <w:spacing w:before="78"/>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10.89</w:t>
            </w:r>
          </w:p>
        </w:tc>
        <w:tc>
          <w:tcPr>
            <w:tcW w:w="434" w:type="dxa"/>
            <w:tcBorders>
              <w:tl2br w:val="nil"/>
              <w:tr2bl w:val="nil"/>
            </w:tcBorders>
          </w:tcPr>
          <w:p>
            <w:pPr>
              <w:pStyle w:val="383"/>
              <w:spacing w:before="78"/>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11.56</w:t>
            </w:r>
          </w:p>
        </w:tc>
        <w:tc>
          <w:tcPr>
            <w:tcW w:w="520" w:type="dxa"/>
            <w:tcBorders>
              <w:tl2br w:val="nil"/>
              <w:tr2bl w:val="nil"/>
            </w:tcBorders>
          </w:tcPr>
          <w:p>
            <w:pPr>
              <w:pStyle w:val="383"/>
              <w:spacing w:before="78"/>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3.23</w:t>
            </w:r>
          </w:p>
        </w:tc>
        <w:tc>
          <w:tcPr>
            <w:tcW w:w="500" w:type="dxa"/>
            <w:tcBorders>
              <w:tl2br w:val="nil"/>
              <w:tr2bl w:val="nil"/>
            </w:tcBorders>
          </w:tcPr>
          <w:p>
            <w:pPr>
              <w:pStyle w:val="383"/>
              <w:spacing w:before="78"/>
              <w:ind w:left="1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14.52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4" w:type="dxa"/>
            <w:tcBorders>
              <w:tl2br w:val="nil"/>
              <w:tr2bl w:val="nil"/>
            </w:tcBorders>
          </w:tcPr>
          <w:p>
            <w:pPr>
              <w:pStyle w:val="383"/>
              <w:spacing w:before="67"/>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九月</w:t>
            </w:r>
          </w:p>
        </w:tc>
        <w:tc>
          <w:tcPr>
            <w:tcW w:w="403" w:type="dxa"/>
            <w:tcBorders>
              <w:tl2br w:val="nil"/>
              <w:tr2bl w:val="nil"/>
            </w:tcBorders>
          </w:tcPr>
          <w:p>
            <w:pPr>
              <w:pStyle w:val="383"/>
              <w:spacing w:before="79"/>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2.22</w:t>
            </w:r>
          </w:p>
        </w:tc>
        <w:tc>
          <w:tcPr>
            <w:tcW w:w="469" w:type="dxa"/>
            <w:tcBorders>
              <w:tl2br w:val="nil"/>
              <w:tr2bl w:val="nil"/>
            </w:tcBorders>
          </w:tcPr>
          <w:p>
            <w:pPr>
              <w:pStyle w:val="383"/>
              <w:spacing w:before="79"/>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2.64</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6.94</w:t>
            </w:r>
          </w:p>
        </w:tc>
        <w:tc>
          <w:tcPr>
            <w:tcW w:w="510" w:type="dxa"/>
            <w:tcBorders>
              <w:tl2br w:val="nil"/>
              <w:tr2bl w:val="nil"/>
            </w:tcBorders>
          </w:tcPr>
          <w:p>
            <w:pPr>
              <w:pStyle w:val="383"/>
              <w:spacing w:before="79"/>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9.86</w:t>
            </w:r>
          </w:p>
        </w:tc>
        <w:tc>
          <w:tcPr>
            <w:tcW w:w="510" w:type="dxa"/>
            <w:tcBorders>
              <w:tl2br w:val="nil"/>
              <w:tr2bl w:val="nil"/>
            </w:tcBorders>
          </w:tcPr>
          <w:p>
            <w:pPr>
              <w:pStyle w:val="383"/>
              <w:spacing w:before="79"/>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7.36</w:t>
            </w:r>
          </w:p>
        </w:tc>
        <w:tc>
          <w:tcPr>
            <w:tcW w:w="510" w:type="dxa"/>
            <w:tcBorders>
              <w:tl2br w:val="nil"/>
              <w:tr2bl w:val="nil"/>
            </w:tcBorders>
          </w:tcPr>
          <w:p>
            <w:pPr>
              <w:pStyle w:val="383"/>
              <w:spacing w:before="79"/>
              <w:ind w:left="9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6.53</w:t>
            </w:r>
          </w:p>
        </w:tc>
        <w:tc>
          <w:tcPr>
            <w:tcW w:w="503" w:type="dxa"/>
            <w:tcBorders>
              <w:tl2br w:val="nil"/>
              <w:tr2bl w:val="nil"/>
            </w:tcBorders>
          </w:tcPr>
          <w:p>
            <w:pPr>
              <w:pStyle w:val="383"/>
              <w:spacing w:before="79"/>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6.11</w:t>
            </w:r>
          </w:p>
        </w:tc>
        <w:tc>
          <w:tcPr>
            <w:tcW w:w="403" w:type="dxa"/>
            <w:tcBorders>
              <w:tl2br w:val="nil"/>
              <w:tr2bl w:val="nil"/>
            </w:tcBorders>
          </w:tcPr>
          <w:p>
            <w:pPr>
              <w:pStyle w:val="383"/>
              <w:spacing w:before="79"/>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2.92</w:t>
            </w:r>
          </w:p>
        </w:tc>
        <w:tc>
          <w:tcPr>
            <w:tcW w:w="403" w:type="dxa"/>
            <w:tcBorders>
              <w:tl2br w:val="nil"/>
              <w:tr2bl w:val="nil"/>
            </w:tcBorders>
          </w:tcPr>
          <w:p>
            <w:pPr>
              <w:pStyle w:val="383"/>
              <w:spacing w:before="79"/>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2.08</w:t>
            </w:r>
          </w:p>
        </w:tc>
        <w:tc>
          <w:tcPr>
            <w:tcW w:w="469" w:type="dxa"/>
            <w:tcBorders>
              <w:tl2br w:val="nil"/>
              <w:tr2bl w:val="nil"/>
            </w:tcBorders>
          </w:tcPr>
          <w:p>
            <w:pPr>
              <w:pStyle w:val="383"/>
              <w:spacing w:before="79"/>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2.36</w:t>
            </w:r>
          </w:p>
        </w:tc>
        <w:tc>
          <w:tcPr>
            <w:tcW w:w="403" w:type="dxa"/>
            <w:tcBorders>
              <w:tl2br w:val="nil"/>
              <w:tr2bl w:val="nil"/>
            </w:tcBorders>
          </w:tcPr>
          <w:p>
            <w:pPr>
              <w:pStyle w:val="383"/>
              <w:spacing w:before="79"/>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3.33</w:t>
            </w:r>
          </w:p>
        </w:tc>
        <w:tc>
          <w:tcPr>
            <w:tcW w:w="553" w:type="dxa"/>
            <w:tcBorders>
              <w:tl2br w:val="nil"/>
              <w:tr2bl w:val="nil"/>
            </w:tcBorders>
          </w:tcPr>
          <w:p>
            <w:pPr>
              <w:pStyle w:val="383"/>
              <w:spacing w:before="79"/>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4.86</w:t>
            </w:r>
          </w:p>
        </w:tc>
        <w:tc>
          <w:tcPr>
            <w:tcW w:w="433" w:type="dxa"/>
            <w:tcBorders>
              <w:tl2br w:val="nil"/>
              <w:tr2bl w:val="nil"/>
            </w:tcBorders>
          </w:tcPr>
          <w:p>
            <w:pPr>
              <w:pStyle w:val="383"/>
              <w:spacing w:before="79"/>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7.36</w:t>
            </w:r>
          </w:p>
        </w:tc>
        <w:tc>
          <w:tcPr>
            <w:tcW w:w="590" w:type="dxa"/>
            <w:tcBorders>
              <w:tl2br w:val="nil"/>
              <w:tr2bl w:val="nil"/>
            </w:tcBorders>
          </w:tcPr>
          <w:p>
            <w:pPr>
              <w:pStyle w:val="383"/>
              <w:spacing w:before="79"/>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8.19</w:t>
            </w:r>
          </w:p>
        </w:tc>
        <w:tc>
          <w:tcPr>
            <w:tcW w:w="434" w:type="dxa"/>
            <w:tcBorders>
              <w:tl2br w:val="nil"/>
              <w:tr2bl w:val="nil"/>
            </w:tcBorders>
          </w:tcPr>
          <w:p>
            <w:pPr>
              <w:pStyle w:val="383"/>
              <w:spacing w:before="79"/>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5.42</w:t>
            </w:r>
          </w:p>
        </w:tc>
        <w:tc>
          <w:tcPr>
            <w:tcW w:w="520" w:type="dxa"/>
            <w:tcBorders>
              <w:tl2br w:val="nil"/>
              <w:tr2bl w:val="nil"/>
            </w:tcBorders>
          </w:tcPr>
          <w:p>
            <w:pPr>
              <w:pStyle w:val="383"/>
              <w:spacing w:before="79"/>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3.89</w:t>
            </w:r>
          </w:p>
        </w:tc>
        <w:tc>
          <w:tcPr>
            <w:tcW w:w="500" w:type="dxa"/>
            <w:tcBorders>
              <w:tl2br w:val="nil"/>
              <w:tr2bl w:val="nil"/>
            </w:tcBorders>
          </w:tcPr>
          <w:p>
            <w:pPr>
              <w:pStyle w:val="383"/>
              <w:spacing w:before="79"/>
              <w:ind w:left="1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17.92</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53" w:hRule="atLeast"/>
        </w:trPr>
        <w:tc>
          <w:tcPr>
            <w:tcW w:w="924" w:type="dxa"/>
            <w:tcBorders>
              <w:tl2br w:val="nil"/>
              <w:tr2bl w:val="nil"/>
            </w:tcBorders>
          </w:tcPr>
          <w:p>
            <w:pPr>
              <w:pStyle w:val="383"/>
              <w:spacing w:before="68"/>
              <w:ind w:left="204"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十月</w:t>
            </w:r>
          </w:p>
        </w:tc>
        <w:tc>
          <w:tcPr>
            <w:tcW w:w="403" w:type="dxa"/>
            <w:tcBorders>
              <w:tl2br w:val="nil"/>
              <w:tr2bl w:val="nil"/>
            </w:tcBorders>
          </w:tcPr>
          <w:p>
            <w:pPr>
              <w:pStyle w:val="383"/>
              <w:spacing w:before="80"/>
              <w:ind w:left="23" w:right="1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469" w:type="dxa"/>
            <w:tcBorders>
              <w:tl2br w:val="nil"/>
              <w:tr2bl w:val="nil"/>
            </w:tcBorders>
          </w:tcPr>
          <w:p>
            <w:pPr>
              <w:pStyle w:val="383"/>
              <w:spacing w:before="80"/>
              <w:ind w:left="7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0.94</w:t>
            </w:r>
          </w:p>
        </w:tc>
        <w:tc>
          <w:tcPr>
            <w:tcW w:w="510" w:type="dxa"/>
            <w:tcBorders>
              <w:tl2br w:val="nil"/>
              <w:tr2bl w:val="nil"/>
            </w:tcBorders>
          </w:tcPr>
          <w:p>
            <w:pPr>
              <w:pStyle w:val="383"/>
              <w:spacing w:before="80"/>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2.42</w:t>
            </w:r>
          </w:p>
        </w:tc>
        <w:tc>
          <w:tcPr>
            <w:tcW w:w="510" w:type="dxa"/>
            <w:tcBorders>
              <w:tl2br w:val="nil"/>
              <w:tr2bl w:val="nil"/>
            </w:tcBorders>
          </w:tcPr>
          <w:p>
            <w:pPr>
              <w:pStyle w:val="383"/>
              <w:spacing w:before="80"/>
              <w:ind w:left="28"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3.23</w:t>
            </w:r>
          </w:p>
        </w:tc>
        <w:tc>
          <w:tcPr>
            <w:tcW w:w="510" w:type="dxa"/>
            <w:tcBorders>
              <w:tl2br w:val="nil"/>
              <w:tr2bl w:val="nil"/>
            </w:tcBorders>
          </w:tcPr>
          <w:p>
            <w:pPr>
              <w:pStyle w:val="383"/>
              <w:spacing w:before="80"/>
              <w:ind w:left="31" w:right="2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5.24</w:t>
            </w:r>
          </w:p>
        </w:tc>
        <w:tc>
          <w:tcPr>
            <w:tcW w:w="510" w:type="dxa"/>
            <w:tcBorders>
              <w:tl2br w:val="nil"/>
              <w:tr2bl w:val="nil"/>
            </w:tcBorders>
          </w:tcPr>
          <w:p>
            <w:pPr>
              <w:pStyle w:val="383"/>
              <w:spacing w:before="80"/>
              <w:ind w:left="9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9.14</w:t>
            </w:r>
          </w:p>
        </w:tc>
        <w:tc>
          <w:tcPr>
            <w:tcW w:w="503" w:type="dxa"/>
            <w:tcBorders>
              <w:tl2br w:val="nil"/>
              <w:tr2bl w:val="nil"/>
            </w:tcBorders>
          </w:tcPr>
          <w:p>
            <w:pPr>
              <w:pStyle w:val="383"/>
              <w:spacing w:before="80"/>
              <w:ind w:left="28"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7.26</w:t>
            </w:r>
          </w:p>
        </w:tc>
        <w:tc>
          <w:tcPr>
            <w:tcW w:w="403" w:type="dxa"/>
            <w:tcBorders>
              <w:tl2br w:val="nil"/>
              <w:tr2bl w:val="nil"/>
            </w:tcBorders>
          </w:tcPr>
          <w:p>
            <w:pPr>
              <w:pStyle w:val="383"/>
              <w:spacing w:before="80"/>
              <w:ind w:right="3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1.08</w:t>
            </w:r>
          </w:p>
        </w:tc>
        <w:tc>
          <w:tcPr>
            <w:tcW w:w="403" w:type="dxa"/>
            <w:tcBorders>
              <w:tl2br w:val="nil"/>
              <w:tr2bl w:val="nil"/>
            </w:tcBorders>
          </w:tcPr>
          <w:p>
            <w:pPr>
              <w:pStyle w:val="383"/>
              <w:spacing w:before="80"/>
              <w:ind w:left="21" w:right="18"/>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3.09</w:t>
            </w:r>
          </w:p>
        </w:tc>
        <w:tc>
          <w:tcPr>
            <w:tcW w:w="469" w:type="dxa"/>
            <w:tcBorders>
              <w:tl2br w:val="nil"/>
              <w:tr2bl w:val="nil"/>
            </w:tcBorders>
          </w:tcPr>
          <w:p>
            <w:pPr>
              <w:pStyle w:val="383"/>
              <w:spacing w:before="80"/>
              <w:ind w:left="26" w:right="2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2.96</w:t>
            </w:r>
          </w:p>
        </w:tc>
        <w:tc>
          <w:tcPr>
            <w:tcW w:w="403" w:type="dxa"/>
            <w:tcBorders>
              <w:tl2br w:val="nil"/>
              <w:tr2bl w:val="nil"/>
            </w:tcBorders>
          </w:tcPr>
          <w:p>
            <w:pPr>
              <w:pStyle w:val="383"/>
              <w:spacing w:before="80"/>
              <w:ind w:left="23" w:right="17"/>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3.49</w:t>
            </w:r>
          </w:p>
        </w:tc>
        <w:tc>
          <w:tcPr>
            <w:tcW w:w="553" w:type="dxa"/>
            <w:tcBorders>
              <w:tl2br w:val="nil"/>
              <w:tr2bl w:val="nil"/>
            </w:tcBorders>
          </w:tcPr>
          <w:p>
            <w:pPr>
              <w:pStyle w:val="383"/>
              <w:spacing w:before="80"/>
              <w:ind w:left="36" w:right="3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8.33</w:t>
            </w:r>
          </w:p>
        </w:tc>
        <w:tc>
          <w:tcPr>
            <w:tcW w:w="433" w:type="dxa"/>
            <w:tcBorders>
              <w:tl2br w:val="nil"/>
              <w:tr2bl w:val="nil"/>
            </w:tcBorders>
          </w:tcPr>
          <w:p>
            <w:pPr>
              <w:pStyle w:val="383"/>
              <w:spacing w:before="80"/>
              <w:ind w:left="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9.68</w:t>
            </w:r>
          </w:p>
        </w:tc>
        <w:tc>
          <w:tcPr>
            <w:tcW w:w="590" w:type="dxa"/>
            <w:tcBorders>
              <w:tl2br w:val="nil"/>
              <w:tr2bl w:val="nil"/>
            </w:tcBorders>
          </w:tcPr>
          <w:p>
            <w:pPr>
              <w:pStyle w:val="383"/>
              <w:spacing w:before="80"/>
              <w:ind w:left="37" w:right="3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7.66</w:t>
            </w:r>
          </w:p>
        </w:tc>
        <w:tc>
          <w:tcPr>
            <w:tcW w:w="434" w:type="dxa"/>
            <w:tcBorders>
              <w:tl2br w:val="nil"/>
              <w:tr2bl w:val="nil"/>
            </w:tcBorders>
          </w:tcPr>
          <w:p>
            <w:pPr>
              <w:pStyle w:val="383"/>
              <w:spacing w:before="80"/>
              <w:ind w:left="6"/>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5.38</w:t>
            </w:r>
          </w:p>
        </w:tc>
        <w:tc>
          <w:tcPr>
            <w:tcW w:w="520" w:type="dxa"/>
            <w:tcBorders>
              <w:tl2br w:val="nil"/>
              <w:tr2bl w:val="nil"/>
            </w:tcBorders>
          </w:tcPr>
          <w:p>
            <w:pPr>
              <w:pStyle w:val="383"/>
              <w:spacing w:before="80"/>
              <w:ind w:left="22" w:right="2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1.75</w:t>
            </w:r>
          </w:p>
        </w:tc>
        <w:tc>
          <w:tcPr>
            <w:tcW w:w="500" w:type="dxa"/>
            <w:tcBorders>
              <w:tl2br w:val="nil"/>
              <w:tr2bl w:val="nil"/>
            </w:tcBorders>
          </w:tcPr>
          <w:p>
            <w:pPr>
              <w:pStyle w:val="383"/>
              <w:spacing w:before="80"/>
              <w:ind w:left="1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25.81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4" w:type="dxa"/>
            <w:tcBorders>
              <w:tl2br w:val="nil"/>
              <w:tr2bl w:val="nil"/>
            </w:tcBorders>
          </w:tcPr>
          <w:p>
            <w:pPr>
              <w:pStyle w:val="383"/>
              <w:spacing w:before="69"/>
              <w:ind w:left="207"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十一月</w:t>
            </w:r>
          </w:p>
        </w:tc>
        <w:tc>
          <w:tcPr>
            <w:tcW w:w="403" w:type="dxa"/>
            <w:tcBorders>
              <w:tl2br w:val="nil"/>
              <w:tr2bl w:val="nil"/>
            </w:tcBorders>
          </w:tcPr>
          <w:p>
            <w:pPr>
              <w:pStyle w:val="383"/>
              <w:spacing w:before="78"/>
              <w:ind w:left="23" w:right="16"/>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1.94</w:t>
            </w:r>
          </w:p>
        </w:tc>
        <w:tc>
          <w:tcPr>
            <w:tcW w:w="469" w:type="dxa"/>
            <w:tcBorders>
              <w:tl2br w:val="nil"/>
              <w:tr2bl w:val="nil"/>
            </w:tcBorders>
          </w:tcPr>
          <w:p>
            <w:pPr>
              <w:pStyle w:val="383"/>
              <w:spacing w:before="78"/>
              <w:ind w:left="76"/>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2.22</w:t>
            </w:r>
          </w:p>
        </w:tc>
        <w:tc>
          <w:tcPr>
            <w:tcW w:w="510" w:type="dxa"/>
            <w:tcBorders>
              <w:tl2br w:val="nil"/>
              <w:tr2bl w:val="nil"/>
            </w:tcBorders>
          </w:tcPr>
          <w:p>
            <w:pPr>
              <w:pStyle w:val="383"/>
              <w:spacing w:before="78"/>
              <w:ind w:left="31" w:right="2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4.44</w:t>
            </w:r>
          </w:p>
        </w:tc>
        <w:tc>
          <w:tcPr>
            <w:tcW w:w="510" w:type="dxa"/>
            <w:tcBorders>
              <w:tl2br w:val="nil"/>
              <w:tr2bl w:val="nil"/>
            </w:tcBorders>
          </w:tcPr>
          <w:p>
            <w:pPr>
              <w:pStyle w:val="383"/>
              <w:spacing w:before="78"/>
              <w:ind w:left="28" w:right="2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5.14</w:t>
            </w:r>
          </w:p>
        </w:tc>
        <w:tc>
          <w:tcPr>
            <w:tcW w:w="510" w:type="dxa"/>
            <w:tcBorders>
              <w:tl2br w:val="nil"/>
              <w:tr2bl w:val="nil"/>
            </w:tcBorders>
          </w:tcPr>
          <w:p>
            <w:pPr>
              <w:pStyle w:val="383"/>
              <w:spacing w:before="78"/>
              <w:ind w:left="31" w:right="2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10.56</w:t>
            </w:r>
          </w:p>
        </w:tc>
        <w:tc>
          <w:tcPr>
            <w:tcW w:w="510" w:type="dxa"/>
            <w:tcBorders>
              <w:tl2br w:val="nil"/>
              <w:tr2bl w:val="nil"/>
            </w:tcBorders>
          </w:tcPr>
          <w:p>
            <w:pPr>
              <w:pStyle w:val="383"/>
              <w:spacing w:before="78"/>
              <w:ind w:left="95"/>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6.39</w:t>
            </w:r>
          </w:p>
        </w:tc>
        <w:tc>
          <w:tcPr>
            <w:tcW w:w="503" w:type="dxa"/>
            <w:tcBorders>
              <w:tl2br w:val="nil"/>
              <w:tr2bl w:val="nil"/>
            </w:tcBorders>
          </w:tcPr>
          <w:p>
            <w:pPr>
              <w:pStyle w:val="383"/>
              <w:spacing w:before="78"/>
              <w:ind w:left="28" w:right="2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4.44</w:t>
            </w:r>
          </w:p>
        </w:tc>
        <w:tc>
          <w:tcPr>
            <w:tcW w:w="403" w:type="dxa"/>
            <w:tcBorders>
              <w:tl2br w:val="nil"/>
              <w:tr2bl w:val="nil"/>
            </w:tcBorders>
          </w:tcPr>
          <w:p>
            <w:pPr>
              <w:pStyle w:val="383"/>
              <w:spacing w:before="78"/>
              <w:ind w:right="37"/>
              <w:jc w:val="righ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3.33</w:t>
            </w:r>
          </w:p>
        </w:tc>
        <w:tc>
          <w:tcPr>
            <w:tcW w:w="403" w:type="dxa"/>
            <w:tcBorders>
              <w:tl2br w:val="nil"/>
              <w:tr2bl w:val="nil"/>
            </w:tcBorders>
          </w:tcPr>
          <w:p>
            <w:pPr>
              <w:pStyle w:val="383"/>
              <w:spacing w:before="78"/>
              <w:ind w:left="21" w:right="18"/>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2.92</w:t>
            </w:r>
          </w:p>
        </w:tc>
        <w:tc>
          <w:tcPr>
            <w:tcW w:w="469" w:type="dxa"/>
            <w:tcBorders>
              <w:tl2br w:val="nil"/>
              <w:tr2bl w:val="nil"/>
            </w:tcBorders>
          </w:tcPr>
          <w:p>
            <w:pPr>
              <w:pStyle w:val="383"/>
              <w:spacing w:before="78"/>
              <w:ind w:left="26" w:right="2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3.06</w:t>
            </w:r>
          </w:p>
        </w:tc>
        <w:tc>
          <w:tcPr>
            <w:tcW w:w="403" w:type="dxa"/>
            <w:tcBorders>
              <w:tl2br w:val="nil"/>
              <w:tr2bl w:val="nil"/>
            </w:tcBorders>
          </w:tcPr>
          <w:p>
            <w:pPr>
              <w:pStyle w:val="383"/>
              <w:spacing w:before="78"/>
              <w:ind w:left="23" w:right="1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3.89</w:t>
            </w:r>
          </w:p>
        </w:tc>
        <w:tc>
          <w:tcPr>
            <w:tcW w:w="553" w:type="dxa"/>
            <w:tcBorders>
              <w:tl2br w:val="nil"/>
              <w:tr2bl w:val="nil"/>
            </w:tcBorders>
          </w:tcPr>
          <w:p>
            <w:pPr>
              <w:pStyle w:val="383"/>
              <w:spacing w:before="78"/>
              <w:ind w:left="36" w:right="31"/>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7.36</w:t>
            </w:r>
          </w:p>
        </w:tc>
        <w:tc>
          <w:tcPr>
            <w:tcW w:w="433" w:type="dxa"/>
            <w:tcBorders>
              <w:tl2br w:val="nil"/>
              <w:tr2bl w:val="nil"/>
            </w:tcBorders>
          </w:tcPr>
          <w:p>
            <w:pPr>
              <w:pStyle w:val="383"/>
              <w:spacing w:before="78"/>
              <w:ind w:left="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7.36</w:t>
            </w:r>
          </w:p>
        </w:tc>
        <w:tc>
          <w:tcPr>
            <w:tcW w:w="590" w:type="dxa"/>
            <w:tcBorders>
              <w:tl2br w:val="nil"/>
              <w:tr2bl w:val="nil"/>
            </w:tcBorders>
          </w:tcPr>
          <w:p>
            <w:pPr>
              <w:pStyle w:val="383"/>
              <w:spacing w:before="78"/>
              <w:ind w:left="37" w:right="3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4.86</w:t>
            </w:r>
          </w:p>
        </w:tc>
        <w:tc>
          <w:tcPr>
            <w:tcW w:w="434" w:type="dxa"/>
            <w:tcBorders>
              <w:tl2br w:val="nil"/>
              <w:tr2bl w:val="nil"/>
            </w:tcBorders>
          </w:tcPr>
          <w:p>
            <w:pPr>
              <w:pStyle w:val="383"/>
              <w:spacing w:before="78"/>
              <w:ind w:left="6"/>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3.75</w:t>
            </w:r>
          </w:p>
        </w:tc>
        <w:tc>
          <w:tcPr>
            <w:tcW w:w="520" w:type="dxa"/>
            <w:tcBorders>
              <w:tl2br w:val="nil"/>
              <w:tr2bl w:val="nil"/>
            </w:tcBorders>
          </w:tcPr>
          <w:p>
            <w:pPr>
              <w:pStyle w:val="383"/>
              <w:spacing w:before="78"/>
              <w:ind w:left="22" w:right="2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0.83</w:t>
            </w:r>
          </w:p>
        </w:tc>
        <w:tc>
          <w:tcPr>
            <w:tcW w:w="500" w:type="dxa"/>
            <w:tcBorders>
              <w:tl2br w:val="nil"/>
              <w:tr2bl w:val="nil"/>
            </w:tcBorders>
          </w:tcPr>
          <w:p>
            <w:pPr>
              <w:pStyle w:val="383"/>
              <w:spacing w:before="78"/>
              <w:ind w:left="13"/>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27.50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24" w:type="dxa"/>
            <w:tcBorders>
              <w:tl2br w:val="nil"/>
              <w:tr2bl w:val="nil"/>
            </w:tcBorders>
          </w:tcPr>
          <w:p>
            <w:pPr>
              <w:pStyle w:val="383"/>
              <w:spacing w:before="67"/>
              <w:ind w:left="207" w:right="134"/>
              <w:rPr>
                <w:rFonts w:ascii="宋体"/>
                <w:color w:val="000000" w:themeColor="text1"/>
                <w:sz w:val="18"/>
                <w14:textFill>
                  <w14:solidFill>
                    <w14:schemeClr w14:val="tx1"/>
                  </w14:solidFill>
                </w14:textFill>
              </w:rPr>
            </w:pPr>
            <w:r>
              <w:rPr>
                <w:rFonts w:hint="eastAsia" w:ascii="宋体"/>
                <w:color w:val="000000" w:themeColor="text1"/>
                <w:sz w:val="18"/>
                <w14:textFill>
                  <w14:solidFill>
                    <w14:schemeClr w14:val="tx1"/>
                  </w14:solidFill>
                </w14:textFill>
              </w:rPr>
              <w:t>十二月</w:t>
            </w:r>
          </w:p>
        </w:tc>
        <w:tc>
          <w:tcPr>
            <w:tcW w:w="403" w:type="dxa"/>
            <w:tcBorders>
              <w:tl2br w:val="nil"/>
              <w:tr2bl w:val="nil"/>
            </w:tcBorders>
          </w:tcPr>
          <w:p>
            <w:pPr>
              <w:pStyle w:val="383"/>
              <w:spacing w:before="79"/>
              <w:ind w:left="23" w:right="16"/>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1.34</w:t>
            </w:r>
          </w:p>
        </w:tc>
        <w:tc>
          <w:tcPr>
            <w:tcW w:w="469" w:type="dxa"/>
            <w:tcBorders>
              <w:tl2br w:val="nil"/>
              <w:tr2bl w:val="nil"/>
            </w:tcBorders>
          </w:tcPr>
          <w:p>
            <w:pPr>
              <w:pStyle w:val="383"/>
              <w:spacing w:before="79"/>
              <w:ind w:left="76"/>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3.23</w:t>
            </w:r>
          </w:p>
        </w:tc>
        <w:tc>
          <w:tcPr>
            <w:tcW w:w="510" w:type="dxa"/>
            <w:tcBorders>
              <w:tl2br w:val="nil"/>
              <w:tr2bl w:val="nil"/>
            </w:tcBorders>
          </w:tcPr>
          <w:p>
            <w:pPr>
              <w:pStyle w:val="383"/>
              <w:spacing w:before="79"/>
              <w:ind w:left="31" w:right="2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8.06</w:t>
            </w:r>
          </w:p>
        </w:tc>
        <w:tc>
          <w:tcPr>
            <w:tcW w:w="510" w:type="dxa"/>
            <w:tcBorders>
              <w:tl2br w:val="nil"/>
              <w:tr2bl w:val="nil"/>
            </w:tcBorders>
          </w:tcPr>
          <w:p>
            <w:pPr>
              <w:pStyle w:val="383"/>
              <w:spacing w:before="79"/>
              <w:ind w:left="28" w:right="2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6.05</w:t>
            </w:r>
          </w:p>
        </w:tc>
        <w:tc>
          <w:tcPr>
            <w:tcW w:w="510" w:type="dxa"/>
            <w:tcBorders>
              <w:tl2br w:val="nil"/>
              <w:tr2bl w:val="nil"/>
            </w:tcBorders>
          </w:tcPr>
          <w:p>
            <w:pPr>
              <w:pStyle w:val="383"/>
              <w:spacing w:before="79"/>
              <w:ind w:left="31" w:right="2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10.22</w:t>
            </w:r>
          </w:p>
        </w:tc>
        <w:tc>
          <w:tcPr>
            <w:tcW w:w="510" w:type="dxa"/>
            <w:tcBorders>
              <w:tl2br w:val="nil"/>
              <w:tr2bl w:val="nil"/>
            </w:tcBorders>
          </w:tcPr>
          <w:p>
            <w:pPr>
              <w:pStyle w:val="383"/>
              <w:spacing w:before="79"/>
              <w:ind w:left="52"/>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10.48</w:t>
            </w:r>
          </w:p>
        </w:tc>
        <w:tc>
          <w:tcPr>
            <w:tcW w:w="503" w:type="dxa"/>
            <w:tcBorders>
              <w:tl2br w:val="nil"/>
              <w:tr2bl w:val="nil"/>
            </w:tcBorders>
          </w:tcPr>
          <w:p>
            <w:pPr>
              <w:pStyle w:val="383"/>
              <w:spacing w:before="79"/>
              <w:ind w:left="28" w:right="2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5.51</w:t>
            </w:r>
          </w:p>
        </w:tc>
        <w:tc>
          <w:tcPr>
            <w:tcW w:w="403" w:type="dxa"/>
            <w:tcBorders>
              <w:tl2br w:val="nil"/>
              <w:tr2bl w:val="nil"/>
            </w:tcBorders>
          </w:tcPr>
          <w:p>
            <w:pPr>
              <w:pStyle w:val="383"/>
              <w:spacing w:before="79"/>
              <w:ind w:right="37"/>
              <w:jc w:val="righ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403" w:type="dxa"/>
            <w:tcBorders>
              <w:tl2br w:val="nil"/>
              <w:tr2bl w:val="nil"/>
            </w:tcBorders>
          </w:tcPr>
          <w:p>
            <w:pPr>
              <w:pStyle w:val="383"/>
              <w:spacing w:before="79"/>
              <w:ind w:left="21" w:right="18"/>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4.30</w:t>
            </w:r>
          </w:p>
        </w:tc>
        <w:tc>
          <w:tcPr>
            <w:tcW w:w="469" w:type="dxa"/>
            <w:tcBorders>
              <w:tl2br w:val="nil"/>
              <w:tr2bl w:val="nil"/>
            </w:tcBorders>
          </w:tcPr>
          <w:p>
            <w:pPr>
              <w:pStyle w:val="383"/>
              <w:spacing w:before="79"/>
              <w:ind w:left="26" w:right="22"/>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403" w:type="dxa"/>
            <w:tcBorders>
              <w:tl2br w:val="nil"/>
              <w:tr2bl w:val="nil"/>
            </w:tcBorders>
          </w:tcPr>
          <w:p>
            <w:pPr>
              <w:pStyle w:val="383"/>
              <w:spacing w:before="79"/>
              <w:ind w:left="23" w:right="17"/>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2.55</w:t>
            </w:r>
          </w:p>
        </w:tc>
        <w:tc>
          <w:tcPr>
            <w:tcW w:w="553" w:type="dxa"/>
            <w:tcBorders>
              <w:tl2br w:val="nil"/>
              <w:tr2bl w:val="nil"/>
            </w:tcBorders>
          </w:tcPr>
          <w:p>
            <w:pPr>
              <w:pStyle w:val="383"/>
              <w:spacing w:before="79"/>
              <w:ind w:left="36" w:right="31"/>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4.44</w:t>
            </w:r>
          </w:p>
        </w:tc>
        <w:tc>
          <w:tcPr>
            <w:tcW w:w="433" w:type="dxa"/>
            <w:tcBorders>
              <w:tl2br w:val="nil"/>
              <w:tr2bl w:val="nil"/>
            </w:tcBorders>
          </w:tcPr>
          <w:p>
            <w:pPr>
              <w:pStyle w:val="383"/>
              <w:spacing w:before="79"/>
              <w:ind w:left="3"/>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6.99</w:t>
            </w:r>
          </w:p>
        </w:tc>
        <w:tc>
          <w:tcPr>
            <w:tcW w:w="590" w:type="dxa"/>
            <w:tcBorders>
              <w:tl2br w:val="nil"/>
              <w:tr2bl w:val="nil"/>
            </w:tcBorders>
          </w:tcPr>
          <w:p>
            <w:pPr>
              <w:pStyle w:val="383"/>
              <w:spacing w:before="79"/>
              <w:ind w:left="37" w:right="34"/>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5.91</w:t>
            </w:r>
          </w:p>
        </w:tc>
        <w:tc>
          <w:tcPr>
            <w:tcW w:w="434" w:type="dxa"/>
            <w:tcBorders>
              <w:tl2br w:val="nil"/>
              <w:tr2bl w:val="nil"/>
            </w:tcBorders>
          </w:tcPr>
          <w:p>
            <w:pPr>
              <w:pStyle w:val="383"/>
              <w:spacing w:before="79"/>
              <w:ind w:left="6"/>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2.15</w:t>
            </w:r>
          </w:p>
        </w:tc>
        <w:tc>
          <w:tcPr>
            <w:tcW w:w="520" w:type="dxa"/>
            <w:tcBorders>
              <w:tl2br w:val="nil"/>
              <w:tr2bl w:val="nil"/>
            </w:tcBorders>
          </w:tcPr>
          <w:p>
            <w:pPr>
              <w:pStyle w:val="383"/>
              <w:spacing w:before="79"/>
              <w:ind w:left="22" w:right="2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0.94</w:t>
            </w:r>
          </w:p>
        </w:tc>
        <w:tc>
          <w:tcPr>
            <w:tcW w:w="500" w:type="dxa"/>
            <w:tcBorders>
              <w:tl2br w:val="nil"/>
              <w:tr2bl w:val="nil"/>
            </w:tcBorders>
          </w:tcPr>
          <w:p>
            <w:pPr>
              <w:pStyle w:val="383"/>
              <w:spacing w:before="79"/>
              <w:ind w:left="13"/>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22.72</w:t>
            </w:r>
          </w:p>
        </w:tc>
      </w:tr>
    </w:tbl>
    <w:p>
      <w:pPr>
        <w:pStyle w:val="385"/>
        <w:adjustRightInd w:val="0"/>
        <w:snapToGrid w:val="0"/>
        <w:spacing w:line="520" w:lineRule="exact"/>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由年均风频的月变化统计资料可以看出，全年各月主导风向角范围为45 º ~157.5º，从年均风频的季变化统计资料可以看出，该地区的年主导风向的风向角范围为67.5º~112.5º，出现频率为33.58%。全年及四季风频玫瑰见图</w:t>
      </w:r>
      <w:r>
        <w:rPr>
          <w:rFonts w:hint="eastAsia"/>
          <w:snapToGrid w:val="0"/>
          <w:color w:val="000000" w:themeColor="text1"/>
          <w:lang w:val="en-US" w:eastAsia="zh-CN"/>
          <w14:textFill>
            <w14:solidFill>
              <w14:schemeClr w14:val="tx1"/>
            </w14:solidFill>
          </w14:textFill>
        </w:rPr>
        <w:t>6</w:t>
      </w:r>
      <w:r>
        <w:rPr>
          <w:snapToGrid w:val="0"/>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2</w:t>
      </w:r>
      <w:r>
        <w:rPr>
          <w:snapToGrid w:val="0"/>
          <w:color w:val="000000" w:themeColor="text1"/>
          <w14:textFill>
            <w14:solidFill>
              <w14:schemeClr w14:val="tx1"/>
            </w14:solidFill>
          </w14:textFill>
        </w:rPr>
        <w:t>-4。</w:t>
      </w: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00"/>
        <w:rPr>
          <w:snapToGrid w:val="0"/>
          <w:color w:val="000000" w:themeColor="text1"/>
          <w14:textFill>
            <w14:solidFill>
              <w14:schemeClr w14:val="tx1"/>
            </w14:solidFill>
          </w14:textFill>
        </w:rPr>
      </w:pPr>
      <w:r>
        <w:rPr>
          <w:color w:val="000000" w:themeColor="text1"/>
          <w:sz w:val="20"/>
          <w14:textFill>
            <w14:solidFill>
              <w14:schemeClr w14:val="tx1"/>
            </w14:solidFill>
          </w14:textFill>
        </w:rPr>
        <w:drawing>
          <wp:anchor distT="0" distB="0" distL="0" distR="0" simplePos="0" relativeHeight="251685888" behindDoc="0" locked="0" layoutInCell="1" allowOverlap="1">
            <wp:simplePos x="0" y="0"/>
            <wp:positionH relativeFrom="column">
              <wp:posOffset>101600</wp:posOffset>
            </wp:positionH>
            <wp:positionV relativeFrom="paragraph">
              <wp:posOffset>83185</wp:posOffset>
            </wp:positionV>
            <wp:extent cx="5469890" cy="7853680"/>
            <wp:effectExtent l="0" t="0" r="16510" b="13970"/>
            <wp:wrapNone/>
            <wp:docPr id="1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a:picLocks noChangeAspect="1"/>
                    </pic:cNvPicPr>
                  </pic:nvPicPr>
                  <pic:blipFill>
                    <a:blip r:embed="rId25" cstate="print"/>
                    <a:stretch>
                      <a:fillRect/>
                    </a:stretch>
                  </pic:blipFill>
                  <pic:spPr>
                    <a:xfrm>
                      <a:off x="0" y="0"/>
                      <a:ext cx="5470154" cy="7853680"/>
                    </a:xfrm>
                    <a:prstGeom prst="rect">
                      <a:avLst/>
                    </a:prstGeom>
                  </pic:spPr>
                </pic:pic>
              </a:graphicData>
            </a:graphic>
          </wp:anchor>
        </w:drawing>
      </w: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tabs>
          <w:tab w:val="left" w:pos="1085"/>
        </w:tabs>
        <w:spacing w:before="145"/>
        <w:ind w:firstLine="2168" w:firstLineChars="900"/>
        <w:rPr>
          <w:rFonts w:ascii="Times New Roman" w:hAnsi="Times New Roman" w:eastAsia="新宋体"/>
          <w:b/>
          <w:color w:val="000000" w:themeColor="text1"/>
          <w:sz w:val="24"/>
          <w:szCs w:val="24"/>
          <w14:textFill>
            <w14:solidFill>
              <w14:schemeClr w14:val="tx1"/>
            </w14:solidFill>
          </w14:textFill>
        </w:rPr>
      </w:pPr>
      <w:r>
        <w:rPr>
          <w:rFonts w:ascii="Times New Roman" w:hAnsi="Times New Roman" w:eastAsia="新宋体"/>
          <w:b/>
          <w:color w:val="000000" w:themeColor="text1"/>
          <w:sz w:val="24"/>
          <w:szCs w:val="24"/>
          <w14:textFill>
            <w14:solidFill>
              <w14:schemeClr w14:val="tx1"/>
            </w14:solidFill>
          </w14:textFill>
        </w:rPr>
        <w:t>图</w:t>
      </w:r>
      <w:r>
        <w:rPr>
          <w:rFonts w:hint="eastAsia" w:ascii="Times New Roman" w:hAnsi="Times New Roman" w:eastAsia="新宋体"/>
          <w:b/>
          <w:color w:val="000000" w:themeColor="text1"/>
          <w:sz w:val="24"/>
          <w:szCs w:val="24"/>
          <w:lang w:val="en-US" w:eastAsia="zh-CN"/>
          <w14:textFill>
            <w14:solidFill>
              <w14:schemeClr w14:val="tx1"/>
            </w14:solidFill>
          </w14:textFill>
        </w:rPr>
        <w:t>6</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eastAsia="Times New Roman"/>
          <w:b/>
          <w:color w:val="000000" w:themeColor="text1"/>
          <w:sz w:val="24"/>
          <w:szCs w:val="24"/>
          <w14:textFill>
            <w14:solidFill>
              <w14:schemeClr w14:val="tx1"/>
            </w14:solidFill>
          </w14:textFill>
        </w:rPr>
        <w:t>-4</w:t>
      </w:r>
      <w:r>
        <w:rPr>
          <w:rFonts w:ascii="Times New Roman" w:hAnsi="Times New Roman" w:eastAsia="Times New Roman"/>
          <w:b/>
          <w:color w:val="000000" w:themeColor="text1"/>
          <w:sz w:val="24"/>
          <w:szCs w:val="24"/>
          <w14:textFill>
            <w14:solidFill>
              <w14:schemeClr w14:val="tx1"/>
            </w14:solidFill>
          </w14:textFill>
        </w:rPr>
        <w:tab/>
      </w:r>
      <w:r>
        <w:rPr>
          <w:rFonts w:ascii="Times New Roman" w:hAnsi="Times New Roman" w:eastAsia="新宋体"/>
          <w:b/>
          <w:color w:val="000000" w:themeColor="text1"/>
          <w:sz w:val="24"/>
          <w:szCs w:val="24"/>
          <w14:textFill>
            <w14:solidFill>
              <w14:schemeClr w14:val="tx1"/>
            </w14:solidFill>
          </w14:textFill>
        </w:rPr>
        <w:t>宜都市</w:t>
      </w:r>
      <w:r>
        <w:rPr>
          <w:rFonts w:ascii="Times New Roman" w:hAnsi="Times New Roman" w:eastAsia="Times New Roman"/>
          <w:b/>
          <w:color w:val="000000" w:themeColor="text1"/>
          <w:sz w:val="24"/>
          <w:szCs w:val="24"/>
          <w14:textFill>
            <w14:solidFill>
              <w14:schemeClr w14:val="tx1"/>
            </w14:solidFill>
          </w14:textFill>
        </w:rPr>
        <w:t>2019</w:t>
      </w:r>
      <w:r>
        <w:rPr>
          <w:rFonts w:ascii="Times New Roman" w:hAnsi="Times New Roman" w:eastAsia="新宋体"/>
          <w:b/>
          <w:color w:val="000000" w:themeColor="text1"/>
          <w:sz w:val="24"/>
          <w:szCs w:val="24"/>
          <w14:textFill>
            <w14:solidFill>
              <w14:schemeClr w14:val="tx1"/>
            </w14:solidFill>
          </w14:textFill>
        </w:rPr>
        <w:t>年全年风频玫瑰图</w:t>
      </w:r>
    </w:p>
    <w:p>
      <w:pPr>
        <w:pStyle w:val="385"/>
        <w:adjustRightInd w:val="0"/>
        <w:snapToGrid w:val="0"/>
        <w:spacing w:line="520" w:lineRule="exact"/>
        <w:ind w:firstLine="0" w:firstLineChars="0"/>
        <w:rPr>
          <w:snapToGrid w:val="0"/>
          <w:color w:val="000000" w:themeColor="text1"/>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393" w:name="_Toc14471"/>
      <w:bookmarkStart w:id="394" w:name="_Toc16397"/>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14:textFill>
            <w14:solidFill>
              <w14:schemeClr w14:val="tx1"/>
            </w14:solidFill>
          </w14:textFill>
        </w:rPr>
        <w:t>4评价区域地形图</w:t>
      </w:r>
      <w:bookmarkEnd w:id="393"/>
      <w:bookmarkEnd w:id="394"/>
    </w:p>
    <w:p>
      <w:pPr>
        <w:pStyle w:val="385"/>
        <w:adjustRightInd w:val="0"/>
        <w:snapToGrid w:val="0"/>
        <w:spacing w:line="520" w:lineRule="exact"/>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本项目地形数据使用 SRTM (Shuttle Radar Topography Mission) 90m分辨率地形</w:t>
      </w:r>
      <w:r>
        <w:rPr>
          <w:rFonts w:hint="eastAsia"/>
          <w:snapToGrid w:val="0"/>
          <w:color w:val="000000" w:themeColor="text1"/>
          <w14:textFill>
            <w14:solidFill>
              <w14:schemeClr w14:val="tx1"/>
            </w14:solidFill>
          </w14:textFill>
        </w:rPr>
        <w:t>数据。见图</w:t>
      </w:r>
      <w:r>
        <w:rPr>
          <w:rFonts w:hint="eastAsia"/>
          <w:snapToGrid w:val="0"/>
          <w:color w:val="000000" w:themeColor="text1"/>
          <w:lang w:val="en-US" w:eastAsia="zh-CN"/>
          <w14:textFill>
            <w14:solidFill>
              <w14:schemeClr w14:val="tx1"/>
            </w14:solidFill>
          </w14:textFill>
        </w:rPr>
        <w:t>6</w:t>
      </w:r>
      <w:r>
        <w:rPr>
          <w:rFonts w:hint="eastAsia"/>
          <w:snapToGrid w:val="0"/>
          <w:color w:val="000000" w:themeColor="text1"/>
          <w14:textFill>
            <w14:solidFill>
              <w14:schemeClr w14:val="tx1"/>
            </w14:solidFill>
          </w14:textFill>
        </w:rPr>
        <w:t>.2-5。</w:t>
      </w:r>
    </w:p>
    <w:p>
      <w:pPr>
        <w:pStyle w:val="385"/>
        <w:adjustRightInd w:val="0"/>
        <w:snapToGrid w:val="0"/>
        <w:spacing w:line="520" w:lineRule="exact"/>
        <w:ind w:firstLine="480"/>
        <w:rPr>
          <w:snapToGrid w:val="0"/>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6912" behindDoc="0" locked="0" layoutInCell="1" allowOverlap="1">
            <wp:simplePos x="0" y="0"/>
            <wp:positionH relativeFrom="page">
              <wp:posOffset>1564640</wp:posOffset>
            </wp:positionH>
            <wp:positionV relativeFrom="paragraph">
              <wp:posOffset>119380</wp:posOffset>
            </wp:positionV>
            <wp:extent cx="4323715" cy="3897630"/>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26" cstate="print"/>
                    <a:stretch>
                      <a:fillRect/>
                    </a:stretch>
                  </pic:blipFill>
                  <pic:spPr>
                    <a:xfrm>
                      <a:off x="0" y="0"/>
                      <a:ext cx="4323417" cy="3897344"/>
                    </a:xfrm>
                    <a:prstGeom prst="rect">
                      <a:avLst/>
                    </a:prstGeom>
                  </pic:spPr>
                </pic:pic>
              </a:graphicData>
            </a:graphic>
          </wp:anchor>
        </w:drawing>
      </w: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新宋体" w:eastAsia="新宋体"/>
          <w:b/>
          <w:color w:val="000000" w:themeColor="text1"/>
          <w:sz w:val="24"/>
          <w:szCs w:val="24"/>
          <w14:textFill>
            <w14:solidFill>
              <w14:schemeClr w14:val="tx1"/>
            </w14:solidFill>
          </w14:textFill>
        </w:rPr>
      </w:pPr>
    </w:p>
    <w:p>
      <w:pPr>
        <w:tabs>
          <w:tab w:val="left" w:pos="1087"/>
        </w:tabs>
        <w:ind w:left="19"/>
        <w:jc w:val="center"/>
        <w:rPr>
          <w:rFonts w:ascii="Times New Roman" w:hAnsi="Times New Roman"/>
          <w:snapToGrid w:val="0"/>
          <w:color w:val="000000" w:themeColor="text1"/>
          <w:sz w:val="24"/>
          <w:szCs w:val="24"/>
          <w14:textFill>
            <w14:solidFill>
              <w14:schemeClr w14:val="tx1"/>
            </w14:solidFill>
          </w14:textFill>
        </w:rPr>
      </w:pPr>
      <w:r>
        <w:rPr>
          <w:rFonts w:hint="eastAsia" w:ascii="新宋体" w:eastAsia="新宋体"/>
          <w:b/>
          <w:color w:val="000000" w:themeColor="text1"/>
          <w:sz w:val="24"/>
          <w:szCs w:val="24"/>
          <w14:textFill>
            <w14:solidFill>
              <w14:schemeClr w14:val="tx1"/>
            </w14:solidFill>
          </w14:textFill>
        </w:rPr>
        <w:t>图</w:t>
      </w:r>
      <w:r>
        <w:rPr>
          <w:rFonts w:hint="eastAsia" w:ascii="Times New Roman" w:eastAsia="新宋体"/>
          <w:b/>
          <w:color w:val="000000" w:themeColor="text1"/>
          <w:sz w:val="24"/>
          <w:szCs w:val="24"/>
          <w:lang w:val="en-US" w:eastAsia="zh-CN"/>
          <w14:textFill>
            <w14:solidFill>
              <w14:schemeClr w14:val="tx1"/>
            </w14:solidFill>
          </w14:textFill>
        </w:rPr>
        <w:t>6</w:t>
      </w:r>
      <w:r>
        <w:rPr>
          <w:rFonts w:ascii="Times New Roman" w:eastAsia="Times New Roman"/>
          <w:b/>
          <w:color w:val="000000" w:themeColor="text1"/>
          <w:sz w:val="24"/>
          <w:szCs w:val="24"/>
          <w14:textFill>
            <w14:solidFill>
              <w14:schemeClr w14:val="tx1"/>
            </w14:solidFill>
          </w14:textFill>
        </w:rPr>
        <w:t>.</w:t>
      </w:r>
      <w:r>
        <w:rPr>
          <w:rFonts w:hint="eastAsia" w:ascii="Times New Roman"/>
          <w:b/>
          <w:color w:val="000000" w:themeColor="text1"/>
          <w:sz w:val="24"/>
          <w:szCs w:val="24"/>
          <w14:textFill>
            <w14:solidFill>
              <w14:schemeClr w14:val="tx1"/>
            </w14:solidFill>
          </w14:textFill>
        </w:rPr>
        <w:t>2</w:t>
      </w:r>
      <w:r>
        <w:rPr>
          <w:rFonts w:ascii="Times New Roman" w:eastAsia="Times New Roman"/>
          <w:b/>
          <w:color w:val="000000" w:themeColor="text1"/>
          <w:sz w:val="24"/>
          <w:szCs w:val="24"/>
          <w14:textFill>
            <w14:solidFill>
              <w14:schemeClr w14:val="tx1"/>
            </w14:solidFill>
          </w14:textFill>
        </w:rPr>
        <w:t>-5</w:t>
      </w:r>
      <w:r>
        <w:rPr>
          <w:rFonts w:hint="eastAsia" w:ascii="Times New Roman"/>
          <w:b/>
          <w:color w:val="000000" w:themeColor="text1"/>
          <w:sz w:val="24"/>
          <w:szCs w:val="24"/>
          <w14:textFill>
            <w14:solidFill>
              <w14:schemeClr w14:val="tx1"/>
            </w14:solidFill>
          </w14:textFill>
        </w:rPr>
        <w:t xml:space="preserve"> </w:t>
      </w:r>
      <w:r>
        <w:rPr>
          <w:rFonts w:hint="eastAsia" w:ascii="新宋体" w:eastAsia="新宋体"/>
          <w:b/>
          <w:color w:val="000000" w:themeColor="text1"/>
          <w:sz w:val="24"/>
          <w:szCs w:val="24"/>
          <w14:textFill>
            <w14:solidFill>
              <w14:schemeClr w14:val="tx1"/>
            </w14:solidFill>
          </w14:textFill>
        </w:rPr>
        <w:t>本项目所在地地形数据图</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395" w:name="_Toc21586"/>
      <w:bookmarkStart w:id="396" w:name="_Toc15355"/>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14:textFill>
            <w14:solidFill>
              <w14:schemeClr w14:val="tx1"/>
            </w14:solidFill>
          </w14:textFill>
        </w:rPr>
        <w:t>5</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预测因子及预测源强</w:t>
      </w:r>
      <w:bookmarkEnd w:id="395"/>
      <w:bookmarkEnd w:id="396"/>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1</w:t>
      </w:r>
      <w:r>
        <w:rPr>
          <w:rFonts w:hint="eastAsia"/>
          <w:snapToGrid w:val="0"/>
          <w:color w:val="000000" w:themeColor="text1"/>
          <w14:textFill>
            <w14:solidFill>
              <w14:schemeClr w14:val="tx1"/>
            </w14:solidFill>
          </w14:textFill>
        </w:rPr>
        <w:t>）预测因子</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根据《环境影响评价技术导则-大气环境》(HJ2.2-2018)，选取PM</w:t>
      </w:r>
      <w:r>
        <w:rPr>
          <w:rFonts w:hint="eastAsia"/>
          <w:snapToGrid w:val="0"/>
          <w:color w:val="000000" w:themeColor="text1"/>
          <w:vertAlign w:val="subscript"/>
          <w14:textFill>
            <w14:solidFill>
              <w14:schemeClr w14:val="tx1"/>
            </w14:solidFill>
          </w14:textFill>
        </w:rPr>
        <w:t>10</w:t>
      </w:r>
      <w:r>
        <w:rPr>
          <w:rFonts w:hint="eastAsia"/>
          <w:snapToGrid w:val="0"/>
          <w:color w:val="000000" w:themeColor="text1"/>
          <w14:textFill>
            <w14:solidFill>
              <w14:schemeClr w14:val="tx1"/>
            </w14:solidFill>
          </w14:textFill>
        </w:rPr>
        <w:t>、氟化物、氯化氢为本次大气环境影响预测因子。</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（2）项目污染源调查</w:t>
      </w:r>
    </w:p>
    <w:p>
      <w:pPr>
        <w:pStyle w:val="385"/>
        <w:adjustRightInd w:val="0"/>
        <w:snapToGrid w:val="0"/>
        <w:spacing w:line="520" w:lineRule="exact"/>
        <w:ind w:firstLine="480"/>
        <w:rPr>
          <w:snapToGrid w:val="0"/>
          <w:color w:val="000000" w:themeColor="text1"/>
          <w14:textFill>
            <w14:solidFill>
              <w14:schemeClr w14:val="tx1"/>
            </w14:solidFill>
          </w14:textFill>
        </w:rPr>
      </w:pPr>
      <w:r>
        <w:rPr>
          <w:color w:val="000000" w:themeColor="text1"/>
          <w14:textFill>
            <w14:solidFill>
              <w14:schemeClr w14:val="tx1"/>
            </w14:solidFill>
          </w14:textFill>
        </w:rPr>
        <w:t>项目污染源情况见污染源调查表</w:t>
      </w:r>
      <w:r>
        <w:rPr>
          <w:rFonts w:hint="eastAsia"/>
          <w:color w:val="000000" w:themeColor="text1"/>
          <w:lang w:val="en-US" w:eastAsia="zh-CN"/>
          <w14:textFill>
            <w14:solidFill>
              <w14:schemeClr w14:val="tx1"/>
            </w14:solidFill>
          </w14:textFill>
        </w:rPr>
        <w:t>6</w:t>
      </w:r>
      <w:r>
        <w:rPr>
          <w:rFonts w:eastAsia="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rFonts w:eastAsia="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.2-7</w:t>
      </w:r>
      <w:r>
        <w:rPr>
          <w:color w:val="000000" w:themeColor="text1"/>
          <w14:textFill>
            <w14:solidFill>
              <w14:schemeClr w14:val="tx1"/>
            </w14:solidFill>
          </w14:textFill>
        </w:rPr>
        <w:t>。</w:t>
      </w:r>
    </w:p>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
    </w:p>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
    </w:p>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Change w:id="0" w:author="SXL" w:date="2021-08-27T10:46:00Z">
          <w:pPr>
            <w:pStyle w:val="385"/>
            <w:adjustRightInd w:val="0"/>
            <w:snapToGrid w:val="0"/>
            <w:spacing w:line="520" w:lineRule="exact"/>
            <w:ind w:firstLine="482"/>
            <w:jc w:val="center"/>
          </w:pPr>
        </w:pPrChange>
      </w:pPr>
    </w:p>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Change w:id="1" w:author="SXL" w:date="2021-08-27T10:46:00Z">
          <w:pPr>
            <w:pStyle w:val="385"/>
            <w:adjustRightInd w:val="0"/>
            <w:snapToGrid w:val="0"/>
            <w:spacing w:line="520" w:lineRule="exact"/>
            <w:ind w:firstLine="482"/>
            <w:jc w:val="center"/>
          </w:pPr>
        </w:pPrChange>
      </w:pPr>
    </w:p>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Change w:id="2" w:author="SXL" w:date="2021-08-27T10:46:00Z">
          <w:pPr>
            <w:pStyle w:val="385"/>
            <w:adjustRightInd w:val="0"/>
            <w:snapToGrid w:val="0"/>
            <w:spacing w:line="520" w:lineRule="exact"/>
            <w:ind w:firstLine="482"/>
            <w:jc w:val="center"/>
          </w:pPr>
        </w:pPrChange>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.2-6 项目点源参数调查清单</w:t>
      </w:r>
    </w:p>
    <w:tbl>
      <w:tblPr>
        <w:tblStyle w:val="87"/>
        <w:tblW w:w="91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763"/>
        <w:gridCol w:w="749"/>
        <w:gridCol w:w="719"/>
        <w:gridCol w:w="717"/>
        <w:gridCol w:w="717"/>
        <w:gridCol w:w="733"/>
        <w:gridCol w:w="741"/>
        <w:gridCol w:w="2009"/>
        <w:gridCol w:w="2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763"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编号</w:t>
            </w:r>
          </w:p>
        </w:tc>
        <w:tc>
          <w:tcPr>
            <w:tcW w:w="1468" w:type="dxa"/>
            <w:gridSpan w:val="2"/>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坐标</w:t>
            </w:r>
            <w:r>
              <w:rPr>
                <w:rFonts w:hint="eastAsia" w:ascii="Times New Roman" w:hAnsi="宋体"/>
                <w:color w:val="000000" w:themeColor="text1"/>
                <w:kern w:val="0"/>
                <w:sz w:val="18"/>
                <w:szCs w:val="18"/>
                <w14:textFill>
                  <w14:solidFill>
                    <w14:schemeClr w14:val="tx1"/>
                  </w14:solidFill>
                </w14:textFill>
              </w:rPr>
              <w:t>/m</w:t>
            </w:r>
          </w:p>
        </w:tc>
        <w:tc>
          <w:tcPr>
            <w:tcW w:w="2908" w:type="dxa"/>
            <w:gridSpan w:val="4"/>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排气筒</w:t>
            </w:r>
            <w:r>
              <w:rPr>
                <w:rFonts w:hint="eastAsia" w:ascii="Times New Roman" w:hAnsi="宋体"/>
                <w:color w:val="000000" w:themeColor="text1"/>
                <w:kern w:val="0"/>
                <w:sz w:val="18"/>
                <w:szCs w:val="18"/>
                <w14:textFill>
                  <w14:solidFill>
                    <w14:schemeClr w14:val="tx1"/>
                  </w14:solidFill>
                </w14:textFill>
              </w:rPr>
              <w:t>参数</w:t>
            </w:r>
          </w:p>
        </w:tc>
        <w:tc>
          <w:tcPr>
            <w:tcW w:w="2009"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污染物名称</w:t>
            </w:r>
          </w:p>
        </w:tc>
        <w:tc>
          <w:tcPr>
            <w:tcW w:w="2010"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排放速率（</w:t>
            </w:r>
            <w:r>
              <w:rPr>
                <w:rFonts w:ascii="Times New Roman" w:hAnsi="Times New Roman"/>
                <w:color w:val="000000" w:themeColor="text1"/>
                <w:kern w:val="0"/>
                <w:sz w:val="18"/>
                <w:szCs w:val="18"/>
                <w14:textFill>
                  <w14:solidFill>
                    <w14:schemeClr w14:val="tx1"/>
                  </w14:solidFill>
                </w14:textFill>
              </w:rPr>
              <w:t>kg/h</w:t>
            </w:r>
            <w:r>
              <w:rPr>
                <w:rFonts w:ascii="Times New Roman" w:hAnsi="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0" w:hRule="atLeast"/>
          <w:jc w:val="center"/>
        </w:trPr>
        <w:tc>
          <w:tcPr>
            <w:tcW w:w="763"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4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X</w:t>
            </w:r>
          </w:p>
        </w:tc>
        <w:tc>
          <w:tcPr>
            <w:tcW w:w="7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Y</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高度（m）</w:t>
            </w:r>
          </w:p>
        </w:tc>
        <w:tc>
          <w:tcPr>
            <w:tcW w:w="717"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内径（m）</w:t>
            </w:r>
          </w:p>
        </w:tc>
        <w:tc>
          <w:tcPr>
            <w:tcW w:w="7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温度（℃）</w:t>
            </w:r>
          </w:p>
        </w:tc>
        <w:tc>
          <w:tcPr>
            <w:tcW w:w="741"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风量(m</w:t>
            </w:r>
            <w:r>
              <w:rPr>
                <w:rFonts w:hint="eastAsia" w:ascii="Times New Roman" w:hAnsi="宋体"/>
                <w:color w:val="000000" w:themeColor="text1"/>
                <w:kern w:val="0"/>
                <w:sz w:val="18"/>
                <w:szCs w:val="18"/>
                <w:vertAlign w:val="superscript"/>
                <w14:textFill>
                  <w14:solidFill>
                    <w14:schemeClr w14:val="tx1"/>
                  </w14:solidFill>
                </w14:textFill>
              </w:rPr>
              <w:t>3</w:t>
            </w:r>
            <w:r>
              <w:rPr>
                <w:rFonts w:hint="eastAsia" w:ascii="Times New Roman" w:hAnsi="宋体"/>
                <w:color w:val="000000" w:themeColor="text1"/>
                <w:kern w:val="0"/>
                <w:sz w:val="18"/>
                <w:szCs w:val="18"/>
                <w14:textFill>
                  <w14:solidFill>
                    <w14:schemeClr w14:val="tx1"/>
                  </w14:solidFill>
                </w14:textFill>
              </w:rPr>
              <w:t>/h)</w:t>
            </w:r>
          </w:p>
        </w:tc>
        <w:tc>
          <w:tcPr>
            <w:tcW w:w="2009"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2010"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DA001</w:t>
            </w:r>
          </w:p>
        </w:tc>
        <w:tc>
          <w:tcPr>
            <w:tcW w:w="749"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27.6</w:t>
            </w:r>
          </w:p>
        </w:tc>
        <w:tc>
          <w:tcPr>
            <w:tcW w:w="719"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32.4</w:t>
            </w:r>
          </w:p>
        </w:tc>
        <w:tc>
          <w:tcPr>
            <w:tcW w:w="717"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w:t>
            </w:r>
          </w:p>
        </w:tc>
        <w:tc>
          <w:tcPr>
            <w:tcW w:w="717"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w:t>
            </w:r>
          </w:p>
        </w:tc>
        <w:tc>
          <w:tcPr>
            <w:tcW w:w="733"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35</w:t>
            </w:r>
          </w:p>
        </w:tc>
        <w:tc>
          <w:tcPr>
            <w:tcW w:w="741"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1000</w:t>
            </w:r>
          </w:p>
        </w:tc>
        <w:tc>
          <w:tcPr>
            <w:tcW w:w="20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氟化物</w:t>
            </w:r>
          </w:p>
        </w:tc>
        <w:tc>
          <w:tcPr>
            <w:tcW w:w="201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vMerge w:val="continue"/>
            <w:vAlign w:val="center"/>
          </w:tcPr>
          <w:p>
            <w:pPr>
              <w:widowControl/>
              <w:jc w:val="left"/>
              <w:rPr>
                <w:rFonts w:ascii="Times New Roman" w:hAnsi="Times New Roman"/>
                <w:b/>
                <w:bCs/>
                <w:color w:val="000000" w:themeColor="text1"/>
                <w:kern w:val="0"/>
                <w:sz w:val="18"/>
                <w:szCs w:val="18"/>
                <w14:textFill>
                  <w14:solidFill>
                    <w14:schemeClr w14:val="tx1"/>
                  </w14:solidFill>
                </w14:textFill>
              </w:rPr>
            </w:pPr>
          </w:p>
        </w:tc>
        <w:tc>
          <w:tcPr>
            <w:tcW w:w="749"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19"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17"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17"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33"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41"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20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HC</w:t>
            </w:r>
            <w:r>
              <w:rPr>
                <w:rFonts w:hint="eastAsia" w:ascii="Times New Roman" w:hAnsi="Times New Roman"/>
                <w:color w:val="000000" w:themeColor="text1"/>
                <w:kern w:val="0"/>
                <w:sz w:val="18"/>
                <w:szCs w:val="18"/>
                <w14:textFill>
                  <w14:solidFill>
                    <w14:schemeClr w14:val="tx1"/>
                  </w14:solidFill>
                </w14:textFill>
              </w:rPr>
              <w:t>l</w:t>
            </w:r>
          </w:p>
        </w:tc>
        <w:tc>
          <w:tcPr>
            <w:tcW w:w="201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shd w:val="clear" w:color="auto" w:fill="auto"/>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DA002</w:t>
            </w:r>
          </w:p>
        </w:tc>
        <w:tc>
          <w:tcPr>
            <w:tcW w:w="74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57.7</w:t>
            </w:r>
          </w:p>
        </w:tc>
        <w:tc>
          <w:tcPr>
            <w:tcW w:w="7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30.6</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0.3</w:t>
            </w:r>
          </w:p>
        </w:tc>
        <w:tc>
          <w:tcPr>
            <w:tcW w:w="7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w:t>
            </w:r>
          </w:p>
        </w:tc>
        <w:tc>
          <w:tcPr>
            <w:tcW w:w="74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2000</w:t>
            </w:r>
          </w:p>
        </w:tc>
        <w:tc>
          <w:tcPr>
            <w:tcW w:w="20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PM</w:t>
            </w:r>
            <w:r>
              <w:rPr>
                <w:rFonts w:hint="eastAsia" w:ascii="Times New Roman" w:hAnsi="宋体"/>
                <w:color w:val="000000" w:themeColor="text1"/>
                <w:kern w:val="0"/>
                <w:sz w:val="18"/>
                <w:szCs w:val="18"/>
                <w:vertAlign w:val="subscript"/>
                <w14:textFill>
                  <w14:solidFill>
                    <w14:schemeClr w14:val="tx1"/>
                  </w14:solidFill>
                </w14:textFill>
              </w:rPr>
              <w:t>10</w:t>
            </w:r>
          </w:p>
        </w:tc>
        <w:tc>
          <w:tcPr>
            <w:tcW w:w="201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shd w:val="clear" w:color="auto" w:fill="auto"/>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DA003</w:t>
            </w:r>
          </w:p>
        </w:tc>
        <w:tc>
          <w:tcPr>
            <w:tcW w:w="74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64.2</w:t>
            </w:r>
          </w:p>
        </w:tc>
        <w:tc>
          <w:tcPr>
            <w:tcW w:w="7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41.3</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0.3</w:t>
            </w:r>
          </w:p>
        </w:tc>
        <w:tc>
          <w:tcPr>
            <w:tcW w:w="7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100</w:t>
            </w:r>
          </w:p>
        </w:tc>
        <w:tc>
          <w:tcPr>
            <w:tcW w:w="74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1000</w:t>
            </w:r>
          </w:p>
        </w:tc>
        <w:tc>
          <w:tcPr>
            <w:tcW w:w="2009"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PM</w:t>
            </w:r>
            <w:r>
              <w:rPr>
                <w:rFonts w:hint="eastAsia" w:ascii="Times New Roman" w:hAnsi="宋体"/>
                <w:color w:val="000000" w:themeColor="text1"/>
                <w:kern w:val="0"/>
                <w:sz w:val="18"/>
                <w:szCs w:val="18"/>
                <w:vertAlign w:val="subscript"/>
                <w14:textFill>
                  <w14:solidFill>
                    <w14:schemeClr w14:val="tx1"/>
                  </w14:solidFill>
                </w14:textFill>
              </w:rPr>
              <w:t>10</w:t>
            </w:r>
          </w:p>
        </w:tc>
        <w:tc>
          <w:tcPr>
            <w:tcW w:w="201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0.0104</w:t>
            </w:r>
          </w:p>
        </w:tc>
      </w:tr>
    </w:tbl>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.2-7 项目面源参数调查清单</w:t>
      </w:r>
    </w:p>
    <w:tbl>
      <w:tblPr>
        <w:tblStyle w:val="87"/>
        <w:tblW w:w="910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717"/>
        <w:gridCol w:w="846"/>
        <w:gridCol w:w="851"/>
        <w:gridCol w:w="1893"/>
        <w:gridCol w:w="1934"/>
        <w:gridCol w:w="21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36" w:type="dxa"/>
            <w:gridSpan w:val="4"/>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面源</w:t>
            </w:r>
          </w:p>
        </w:tc>
        <w:tc>
          <w:tcPr>
            <w:tcW w:w="1893"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位置</w:t>
            </w:r>
          </w:p>
        </w:tc>
        <w:tc>
          <w:tcPr>
            <w:tcW w:w="1934"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w:t>
            </w:r>
          </w:p>
        </w:tc>
        <w:tc>
          <w:tcPr>
            <w:tcW w:w="2140"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排放速率（</w:t>
            </w:r>
            <w:r>
              <w:rPr>
                <w:rFonts w:ascii="Times New Roman" w:hAnsi="Times New Roman"/>
                <w:color w:val="000000" w:themeColor="text1"/>
                <w:kern w:val="0"/>
                <w:sz w:val="18"/>
                <w:szCs w:val="18"/>
                <w14:textFill>
                  <w14:solidFill>
                    <w14:schemeClr w14:val="tx1"/>
                  </w14:solidFill>
                </w14:textFill>
              </w:rPr>
              <w:t>kg/h</w:t>
            </w: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编号</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L</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p>
        </w:tc>
        <w:tc>
          <w:tcPr>
            <w:tcW w:w="84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p>
        </w:tc>
        <w:tc>
          <w:tcPr>
            <w:tcW w:w="85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w:t>
            </w:r>
          </w:p>
        </w:tc>
        <w:tc>
          <w:tcPr>
            <w:tcW w:w="1893"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934"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140"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7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M1</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128</w:t>
            </w:r>
          </w:p>
        </w:tc>
        <w:tc>
          <w:tcPr>
            <w:tcW w:w="84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89</w:t>
            </w:r>
          </w:p>
        </w:tc>
        <w:tc>
          <w:tcPr>
            <w:tcW w:w="85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18</w:t>
            </w:r>
          </w:p>
        </w:tc>
        <w:tc>
          <w:tcPr>
            <w:tcW w:w="189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生产厂区</w:t>
            </w:r>
          </w:p>
        </w:tc>
        <w:tc>
          <w:tcPr>
            <w:tcW w:w="1934"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TSP</w:t>
            </w:r>
          </w:p>
        </w:tc>
        <w:tc>
          <w:tcPr>
            <w:tcW w:w="214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0.064</w:t>
            </w:r>
          </w:p>
        </w:tc>
      </w:tr>
    </w:tbl>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（3）评价标准</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评价区执行《环境空气质量标准》（GB3095-2012）二级标准，污染物相关浓度限值见下表：</w:t>
      </w:r>
    </w:p>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.2-8 环境空气污染物评价标准</w:t>
      </w:r>
    </w:p>
    <w:tbl>
      <w:tblPr>
        <w:tblStyle w:val="87"/>
        <w:tblW w:w="9403" w:type="dxa"/>
        <w:tblInd w:w="13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5"/>
        <w:gridCol w:w="1419"/>
        <w:gridCol w:w="1275"/>
        <w:gridCol w:w="1277"/>
        <w:gridCol w:w="40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3" w:hRule="atLeast"/>
        </w:trPr>
        <w:tc>
          <w:tcPr>
            <w:tcW w:w="1385" w:type="dxa"/>
            <w:tcBorders>
              <w:tl2br w:val="nil"/>
              <w:tr2bl w:val="nil"/>
            </w:tcBorders>
            <w:shd w:val="clear" w:color="auto" w:fill="FFFFFF" w:themeFill="background1"/>
          </w:tcPr>
          <w:p>
            <w:pPr>
              <w:pStyle w:val="383"/>
              <w:spacing w:before="121"/>
              <w:ind w:left="79" w:right="7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污染物名称</w:t>
            </w:r>
          </w:p>
        </w:tc>
        <w:tc>
          <w:tcPr>
            <w:tcW w:w="1419" w:type="dxa"/>
            <w:tcBorders>
              <w:tl2br w:val="nil"/>
              <w:tr2bl w:val="nil"/>
            </w:tcBorders>
            <w:shd w:val="clear" w:color="auto" w:fill="FFFFFF" w:themeFill="background1"/>
          </w:tcPr>
          <w:p>
            <w:pPr>
              <w:pStyle w:val="383"/>
              <w:spacing w:before="121"/>
              <w:ind w:left="161" w:right="15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功能区</w:t>
            </w:r>
          </w:p>
        </w:tc>
        <w:tc>
          <w:tcPr>
            <w:tcW w:w="1275"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取值时间</w:t>
            </w:r>
          </w:p>
        </w:tc>
        <w:tc>
          <w:tcPr>
            <w:tcW w:w="1277"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标准值</w:t>
            </w:r>
            <w:r>
              <w:rPr>
                <w:rFonts w:ascii="Times New Roman" w:hAnsi="Times New Roman"/>
                <w:color w:val="000000" w:themeColor="text1"/>
                <w:sz w:val="18"/>
                <w:szCs w:val="18"/>
                <w14:textFill>
                  <w14:solidFill>
                    <w14:schemeClr w14:val="tx1"/>
                  </w14:solidFill>
                </w14:textFill>
              </w:rPr>
              <w:t>(μg/m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w:t>
            </w:r>
          </w:p>
        </w:tc>
        <w:tc>
          <w:tcPr>
            <w:tcW w:w="4047" w:type="dxa"/>
            <w:tcBorders>
              <w:tl2br w:val="nil"/>
              <w:tr2bl w:val="nil"/>
            </w:tcBorders>
            <w:shd w:val="clear" w:color="auto" w:fill="FFFFFF" w:themeFill="background1"/>
          </w:tcPr>
          <w:p>
            <w:pPr>
              <w:pStyle w:val="383"/>
              <w:spacing w:before="121"/>
              <w:ind w:left="115" w:right="107"/>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标准来源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85" w:type="dxa"/>
            <w:tcBorders>
              <w:tl2br w:val="nil"/>
              <w:tr2bl w:val="nil"/>
            </w:tcBorders>
            <w:shd w:val="clear" w:color="auto" w:fill="FFFFFF" w:themeFill="background1"/>
          </w:tcPr>
          <w:p>
            <w:pPr>
              <w:pStyle w:val="383"/>
              <w:spacing w:before="144"/>
              <w:ind w:left="80" w:right="70"/>
              <w:jc w:val="center"/>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HCl</w:t>
            </w:r>
          </w:p>
        </w:tc>
        <w:tc>
          <w:tcPr>
            <w:tcW w:w="1419" w:type="dxa"/>
            <w:tcBorders>
              <w:tl2br w:val="nil"/>
              <w:tr2bl w:val="nil"/>
            </w:tcBorders>
            <w:shd w:val="clear" w:color="auto" w:fill="FFFFFF" w:themeFill="background1"/>
          </w:tcPr>
          <w:p>
            <w:pPr>
              <w:pStyle w:val="383"/>
              <w:spacing w:before="135"/>
              <w:ind w:left="163" w:right="15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二类</w:t>
            </w:r>
            <w:r>
              <w:rPr>
                <w:rFonts w:hint="eastAsia"/>
                <w:color w:val="000000" w:themeColor="text1"/>
                <w:sz w:val="18"/>
                <w:szCs w:val="18"/>
                <w14:textFill>
                  <w14:solidFill>
                    <w14:schemeClr w14:val="tx1"/>
                  </w14:solidFill>
                </w14:textFill>
              </w:rPr>
              <w:t>区</w:t>
            </w:r>
          </w:p>
        </w:tc>
        <w:tc>
          <w:tcPr>
            <w:tcW w:w="1275"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1h平均</w:t>
            </w:r>
          </w:p>
        </w:tc>
        <w:tc>
          <w:tcPr>
            <w:tcW w:w="1277"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50</w:t>
            </w:r>
          </w:p>
        </w:tc>
        <w:tc>
          <w:tcPr>
            <w:tcW w:w="4047"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《环境影响评价技术导则-大气环境》（HJ2.2-2018）附录D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85" w:type="dxa"/>
            <w:tcBorders>
              <w:tl2br w:val="nil"/>
              <w:tr2bl w:val="nil"/>
            </w:tcBorders>
            <w:shd w:val="clear" w:color="auto" w:fill="FFFFFF" w:themeFill="background1"/>
            <w:vAlign w:val="center"/>
          </w:tcPr>
          <w:p>
            <w:pPr>
              <w:widowControl/>
              <w:jc w:val="center"/>
              <w:rPr>
                <w:color w:val="000000" w:themeColor="text1"/>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氟化物</w:t>
            </w:r>
          </w:p>
        </w:tc>
        <w:tc>
          <w:tcPr>
            <w:tcW w:w="1419"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二类</w:t>
            </w:r>
            <w:r>
              <w:rPr>
                <w:rFonts w:hint="eastAsia"/>
                <w:color w:val="000000" w:themeColor="text1"/>
                <w:sz w:val="18"/>
                <w:szCs w:val="18"/>
                <w14:textFill>
                  <w14:solidFill>
                    <w14:schemeClr w14:val="tx1"/>
                  </w14:solidFill>
                </w14:textFill>
              </w:rPr>
              <w:t>区</w:t>
            </w:r>
          </w:p>
        </w:tc>
        <w:tc>
          <w:tcPr>
            <w:tcW w:w="1275"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1h平均</w:t>
            </w:r>
          </w:p>
        </w:tc>
        <w:tc>
          <w:tcPr>
            <w:tcW w:w="1277" w:type="dxa"/>
            <w:tcBorders>
              <w:tl2br w:val="nil"/>
              <w:tr2bl w:val="nil"/>
            </w:tcBorders>
            <w:shd w:val="clear" w:color="auto" w:fill="FFFFFF" w:themeFill="background1"/>
            <w:vAlign w:val="center"/>
          </w:tcPr>
          <w:p>
            <w:pPr>
              <w:widowControl/>
              <w:jc w:val="center"/>
              <w:rPr>
                <w:rFonts w:ascii="Times New Roman"/>
                <w:color w:val="000000" w:themeColor="text1"/>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20</w:t>
            </w:r>
          </w:p>
        </w:tc>
        <w:tc>
          <w:tcPr>
            <w:tcW w:w="4047" w:type="dxa"/>
            <w:vMerge w:val="restart"/>
            <w:tcBorders>
              <w:tl2br w:val="nil"/>
              <w:tr2bl w:val="nil"/>
            </w:tcBorders>
            <w:shd w:val="clear" w:color="auto" w:fill="FFFFFF" w:themeFill="background1"/>
            <w:vAlign w:val="center"/>
          </w:tcPr>
          <w:p>
            <w:pPr>
              <w:widowControl/>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《环境空气质量标准》（GB3095-2012）二级标准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85" w:type="dxa"/>
            <w:tcBorders>
              <w:tl2br w:val="nil"/>
              <w:tr2bl w:val="nil"/>
            </w:tcBorders>
            <w:shd w:val="clear" w:color="auto" w:fill="FFFFFF" w:themeFill="background1"/>
            <w:vAlign w:val="center"/>
          </w:tcPr>
          <w:p>
            <w:pPr>
              <w:widowControl/>
              <w:jc w:val="center"/>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PM</w:t>
            </w:r>
            <w:r>
              <w:rPr>
                <w:rFonts w:ascii="Times New Roman"/>
                <w:color w:val="000000" w:themeColor="text1"/>
                <w:sz w:val="18"/>
                <w:szCs w:val="18"/>
                <w:vertAlign w:val="subscript"/>
                <w14:textFill>
                  <w14:solidFill>
                    <w14:schemeClr w14:val="tx1"/>
                  </w14:solidFill>
                </w14:textFill>
              </w:rPr>
              <w:t>10</w:t>
            </w:r>
          </w:p>
        </w:tc>
        <w:tc>
          <w:tcPr>
            <w:tcW w:w="1419" w:type="dxa"/>
            <w:tcBorders>
              <w:tl2br w:val="nil"/>
              <w:tr2bl w:val="nil"/>
            </w:tcBorders>
            <w:shd w:val="clear" w:color="auto" w:fill="FFFFFF" w:themeFill="background1"/>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二类</w:t>
            </w:r>
            <w:r>
              <w:rPr>
                <w:rFonts w:hint="eastAsia"/>
                <w:color w:val="000000" w:themeColor="text1"/>
                <w:sz w:val="18"/>
                <w:szCs w:val="18"/>
                <w14:textFill>
                  <w14:solidFill>
                    <w14:schemeClr w14:val="tx1"/>
                  </w14:solidFill>
                </w14:textFill>
              </w:rPr>
              <w:t>区</w:t>
            </w:r>
          </w:p>
        </w:tc>
        <w:tc>
          <w:tcPr>
            <w:tcW w:w="1275" w:type="dxa"/>
            <w:tcBorders>
              <w:tl2br w:val="nil"/>
              <w:tr2bl w:val="nil"/>
            </w:tcBorders>
            <w:shd w:val="clear" w:color="auto" w:fill="FFFFFF" w:themeFill="background1"/>
            <w:vAlign w:val="center"/>
          </w:tcPr>
          <w:p>
            <w:pPr>
              <w:widowControl/>
              <w:jc w:val="center"/>
              <w:rPr>
                <w:color w:val="000000" w:themeColor="text1"/>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24h平均</w:t>
            </w:r>
          </w:p>
        </w:tc>
        <w:tc>
          <w:tcPr>
            <w:tcW w:w="1277" w:type="dxa"/>
            <w:tcBorders>
              <w:tl2br w:val="nil"/>
              <w:tr2bl w:val="nil"/>
            </w:tcBorders>
            <w:shd w:val="clear" w:color="auto" w:fill="FFFFFF" w:themeFill="background1"/>
            <w:vAlign w:val="center"/>
          </w:tcPr>
          <w:p>
            <w:pPr>
              <w:widowControl/>
              <w:jc w:val="center"/>
              <w:rPr>
                <w:rFonts w:ascii="Times New Roman"/>
                <w:color w:val="000000" w:themeColor="text1"/>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150</w:t>
            </w:r>
          </w:p>
        </w:tc>
        <w:tc>
          <w:tcPr>
            <w:tcW w:w="4047" w:type="dxa"/>
            <w:vMerge w:val="continue"/>
            <w:tcBorders>
              <w:tl2br w:val="nil"/>
              <w:tr2bl w:val="nil"/>
            </w:tcBorders>
            <w:shd w:val="clear" w:color="auto" w:fill="FFFFFF" w:themeFill="background1"/>
            <w:vAlign w:val="center"/>
          </w:tcPr>
          <w:p>
            <w:pPr>
              <w:widowControl/>
              <w:jc w:val="center"/>
              <w:rPr>
                <w:color w:val="000000" w:themeColor="text1"/>
                <w:sz w:val="18"/>
                <w:szCs w:val="18"/>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trPr>
        <w:tc>
          <w:tcPr>
            <w:tcW w:w="1385" w:type="dxa"/>
            <w:tcBorders>
              <w:tl2br w:val="nil"/>
              <w:tr2bl w:val="nil"/>
            </w:tcBorders>
            <w:shd w:val="clear" w:color="auto" w:fill="FFFFFF" w:themeFill="background1"/>
            <w:vAlign w:val="center"/>
          </w:tcPr>
          <w:p>
            <w:pPr>
              <w:widowControl/>
              <w:jc w:val="center"/>
              <w:rPr>
                <w:rFonts w:ascii="Times New Roman"/>
                <w:color w:val="000000" w:themeColor="text1"/>
                <w:sz w:val="18"/>
                <w:szCs w:val="18"/>
                <w14:textFill>
                  <w14:solidFill>
                    <w14:schemeClr w14:val="tx1"/>
                  </w14:solidFill>
                </w14:textFill>
              </w:rPr>
            </w:pPr>
            <w:r>
              <w:rPr>
                <w:rFonts w:hint="eastAsia" w:ascii="Times New Roman"/>
                <w:color w:val="000000" w:themeColor="text1"/>
                <w:sz w:val="18"/>
                <w:szCs w:val="18"/>
                <w14:textFill>
                  <w14:solidFill>
                    <w14:schemeClr w14:val="tx1"/>
                  </w14:solidFill>
                </w14:textFill>
              </w:rPr>
              <w:t>TSP</w:t>
            </w:r>
          </w:p>
        </w:tc>
        <w:tc>
          <w:tcPr>
            <w:tcW w:w="1419" w:type="dxa"/>
            <w:tcBorders>
              <w:tl2br w:val="nil"/>
              <w:tr2bl w:val="nil"/>
            </w:tcBorders>
            <w:shd w:val="clear" w:color="auto" w:fill="FFFFFF" w:themeFill="background1"/>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二类区</w:t>
            </w:r>
          </w:p>
        </w:tc>
        <w:tc>
          <w:tcPr>
            <w:tcW w:w="1275" w:type="dxa"/>
            <w:tcBorders>
              <w:tl2br w:val="nil"/>
              <w:tr2bl w:val="nil"/>
            </w:tcBorders>
            <w:shd w:val="clear" w:color="auto" w:fill="FFFFFF" w:themeFill="background1"/>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24h平均</w:t>
            </w:r>
          </w:p>
        </w:tc>
        <w:tc>
          <w:tcPr>
            <w:tcW w:w="1277" w:type="dxa"/>
            <w:tcBorders>
              <w:tl2br w:val="nil"/>
              <w:tr2bl w:val="nil"/>
            </w:tcBorders>
            <w:shd w:val="clear" w:color="auto" w:fill="FFFFFF" w:themeFill="background1"/>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300</w:t>
            </w:r>
          </w:p>
        </w:tc>
        <w:tc>
          <w:tcPr>
            <w:tcW w:w="4047" w:type="dxa"/>
            <w:vMerge w:val="continue"/>
            <w:tcBorders>
              <w:tl2br w:val="nil"/>
              <w:tr2bl w:val="nil"/>
            </w:tcBorders>
            <w:shd w:val="clear" w:color="auto" w:fill="FFFFFF" w:themeFill="background1"/>
            <w:vAlign w:val="center"/>
          </w:tcPr>
          <w:p>
            <w:pPr>
              <w:widowControl/>
              <w:jc w:val="center"/>
              <w:rPr>
                <w:color w:val="000000" w:themeColor="text1"/>
                <w:sz w:val="18"/>
                <w:szCs w:val="18"/>
                <w14:textFill>
                  <w14:solidFill>
                    <w14:schemeClr w14:val="tx1"/>
                  </w14:solidFill>
                </w14:textFill>
              </w:rPr>
            </w:pP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397" w:name="_Toc2351"/>
      <w:bookmarkStart w:id="398" w:name="_Toc2094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预测内容</w:t>
      </w:r>
      <w:bookmarkEnd w:id="397"/>
      <w:bookmarkEnd w:id="398"/>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本项目大气环境影响评价等级为二级，根据《环境影响评价技术导则-大气环境》（HJ2.2-2018）要求，不进行进一步预测与评价，只对污染物排放量进行核算，本次评价直接采用估算模式的计算结果作为预测与分析依据。</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399" w:name="_Toc30928"/>
      <w:bookmarkStart w:id="400" w:name="_Toc2894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14:textFill>
            <w14:solidFill>
              <w14:schemeClr w14:val="tx1"/>
            </w14:solidFill>
          </w14:textFill>
        </w:rPr>
        <w:t>7</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预测模式选择</w:t>
      </w:r>
      <w:bookmarkEnd w:id="399"/>
      <w:bookmarkEnd w:id="400"/>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根据《环境影响评价技术导则-大气环境》（HJ2.2-2018）要求，本次评价采用 AERSCREEN 估算模式进行预测，估算模型预测参数见下表：</w:t>
      </w:r>
    </w:p>
    <w:p>
      <w:pPr>
        <w:pStyle w:val="385"/>
        <w:adjustRightInd w:val="0"/>
        <w:snapToGrid w:val="0"/>
        <w:spacing w:line="520" w:lineRule="exact"/>
        <w:ind w:firstLine="2891" w:firstLineChars="1200"/>
        <w:rPr>
          <w:b/>
          <w:bCs/>
          <w:snapToGrid w:val="0"/>
          <w:color w:val="000000" w:themeColor="text1"/>
          <w14:textFill>
            <w14:solidFill>
              <w14:schemeClr w14:val="tx1"/>
            </w14:solidFill>
          </w14:textFill>
        </w:rPr>
      </w:pPr>
    </w:p>
    <w:p>
      <w:pPr>
        <w:pStyle w:val="385"/>
        <w:adjustRightInd w:val="0"/>
        <w:snapToGrid w:val="0"/>
        <w:spacing w:line="520" w:lineRule="exact"/>
        <w:ind w:firstLine="3373" w:firstLineChars="1400"/>
        <w:rPr>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.2-9 估算模型参数表</w:t>
      </w:r>
    </w:p>
    <w:tbl>
      <w:tblPr>
        <w:tblStyle w:val="87"/>
        <w:tblW w:w="93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2911"/>
        <w:gridCol w:w="3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416" w:type="dxa"/>
            <w:gridSpan w:val="2"/>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参数</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5" w:type="dxa"/>
            <w:vMerge w:val="restart"/>
            <w:tcBorders>
              <w:tl2br w:val="nil"/>
              <w:tr2bl w:val="nil"/>
            </w:tcBorders>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城市农村/选项</w:t>
            </w:r>
          </w:p>
        </w:tc>
        <w:tc>
          <w:tcPr>
            <w:tcW w:w="2911"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城市/农村</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城市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5" w:type="dxa"/>
            <w:vMerge w:val="continue"/>
            <w:tcBorders>
              <w:tl2br w:val="nil"/>
              <w:tr2bl w:val="nil"/>
            </w:tcBorders>
            <w:vAlign w:val="center"/>
          </w:tcPr>
          <w:p>
            <w:pPr>
              <w:adjustRightInd w:val="0"/>
              <w:snapToGrid w:val="0"/>
              <w:jc w:val="center"/>
              <w:rPr>
                <w:color w:val="000000" w:themeColor="text1"/>
                <w:sz w:val="18"/>
                <w:szCs w:val="18"/>
                <w14:textFill>
                  <w14:solidFill>
                    <w14:schemeClr w14:val="tx1"/>
                  </w14:solidFill>
                </w14:textFill>
              </w:rPr>
            </w:pPr>
          </w:p>
        </w:tc>
        <w:tc>
          <w:tcPr>
            <w:tcW w:w="2911"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人口数（城市人口数）</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89266人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416" w:type="dxa"/>
            <w:gridSpan w:val="2"/>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最高环境温度</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40.8</w:t>
            </w:r>
            <w:r>
              <w:rPr>
                <w:rFonts w:ascii="Times New Roman" w:hAnsi="Times New Roman"/>
                <w:color w:val="000000" w:themeColor="text1"/>
                <w:sz w:val="18"/>
                <w:szCs w:val="18"/>
                <w14:textFill>
                  <w14:solidFill>
                    <w14:schemeClr w14:val="tx1"/>
                  </w14:solidFill>
                </w14:textFill>
              </w:rPr>
              <w: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416" w:type="dxa"/>
            <w:gridSpan w:val="2"/>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最低环境温度</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13.8</w:t>
            </w:r>
            <w:r>
              <w:rPr>
                <w:rFonts w:ascii="Times New Roman" w:hAnsi="Times New Roman"/>
                <w:color w:val="000000" w:themeColor="text1"/>
                <w:sz w:val="18"/>
                <w:szCs w:val="18"/>
                <w14:textFill>
                  <w14:solidFill>
                    <w14:schemeClr w14:val="tx1"/>
                  </w14:solidFill>
                </w14:textFill>
              </w:rPr>
              <w: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416" w:type="dxa"/>
            <w:gridSpan w:val="2"/>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土地利用类型</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工业</w:t>
            </w:r>
            <w:r>
              <w:rPr>
                <w:rFonts w:ascii="Times New Roman" w:hAnsi="Times New Roman"/>
                <w:color w:val="000000" w:themeColor="text1"/>
                <w:sz w:val="18"/>
                <w:szCs w:val="18"/>
                <w14:textFill>
                  <w14:solidFill>
                    <w14:schemeClr w14:val="tx1"/>
                  </w14:solidFill>
                </w14:textFill>
              </w:rPr>
              <w:t>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416" w:type="dxa"/>
            <w:gridSpan w:val="2"/>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区域湿度条件</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潮湿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505" w:type="dxa"/>
            <w:vMerge w:val="restart"/>
            <w:tcBorders>
              <w:tl2br w:val="nil"/>
              <w:tr2bl w:val="nil"/>
            </w:tcBorders>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是否考虑地形</w:t>
            </w:r>
          </w:p>
        </w:tc>
        <w:tc>
          <w:tcPr>
            <w:tcW w:w="2911"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考虑地形</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5" w:type="dxa"/>
            <w:vMerge w:val="continue"/>
            <w:tcBorders>
              <w:tl2br w:val="nil"/>
              <w:tr2bl w:val="nil"/>
            </w:tcBorders>
            <w:vAlign w:val="center"/>
          </w:tcPr>
          <w:p>
            <w:pPr>
              <w:adjustRightInd w:val="0"/>
              <w:snapToGrid w:val="0"/>
              <w:jc w:val="center"/>
              <w:rPr>
                <w:color w:val="000000" w:themeColor="text1"/>
                <w:sz w:val="18"/>
                <w:szCs w:val="18"/>
                <w14:textFill>
                  <w14:solidFill>
                    <w14:schemeClr w14:val="tx1"/>
                  </w14:solidFill>
                </w14:textFill>
              </w:rPr>
            </w:pPr>
          </w:p>
        </w:tc>
        <w:tc>
          <w:tcPr>
            <w:tcW w:w="2911"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地形数据分辨率（m）</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5" w:type="dxa"/>
            <w:vMerge w:val="restart"/>
            <w:tcBorders>
              <w:tl2br w:val="nil"/>
              <w:tr2bl w:val="nil"/>
            </w:tcBorders>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是否考虑海岸线熏烟</w:t>
            </w:r>
          </w:p>
        </w:tc>
        <w:tc>
          <w:tcPr>
            <w:tcW w:w="2911"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考虑海岸线熏烟</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5" w:type="dxa"/>
            <w:vMerge w:val="continue"/>
            <w:tcBorders>
              <w:tl2br w:val="nil"/>
              <w:tr2bl w:val="nil"/>
            </w:tcBorders>
            <w:vAlign w:val="center"/>
          </w:tcPr>
          <w:p>
            <w:pPr>
              <w:adjustRightInd w:val="0"/>
              <w:snapToGrid w:val="0"/>
              <w:jc w:val="center"/>
              <w:rPr>
                <w:color w:val="000000" w:themeColor="text1"/>
                <w:sz w:val="18"/>
                <w:szCs w:val="18"/>
                <w14:textFill>
                  <w14:solidFill>
                    <w14:schemeClr w14:val="tx1"/>
                  </w14:solidFill>
                </w14:textFill>
              </w:rPr>
            </w:pPr>
          </w:p>
        </w:tc>
        <w:tc>
          <w:tcPr>
            <w:tcW w:w="2911"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海岸线距离/m</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505" w:type="dxa"/>
            <w:vMerge w:val="continue"/>
            <w:tcBorders>
              <w:tl2br w:val="nil"/>
              <w:tr2bl w:val="nil"/>
            </w:tcBorders>
            <w:vAlign w:val="center"/>
          </w:tcPr>
          <w:p>
            <w:pPr>
              <w:adjustRightInd w:val="0"/>
              <w:snapToGrid w:val="0"/>
              <w:jc w:val="center"/>
              <w:rPr>
                <w:color w:val="000000" w:themeColor="text1"/>
                <w:sz w:val="18"/>
                <w:szCs w:val="18"/>
                <w14:textFill>
                  <w14:solidFill>
                    <w14:schemeClr w14:val="tx1"/>
                  </w14:solidFill>
                </w14:textFill>
              </w:rPr>
            </w:pPr>
          </w:p>
        </w:tc>
        <w:tc>
          <w:tcPr>
            <w:tcW w:w="2911"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海岸线方向/o</w:t>
            </w:r>
          </w:p>
        </w:tc>
        <w:tc>
          <w:tcPr>
            <w:tcW w:w="3903" w:type="dxa"/>
            <w:tcBorders>
              <w:tl2br w:val="nil"/>
              <w:tr2bl w:val="nil"/>
            </w:tcBorders>
            <w:vAlign w:val="center"/>
          </w:tcPr>
          <w:p>
            <w:pPr>
              <w:adjustRightInd w:val="0"/>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01" w:name="_Toc19057"/>
      <w:bookmarkStart w:id="402" w:name="_Toc14324"/>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14:textFill>
            <w14:solidFill>
              <w14:schemeClr w14:val="tx1"/>
            </w14:solidFill>
          </w14:textFill>
        </w:rPr>
        <w:t>8</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预测结果</w:t>
      </w:r>
      <w:bookmarkEnd w:id="401"/>
      <w:bookmarkEnd w:id="402"/>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正常工况有组织废气估算结果统计见表</w:t>
      </w:r>
      <w:r>
        <w:rPr>
          <w:rFonts w:hint="eastAsia"/>
          <w:snapToGrid w:val="0"/>
          <w:color w:val="000000" w:themeColor="text1"/>
          <w:lang w:val="en-US" w:eastAsia="zh-CN"/>
          <w14:textFill>
            <w14:solidFill>
              <w14:schemeClr w14:val="tx1"/>
            </w14:solidFill>
          </w14:textFill>
        </w:rPr>
        <w:t>6</w:t>
      </w:r>
      <w:r>
        <w:rPr>
          <w:rFonts w:hint="eastAsia"/>
          <w:snapToGrid w:val="0"/>
          <w:color w:val="000000" w:themeColor="text1"/>
          <w14:textFill>
            <w14:solidFill>
              <w14:schemeClr w14:val="tx1"/>
            </w14:solidFill>
          </w14:textFill>
        </w:rPr>
        <w:t>.2-10，无组织废气估算结果见表</w:t>
      </w:r>
      <w:r>
        <w:rPr>
          <w:rFonts w:hint="eastAsia"/>
          <w:snapToGrid w:val="0"/>
          <w:color w:val="000000" w:themeColor="text1"/>
          <w:lang w:val="en-US" w:eastAsia="zh-CN"/>
          <w14:textFill>
            <w14:solidFill>
              <w14:schemeClr w14:val="tx1"/>
            </w14:solidFill>
          </w14:textFill>
        </w:rPr>
        <w:t>6</w:t>
      </w:r>
      <w:r>
        <w:rPr>
          <w:rFonts w:hint="eastAsia"/>
          <w:snapToGrid w:val="0"/>
          <w:color w:val="000000" w:themeColor="text1"/>
          <w14:textFill>
            <w14:solidFill>
              <w14:schemeClr w14:val="tx1"/>
            </w14:solidFill>
          </w14:textFill>
        </w:rPr>
        <w:t>.2-11。</w:t>
      </w:r>
    </w:p>
    <w:p>
      <w:pPr>
        <w:pStyle w:val="385"/>
        <w:adjustRightInd w:val="0"/>
        <w:snapToGrid w:val="0"/>
        <w:spacing w:line="520" w:lineRule="exact"/>
        <w:ind w:firstLine="1928" w:firstLineChars="8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.2-10-1 正常工况大气污染物估算模式计算结果表</w:t>
      </w:r>
    </w:p>
    <w:tbl>
      <w:tblPr>
        <w:tblStyle w:val="87"/>
        <w:tblW w:w="9319" w:type="dxa"/>
        <w:tblInd w:w="164"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697"/>
        <w:gridCol w:w="1951"/>
        <w:gridCol w:w="1810"/>
        <w:gridCol w:w="2018"/>
        <w:gridCol w:w="184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1" w:hRule="atLeast"/>
        </w:trPr>
        <w:tc>
          <w:tcPr>
            <w:tcW w:w="1697"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下风向距离</w:t>
            </w:r>
            <w:r>
              <w:rPr>
                <w:rFonts w:hint="eastAsia" w:ascii="Times New Roman" w:hAnsi="Times New Roman"/>
                <w:color w:val="000000" w:themeColor="text1"/>
                <w:sz w:val="18"/>
                <w:szCs w:val="18"/>
                <w14:textFill>
                  <w14:solidFill>
                    <w14:schemeClr w14:val="tx1"/>
                  </w14:solidFill>
                </w14:textFill>
              </w:rPr>
              <w:t>（m）</w:t>
            </w:r>
          </w:p>
        </w:tc>
        <w:tc>
          <w:tcPr>
            <w:tcW w:w="7622" w:type="dxa"/>
            <w:gridSpan w:val="4"/>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呼吸废气排气筒DA001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1" w:hRule="atLeast"/>
        </w:trPr>
        <w:tc>
          <w:tcPr>
            <w:tcW w:w="1697"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HCl</w:t>
            </w:r>
            <w:r>
              <w:rPr>
                <w:rFonts w:ascii="Times New Roman" w:hAnsi="Times New Roman"/>
                <w:color w:val="000000" w:themeColor="text1"/>
                <w:sz w:val="18"/>
                <w:szCs w:val="18"/>
                <w14:textFill>
                  <w14:solidFill>
                    <w14:schemeClr w14:val="tx1"/>
                  </w14:solidFill>
                </w14:textFill>
              </w:rPr>
              <w:t>浓度(μg/m³)</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HCl</w:t>
            </w:r>
            <w:r>
              <w:rPr>
                <w:rFonts w:ascii="Times New Roman" w:hAnsi="Times New Roman"/>
                <w:color w:val="000000" w:themeColor="text1"/>
                <w:sz w:val="18"/>
                <w:szCs w:val="18"/>
                <w14:textFill>
                  <w14:solidFill>
                    <w14:schemeClr w14:val="tx1"/>
                  </w14:solidFill>
                </w14:textFill>
              </w:rPr>
              <w:t>占标率(%)</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氟化物</w:t>
            </w:r>
            <w:r>
              <w:rPr>
                <w:rFonts w:ascii="Times New Roman" w:hAnsi="Times New Roman"/>
                <w:color w:val="000000" w:themeColor="text1"/>
                <w:sz w:val="18"/>
                <w:szCs w:val="18"/>
                <w14:textFill>
                  <w14:solidFill>
                    <w14:schemeClr w14:val="tx1"/>
                  </w14:solidFill>
                </w14:textFill>
              </w:rPr>
              <w:t>浓度(μg/m³)</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氟化物</w:t>
            </w:r>
            <w:r>
              <w:rPr>
                <w:rFonts w:ascii="Times New Roman" w:hAnsi="Times New Roman"/>
                <w:color w:val="000000" w:themeColor="text1"/>
                <w:sz w:val="18"/>
                <w:szCs w:val="18"/>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0.0008</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0.0016</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0.2370</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0.7634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1951"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0.0009</w:t>
            </w:r>
          </w:p>
        </w:tc>
        <w:tc>
          <w:tcPr>
            <w:tcW w:w="1810"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0.0018</w:t>
            </w:r>
          </w:p>
        </w:tc>
        <w:tc>
          <w:tcPr>
            <w:tcW w:w="2018"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0.2701</w:t>
            </w:r>
          </w:p>
        </w:tc>
        <w:tc>
          <w:tcPr>
            <w:tcW w:w="1843"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0.8635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0.0008</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0.0017</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0.2505</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0.7895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0.0005</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0.1529</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0.7647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0.0003</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0.0007</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0.1030</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0.5149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0.0003</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0.0005</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0.0753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0.3766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0.0583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0.2913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0.0003</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0.0469</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0.2344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0.0003</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0.0387</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0.1936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0.0329</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0.1647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0.0283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0.1416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0.0245</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0.1226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0.0195</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0.0977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0.0158</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0.0791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0.0132</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0.0662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0.0113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0.0565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0.0098</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0.0492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0.0072</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0.0359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0.0057</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0.0286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0.0048</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0.0241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0.0041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0.0035</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0.0176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0.0031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0.0156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0.0009</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0.0018</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0.2701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0.8635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10"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下风向最大浓度出现距离</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D10%最远距离</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bl>
    <w:p>
      <w:pPr>
        <w:pStyle w:val="385"/>
        <w:adjustRightInd w:val="0"/>
        <w:snapToGrid w:val="0"/>
        <w:spacing w:line="520" w:lineRule="exact"/>
        <w:ind w:firstLine="1928" w:firstLineChars="8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.2-10-2 正常工况大气污染物估算模式计算结果表</w:t>
      </w:r>
    </w:p>
    <w:tbl>
      <w:tblPr>
        <w:tblStyle w:val="87"/>
        <w:tblW w:w="96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05"/>
        <w:gridCol w:w="3567"/>
        <w:gridCol w:w="28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下风向距离</w:t>
            </w:r>
          </w:p>
        </w:tc>
        <w:tc>
          <w:tcPr>
            <w:tcW w:w="6414"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投料粉尘排气筒DA002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浓度(μg/m³)</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0.5925</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3567"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0.6753</w:t>
            </w:r>
          </w:p>
        </w:tc>
        <w:tc>
          <w:tcPr>
            <w:tcW w:w="2847"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0.6264</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0.1392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0.3824</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0.2575</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0.1883</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0.1456</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0.1172</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0.0968</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0.0823</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0.0708</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0.0613</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0.0488</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0.0395</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0.0331</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0.0283</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0.0246</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0.0180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0.0143</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0.0120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0.0102</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0.0088</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0.0078</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0.6753</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下风向最大浓度出现距离</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73.0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D10%最远距离</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bl>
    <w:p>
      <w:pPr>
        <w:pStyle w:val="385"/>
        <w:adjustRightInd w:val="0"/>
        <w:snapToGrid w:val="0"/>
        <w:spacing w:line="520" w:lineRule="exact"/>
        <w:ind w:firstLine="2168" w:firstLineChars="9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.2-10-3 正常工况大气污染物估算模式计算结果表</w:t>
      </w:r>
    </w:p>
    <w:tbl>
      <w:tblPr>
        <w:tblStyle w:val="87"/>
        <w:tblW w:w="95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3545"/>
        <w:gridCol w:w="2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下风向距离</w:t>
            </w:r>
          </w:p>
        </w:tc>
        <w:tc>
          <w:tcPr>
            <w:tcW w:w="6373"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烘干废气排气筒</w:t>
            </w:r>
            <w:r>
              <w:rPr>
                <w:rFonts w:hint="eastAsia" w:ascii="Times New Roman" w:hAnsi="Times New Roman"/>
                <w:color w:val="000000" w:themeColor="text1"/>
                <w:sz w:val="18"/>
                <w:szCs w:val="18"/>
                <w14:textFill>
                  <w14:solidFill>
                    <w14:schemeClr w14:val="tx1"/>
                  </w14:solidFill>
                </w14:textFill>
              </w:rPr>
              <w:t>DA003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浓度(μg/m³)</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w:t>
            </w:r>
          </w:p>
        </w:tc>
        <w:tc>
          <w:tcPr>
            <w:tcW w:w="3545"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0.4633</w:t>
            </w:r>
          </w:p>
        </w:tc>
        <w:tc>
          <w:tcPr>
            <w:tcW w:w="2828"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0.4009</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0.0891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0.2684</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0.3608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0.0802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0.3426</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0.0761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0.2863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0.0636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0.2411</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0.2064</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0.1788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0.1567</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0.1394</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0.1263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0.1062</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0.0908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0.0790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0.0695</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0.0620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0.0484</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0.0393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0.0329</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0.0282</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0.0245</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0.0217</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0.4633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下风向最大浓度出现距离</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D10%最远距离</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bl>
    <w:p>
      <w:pPr>
        <w:pStyle w:val="385"/>
        <w:adjustRightInd w:val="0"/>
        <w:snapToGrid w:val="0"/>
        <w:spacing w:line="520" w:lineRule="exact"/>
        <w:ind w:firstLine="2168" w:firstLineChars="9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.2-11 正常工况大气污染物估算模式计算结果表</w:t>
      </w:r>
    </w:p>
    <w:tbl>
      <w:tblPr>
        <w:tblStyle w:val="87"/>
        <w:tblW w:w="95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3545"/>
        <w:gridCol w:w="2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下风向距离</w:t>
            </w:r>
          </w:p>
        </w:tc>
        <w:tc>
          <w:tcPr>
            <w:tcW w:w="6373"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生产厂区面源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TSP</w:t>
            </w:r>
            <w:r>
              <w:rPr>
                <w:rFonts w:ascii="Times New Roman" w:hAnsi="Times New Roman"/>
                <w:color w:val="000000" w:themeColor="text1"/>
                <w:sz w:val="18"/>
                <w:szCs w:val="18"/>
                <w14:textFill>
                  <w14:solidFill>
                    <w14:schemeClr w14:val="tx1"/>
                  </w14:solidFill>
                </w14:textFill>
              </w:rPr>
              <w:t>浓度(μg/m³)</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TSP</w:t>
            </w:r>
            <w:r>
              <w:rPr>
                <w:rFonts w:ascii="Times New Roman" w:hAnsi="Times New Roman"/>
                <w:color w:val="000000" w:themeColor="text1"/>
                <w:sz w:val="18"/>
                <w:szCs w:val="18"/>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6.8324</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0.7591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126</w:t>
            </w:r>
          </w:p>
        </w:tc>
        <w:tc>
          <w:tcPr>
            <w:tcW w:w="3545"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7.0902</w:t>
            </w:r>
          </w:p>
        </w:tc>
        <w:tc>
          <w:tcPr>
            <w:tcW w:w="2828"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0.7878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6.6258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0.7362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6.4106</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6.1497</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0.6833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5.0983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0.5665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4.8128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0.5348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4.1193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0.4577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3.0232</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1.4436</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0.8967</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0.6542</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0.0727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0.4032</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0.0478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0.2798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0.1259</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0.0864</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0.0425</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0.0297</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0.0115</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0.0093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0.0044</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0.0026</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7.0902</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0.7878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下风向最大浓度出现距离</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126</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D10%最远距离</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03" w:name="_Toc21103"/>
      <w:bookmarkStart w:id="404" w:name="_Toc24731"/>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.2.1.</w:t>
      </w:r>
      <w:r>
        <w:rPr>
          <w:rFonts w:hint="eastAsia" w:ascii="Times New Roman" w:hAnsi="Times New Roman" w:eastAsia="黑体"/>
          <w:b/>
          <w:color w:val="000000" w:themeColor="text1"/>
          <w:sz w:val="24"/>
          <w:szCs w:val="24"/>
          <w:lang w:val="en-US" w:eastAsia="zh-CN"/>
          <w14:textFill>
            <w14:solidFill>
              <w14:schemeClr w14:val="tx1"/>
            </w14:solidFill>
          </w14:textFill>
        </w:rPr>
        <w:t>9</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预测结果分析</w:t>
      </w:r>
      <w:bookmarkEnd w:id="403"/>
      <w:bookmarkEnd w:id="404"/>
    </w:p>
    <w:p>
      <w:pPr>
        <w:pStyle w:val="385"/>
        <w:adjustRightInd w:val="0"/>
        <w:snapToGrid w:val="0"/>
        <w:spacing w:line="520" w:lineRule="exact"/>
        <w:ind w:firstLine="480"/>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由预测结果可知，本项目Pmax最大值出现为</w:t>
      </w:r>
      <w:r>
        <w:rPr>
          <w:rFonts w:hint="eastAsia" w:cs="Times New Roman"/>
          <w:snapToGrid w:val="0"/>
          <w:color w:val="000000" w:themeColor="text1"/>
          <w14:textFill>
            <w14:solidFill>
              <w14:schemeClr w14:val="tx1"/>
            </w14:solidFill>
          </w14:textFill>
        </w:rPr>
        <w:t>呼吸废气排气筒DA001</w:t>
      </w:r>
      <w:r>
        <w:rPr>
          <w:rFonts w:cs="Times New Roman"/>
          <w:snapToGrid w:val="0"/>
          <w:color w:val="000000" w:themeColor="text1"/>
          <w14:textFill>
            <w14:solidFill>
              <w14:schemeClr w14:val="tx1"/>
            </w14:solidFill>
          </w14:textFill>
        </w:rPr>
        <w:t>排放的</w:t>
      </w:r>
      <w:r>
        <w:rPr>
          <w:rFonts w:hint="eastAsia" w:cs="Times New Roman"/>
          <w:snapToGrid w:val="0"/>
          <w:color w:val="000000" w:themeColor="text1"/>
          <w14:textFill>
            <w14:solidFill>
              <w14:schemeClr w14:val="tx1"/>
            </w14:solidFill>
          </w14:textFill>
        </w:rPr>
        <w:t>氟化物</w:t>
      </w:r>
      <w:r>
        <w:rPr>
          <w:rFonts w:cs="Times New Roman"/>
          <w:snapToGrid w:val="0"/>
          <w:color w:val="000000" w:themeColor="text1"/>
          <w14:textFill>
            <w14:solidFill>
              <w14:schemeClr w14:val="tx1"/>
            </w14:solidFill>
          </w14:textFill>
        </w:rPr>
        <w:t>Pmax值为</w:t>
      </w:r>
      <w:r>
        <w:rPr>
          <w:rFonts w:hint="eastAsia" w:cs="Times New Roman"/>
          <w:snapToGrid w:val="0"/>
          <w:color w:val="000000" w:themeColor="text1"/>
          <w14:textFill>
            <w14:solidFill>
              <w14:schemeClr w14:val="tx1"/>
            </w14:solidFill>
          </w14:textFill>
        </w:rPr>
        <w:t>0.8635</w:t>
      </w:r>
      <w:r>
        <w:rPr>
          <w:rFonts w:cs="Times New Roman"/>
          <w:snapToGrid w:val="0"/>
          <w:color w:val="000000" w:themeColor="text1"/>
          <w14:textFill>
            <w14:solidFill>
              <w14:schemeClr w14:val="tx1"/>
            </w14:solidFill>
          </w14:textFill>
        </w:rPr>
        <w:t>%,Cmax为</w:t>
      </w:r>
      <w:r>
        <w:rPr>
          <w:rFonts w:hint="eastAsia" w:cs="Times New Roman"/>
          <w:snapToGrid w:val="0"/>
          <w:color w:val="000000" w:themeColor="text1"/>
          <w14:textFill>
            <w14:solidFill>
              <w14:schemeClr w14:val="tx1"/>
            </w14:solidFill>
          </w14:textFill>
        </w:rPr>
        <w:t>0.2701</w:t>
      </w:r>
      <w:r>
        <w:rPr>
          <w:rFonts w:cs="Times New Roman"/>
          <w:snapToGrid w:val="0"/>
          <w:color w:val="000000" w:themeColor="text1"/>
          <w14:textFill>
            <w14:solidFill>
              <w14:schemeClr w14:val="tx1"/>
            </w14:solidFill>
          </w14:textFill>
        </w:rPr>
        <w:t>μg/m³，根据《环境影响评价评价技术导则</w:t>
      </w:r>
      <w:r>
        <w:rPr>
          <w:rFonts w:hint="eastAsia" w:cs="Times New Roman"/>
          <w:snapToGrid w:val="0"/>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大气环境》(HJ2.2-2018)</w:t>
      </w:r>
      <w:r>
        <w:rPr>
          <w:rFonts w:hint="eastAsia" w:cs="Times New Roman"/>
          <w:snapToGrid w:val="0"/>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5.3.3.2 对电力、钢铁、水泥、石化、化工、平板玻璃、有色等高耗能行业的多源项目或使用高污染燃料为主的多源项目，并且编制环境影响报告书的项目评价等级提高一级</w:t>
      </w:r>
      <w:r>
        <w:rPr>
          <w:rFonts w:hint="eastAsia" w:cs="Times New Roman"/>
          <w:snapToGrid w:val="0"/>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，本项目为</w:t>
      </w:r>
      <w:r>
        <w:rPr>
          <w:rFonts w:hint="eastAsia" w:cs="Times New Roman"/>
          <w:snapToGrid w:val="0"/>
          <w:color w:val="000000" w:themeColor="text1"/>
          <w14:textFill>
            <w14:solidFill>
              <w14:schemeClr w14:val="tx1"/>
            </w14:solidFill>
          </w14:textFill>
        </w:rPr>
        <w:t>属于</w:t>
      </w:r>
      <w:r>
        <w:rPr>
          <w:rFonts w:cs="Times New Roman"/>
          <w:snapToGrid w:val="0"/>
          <w:color w:val="000000" w:themeColor="text1"/>
          <w14:textFill>
            <w14:solidFill>
              <w14:schemeClr w14:val="tx1"/>
            </w14:solidFill>
          </w14:textFill>
        </w:rPr>
        <w:t>化工</w:t>
      </w:r>
      <w:r>
        <w:rPr>
          <w:rFonts w:hint="eastAsia" w:cs="Times New Roman"/>
          <w:snapToGrid w:val="0"/>
          <w:color w:val="000000" w:themeColor="text1"/>
          <w14:textFill>
            <w14:solidFill>
              <w14:schemeClr w14:val="tx1"/>
            </w14:solidFill>
          </w14:textFill>
        </w:rPr>
        <w:t>项目</w:t>
      </w:r>
      <w:r>
        <w:rPr>
          <w:rFonts w:cs="Times New Roman"/>
          <w:snapToGrid w:val="0"/>
          <w:color w:val="000000" w:themeColor="text1"/>
          <w14:textFill>
            <w14:solidFill>
              <w14:schemeClr w14:val="tx1"/>
            </w14:solidFill>
          </w14:textFill>
        </w:rPr>
        <w:t>，故最终确定</w:t>
      </w:r>
      <w:r>
        <w:rPr>
          <w:rFonts w:hint="eastAsia" w:cs="Times New Roman"/>
          <w:snapToGrid w:val="0"/>
          <w:color w:val="000000" w:themeColor="text1"/>
          <w14:textFill>
            <w14:solidFill>
              <w14:schemeClr w14:val="tx1"/>
            </w14:solidFill>
          </w14:textFill>
        </w:rPr>
        <w:t>大气环境</w:t>
      </w:r>
      <w:r>
        <w:rPr>
          <w:rFonts w:cs="Times New Roman"/>
          <w:snapToGrid w:val="0"/>
          <w:color w:val="000000" w:themeColor="text1"/>
          <w14:textFill>
            <w14:solidFill>
              <w14:schemeClr w14:val="tx1"/>
            </w14:solidFill>
          </w14:textFill>
        </w:rPr>
        <w:t>影响评价等级为二级</w:t>
      </w:r>
      <w:r>
        <w:rPr>
          <w:rFonts w:hint="eastAsia" w:cs="Times New Roman"/>
          <w:snapToGrid w:val="0"/>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无需进行进一步预测与评价，只对污染物排放量进行核算。</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405" w:name="_Toc26752"/>
      <w:bookmarkStart w:id="406" w:name="_Toc27951"/>
      <w:r>
        <w:rPr>
          <w:rFonts w:hint="eastAsia" w:ascii="Times New Roman" w:hAnsi="Times New Roman" w:eastAsia="黑体"/>
          <w:b/>
          <w:color w:val="000000" w:themeColor="text1"/>
          <w:sz w:val="28"/>
          <w:szCs w:val="28"/>
          <w:lang w:val="en-US" w:eastAsia="zh-CN"/>
          <w14:textFill>
            <w14:solidFill>
              <w14:schemeClr w14:val="tx1"/>
            </w14:solidFill>
          </w14:textFill>
        </w:rPr>
        <w:t>6</w:t>
      </w:r>
      <w:r>
        <w:rPr>
          <w:rFonts w:hint="eastAsia" w:ascii="Times New Roman" w:hAnsi="Times New Roman" w:eastAsia="黑体"/>
          <w:b/>
          <w:color w:val="000000" w:themeColor="text1"/>
          <w:sz w:val="28"/>
          <w:szCs w:val="28"/>
          <w14:textFill>
            <w14:solidFill>
              <w14:schemeClr w14:val="tx1"/>
            </w14:solidFill>
          </w14:textFill>
        </w:rPr>
        <w:t>.2.2非正常工况大气</w:t>
      </w:r>
      <w:r>
        <w:rPr>
          <w:rFonts w:ascii="Times New Roman" w:hAnsi="Times New Roman" w:eastAsia="黑体"/>
          <w:b/>
          <w:color w:val="000000" w:themeColor="text1"/>
          <w:kern w:val="0"/>
          <w:sz w:val="28"/>
          <w:szCs w:val="28"/>
          <w14:textFill>
            <w14:solidFill>
              <w14:schemeClr w14:val="tx1"/>
            </w14:solidFill>
          </w14:textFill>
        </w:rPr>
        <w:t>环境影响</w:t>
      </w:r>
      <w:r>
        <w:rPr>
          <w:rFonts w:hint="eastAsia" w:ascii="Times New Roman" w:hAnsi="Times New Roman" w:eastAsia="黑体"/>
          <w:b/>
          <w:color w:val="000000" w:themeColor="text1"/>
          <w:kern w:val="0"/>
          <w:sz w:val="28"/>
          <w:szCs w:val="28"/>
          <w14:textFill>
            <w14:solidFill>
              <w14:schemeClr w14:val="tx1"/>
            </w14:solidFill>
          </w14:textFill>
        </w:rPr>
        <w:t>预测与</w:t>
      </w:r>
      <w:r>
        <w:rPr>
          <w:rFonts w:ascii="Times New Roman" w:hAnsi="Times New Roman" w:eastAsia="黑体"/>
          <w:b/>
          <w:color w:val="000000" w:themeColor="text1"/>
          <w:kern w:val="0"/>
          <w:sz w:val="28"/>
          <w:szCs w:val="28"/>
          <w14:textFill>
            <w14:solidFill>
              <w14:schemeClr w14:val="tx1"/>
            </w14:solidFill>
          </w14:textFill>
        </w:rPr>
        <w:t>评价</w:t>
      </w:r>
      <w:bookmarkEnd w:id="405"/>
      <w:bookmarkEnd w:id="406"/>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07" w:name="_Toc30856"/>
      <w:bookmarkStart w:id="408" w:name="_Toc2818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1</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预测参数选取</w:t>
      </w:r>
      <w:bookmarkEnd w:id="407"/>
      <w:bookmarkEnd w:id="408"/>
    </w:p>
    <w:p>
      <w:pPr>
        <w:pStyle w:val="385"/>
        <w:adjustRightInd w:val="0"/>
        <w:snapToGrid w:val="0"/>
        <w:spacing w:line="520" w:lineRule="exact"/>
        <w:ind w:firstLine="480"/>
        <w:rPr>
          <w:rFonts w:eastAsia="黑体" w:cs="Times New Roman"/>
          <w:b/>
          <w:color w:val="000000" w:themeColor="text1"/>
          <w14:textFill>
            <w14:solidFill>
              <w14:schemeClr w14:val="tx1"/>
            </w14:solidFill>
          </w14:textFill>
        </w:rPr>
      </w:pPr>
      <w:r>
        <w:rPr>
          <w:rFonts w:hint="eastAsia" w:cs="Times New Roman"/>
          <w:snapToGrid w:val="0"/>
          <w:color w:val="000000" w:themeColor="text1"/>
          <w14:textFill>
            <w14:solidFill>
              <w14:schemeClr w14:val="tx1"/>
            </w14:solidFill>
          </w14:textFill>
        </w:rPr>
        <w:t>该项目主要废气污染源非正常排放源强见下表。</w:t>
      </w:r>
    </w:p>
    <w:p>
      <w:pPr>
        <w:pStyle w:val="385"/>
        <w:adjustRightInd w:val="0"/>
        <w:snapToGrid w:val="0"/>
        <w:spacing w:line="520" w:lineRule="exact"/>
        <w:ind w:firstLine="482"/>
        <w:jc w:val="center"/>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2-12 非正常工况点源参数调查清单</w:t>
      </w:r>
    </w:p>
    <w:tbl>
      <w:tblPr>
        <w:tblStyle w:val="87"/>
        <w:tblW w:w="94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763"/>
        <w:gridCol w:w="749"/>
        <w:gridCol w:w="719"/>
        <w:gridCol w:w="717"/>
        <w:gridCol w:w="717"/>
        <w:gridCol w:w="733"/>
        <w:gridCol w:w="741"/>
        <w:gridCol w:w="736"/>
        <w:gridCol w:w="679"/>
        <w:gridCol w:w="127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763"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编号</w:t>
            </w:r>
          </w:p>
        </w:tc>
        <w:tc>
          <w:tcPr>
            <w:tcW w:w="1468" w:type="dxa"/>
            <w:gridSpan w:val="2"/>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坐标</w:t>
            </w:r>
            <w:r>
              <w:rPr>
                <w:rFonts w:hint="eastAsia" w:ascii="Times New Roman" w:hAnsi="宋体"/>
                <w:color w:val="000000" w:themeColor="text1"/>
                <w:kern w:val="0"/>
                <w:sz w:val="18"/>
                <w:szCs w:val="18"/>
                <w14:textFill>
                  <w14:solidFill>
                    <w14:schemeClr w14:val="tx1"/>
                  </w14:solidFill>
                </w14:textFill>
              </w:rPr>
              <w:t>/m</w:t>
            </w:r>
          </w:p>
        </w:tc>
        <w:tc>
          <w:tcPr>
            <w:tcW w:w="2908" w:type="dxa"/>
            <w:gridSpan w:val="4"/>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排气筒</w:t>
            </w:r>
            <w:r>
              <w:rPr>
                <w:rFonts w:hint="eastAsia" w:ascii="Times New Roman" w:hAnsi="宋体"/>
                <w:color w:val="000000" w:themeColor="text1"/>
                <w:kern w:val="0"/>
                <w:sz w:val="18"/>
                <w:szCs w:val="18"/>
                <w14:textFill>
                  <w14:solidFill>
                    <w14:schemeClr w14:val="tx1"/>
                  </w14:solidFill>
                </w14:textFill>
              </w:rPr>
              <w:t>参数</w:t>
            </w:r>
          </w:p>
        </w:tc>
        <w:tc>
          <w:tcPr>
            <w:tcW w:w="736" w:type="dxa"/>
            <w:vMerge w:val="restart"/>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年排放小时数/h</w:t>
            </w:r>
          </w:p>
        </w:tc>
        <w:tc>
          <w:tcPr>
            <w:tcW w:w="679" w:type="dxa"/>
            <w:vMerge w:val="restart"/>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排放工况</w:t>
            </w:r>
          </w:p>
        </w:tc>
        <w:tc>
          <w:tcPr>
            <w:tcW w:w="1275"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污染物名称</w:t>
            </w:r>
          </w:p>
        </w:tc>
        <w:tc>
          <w:tcPr>
            <w:tcW w:w="1605"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排放速率（</w:t>
            </w:r>
            <w:r>
              <w:rPr>
                <w:rFonts w:ascii="Times New Roman" w:hAnsi="Times New Roman"/>
                <w:color w:val="000000" w:themeColor="text1"/>
                <w:kern w:val="0"/>
                <w:sz w:val="18"/>
                <w:szCs w:val="18"/>
                <w14:textFill>
                  <w14:solidFill>
                    <w14:schemeClr w14:val="tx1"/>
                  </w14:solidFill>
                </w14:textFill>
              </w:rPr>
              <w:t>kg/h</w:t>
            </w:r>
            <w:r>
              <w:rPr>
                <w:rFonts w:ascii="Times New Roman" w:hAnsi="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0" w:hRule="atLeast"/>
          <w:jc w:val="center"/>
        </w:trPr>
        <w:tc>
          <w:tcPr>
            <w:tcW w:w="763"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4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X</w:t>
            </w:r>
          </w:p>
        </w:tc>
        <w:tc>
          <w:tcPr>
            <w:tcW w:w="7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Y</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高度（m）</w:t>
            </w:r>
          </w:p>
        </w:tc>
        <w:tc>
          <w:tcPr>
            <w:tcW w:w="717"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内径（m）</w:t>
            </w:r>
          </w:p>
        </w:tc>
        <w:tc>
          <w:tcPr>
            <w:tcW w:w="7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温度（℃）</w:t>
            </w:r>
          </w:p>
        </w:tc>
        <w:tc>
          <w:tcPr>
            <w:tcW w:w="741"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风量(m</w:t>
            </w:r>
            <w:r>
              <w:rPr>
                <w:rFonts w:hint="eastAsia" w:ascii="Times New Roman" w:hAnsi="宋体"/>
                <w:color w:val="000000" w:themeColor="text1"/>
                <w:kern w:val="0"/>
                <w:sz w:val="18"/>
                <w:szCs w:val="18"/>
                <w:vertAlign w:val="superscript"/>
                <w14:textFill>
                  <w14:solidFill>
                    <w14:schemeClr w14:val="tx1"/>
                  </w14:solidFill>
                </w14:textFill>
              </w:rPr>
              <w:t>3</w:t>
            </w:r>
            <w:r>
              <w:rPr>
                <w:rFonts w:hint="eastAsia" w:ascii="Times New Roman" w:hAnsi="宋体"/>
                <w:color w:val="000000" w:themeColor="text1"/>
                <w:kern w:val="0"/>
                <w:sz w:val="18"/>
                <w:szCs w:val="18"/>
                <w14:textFill>
                  <w14:solidFill>
                    <w14:schemeClr w14:val="tx1"/>
                  </w14:solidFill>
                </w14:textFill>
              </w:rPr>
              <w:t>/h)</w:t>
            </w:r>
          </w:p>
        </w:tc>
        <w:tc>
          <w:tcPr>
            <w:tcW w:w="73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79"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27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0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DA001</w:t>
            </w:r>
          </w:p>
        </w:tc>
        <w:tc>
          <w:tcPr>
            <w:tcW w:w="749"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27.6</w:t>
            </w:r>
          </w:p>
        </w:tc>
        <w:tc>
          <w:tcPr>
            <w:tcW w:w="719"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32.4</w:t>
            </w:r>
          </w:p>
        </w:tc>
        <w:tc>
          <w:tcPr>
            <w:tcW w:w="717"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w:t>
            </w:r>
          </w:p>
        </w:tc>
        <w:tc>
          <w:tcPr>
            <w:tcW w:w="717"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w:t>
            </w:r>
          </w:p>
        </w:tc>
        <w:tc>
          <w:tcPr>
            <w:tcW w:w="733"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35</w:t>
            </w:r>
          </w:p>
        </w:tc>
        <w:tc>
          <w:tcPr>
            <w:tcW w:w="741"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1000</w:t>
            </w:r>
          </w:p>
        </w:tc>
        <w:tc>
          <w:tcPr>
            <w:tcW w:w="73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c>
          <w:tcPr>
            <w:tcW w:w="679"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连续</w:t>
            </w:r>
          </w:p>
        </w:tc>
        <w:tc>
          <w:tcPr>
            <w:tcW w:w="12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氟化物</w:t>
            </w:r>
          </w:p>
        </w:tc>
        <w:tc>
          <w:tcPr>
            <w:tcW w:w="160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vMerge w:val="continue"/>
            <w:vAlign w:val="center"/>
          </w:tcPr>
          <w:p>
            <w:pPr>
              <w:widowControl/>
              <w:jc w:val="left"/>
              <w:rPr>
                <w:rFonts w:ascii="Times New Roman" w:hAnsi="Times New Roman"/>
                <w:b/>
                <w:bCs/>
                <w:color w:val="000000" w:themeColor="text1"/>
                <w:kern w:val="0"/>
                <w:sz w:val="18"/>
                <w:szCs w:val="18"/>
                <w14:textFill>
                  <w14:solidFill>
                    <w14:schemeClr w14:val="tx1"/>
                  </w14:solidFill>
                </w14:textFill>
              </w:rPr>
            </w:pPr>
          </w:p>
        </w:tc>
        <w:tc>
          <w:tcPr>
            <w:tcW w:w="749"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19"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17"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17"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33"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41"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36" w:type="dxa"/>
            <w:vMerge w:val="continue"/>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p>
        </w:tc>
        <w:tc>
          <w:tcPr>
            <w:tcW w:w="679" w:type="dxa"/>
            <w:vMerge w:val="continue"/>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p>
        </w:tc>
        <w:tc>
          <w:tcPr>
            <w:tcW w:w="12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HC</w:t>
            </w:r>
            <w:r>
              <w:rPr>
                <w:rFonts w:hint="eastAsia" w:ascii="Times New Roman" w:hAnsi="Times New Roman"/>
                <w:color w:val="000000" w:themeColor="text1"/>
                <w:kern w:val="0"/>
                <w:sz w:val="18"/>
                <w:szCs w:val="18"/>
                <w14:textFill>
                  <w14:solidFill>
                    <w14:schemeClr w14:val="tx1"/>
                  </w14:solidFill>
                </w14:textFill>
              </w:rPr>
              <w:t>l</w:t>
            </w:r>
          </w:p>
        </w:tc>
        <w:tc>
          <w:tcPr>
            <w:tcW w:w="160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shd w:val="clear" w:color="auto" w:fill="auto"/>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DA002</w:t>
            </w:r>
          </w:p>
        </w:tc>
        <w:tc>
          <w:tcPr>
            <w:tcW w:w="74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57.7</w:t>
            </w:r>
          </w:p>
        </w:tc>
        <w:tc>
          <w:tcPr>
            <w:tcW w:w="7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30.6</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0.3</w:t>
            </w:r>
          </w:p>
        </w:tc>
        <w:tc>
          <w:tcPr>
            <w:tcW w:w="7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w:t>
            </w:r>
          </w:p>
        </w:tc>
        <w:tc>
          <w:tcPr>
            <w:tcW w:w="74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2000</w:t>
            </w:r>
          </w:p>
        </w:tc>
        <w:tc>
          <w:tcPr>
            <w:tcW w:w="736"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1</w:t>
            </w:r>
          </w:p>
        </w:tc>
        <w:tc>
          <w:tcPr>
            <w:tcW w:w="679"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连续</w:t>
            </w:r>
          </w:p>
        </w:tc>
        <w:tc>
          <w:tcPr>
            <w:tcW w:w="127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PM</w:t>
            </w:r>
            <w:r>
              <w:rPr>
                <w:rFonts w:hint="eastAsia" w:ascii="Times New Roman" w:hAnsi="宋体"/>
                <w:color w:val="000000" w:themeColor="text1"/>
                <w:kern w:val="0"/>
                <w:sz w:val="18"/>
                <w:szCs w:val="18"/>
                <w:vertAlign w:val="subscript"/>
                <w14:textFill>
                  <w14:solidFill>
                    <w14:schemeClr w14:val="tx1"/>
                  </w14:solidFill>
                </w14:textFill>
              </w:rPr>
              <w:t>10</w:t>
            </w:r>
          </w:p>
        </w:tc>
        <w:tc>
          <w:tcPr>
            <w:tcW w:w="160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0.6375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5" w:hRule="atLeast"/>
          <w:jc w:val="center"/>
        </w:trPr>
        <w:tc>
          <w:tcPr>
            <w:tcW w:w="763" w:type="dxa"/>
            <w:shd w:val="clear" w:color="auto" w:fill="auto"/>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DA003</w:t>
            </w:r>
          </w:p>
        </w:tc>
        <w:tc>
          <w:tcPr>
            <w:tcW w:w="74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64.2</w:t>
            </w:r>
          </w:p>
        </w:tc>
        <w:tc>
          <w:tcPr>
            <w:tcW w:w="71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41.3</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w:t>
            </w:r>
          </w:p>
        </w:tc>
        <w:tc>
          <w:tcPr>
            <w:tcW w:w="71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0.3</w:t>
            </w:r>
          </w:p>
        </w:tc>
        <w:tc>
          <w:tcPr>
            <w:tcW w:w="73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100</w:t>
            </w:r>
          </w:p>
        </w:tc>
        <w:tc>
          <w:tcPr>
            <w:tcW w:w="74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1000</w:t>
            </w:r>
          </w:p>
        </w:tc>
        <w:tc>
          <w:tcPr>
            <w:tcW w:w="736"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1</w:t>
            </w:r>
          </w:p>
        </w:tc>
        <w:tc>
          <w:tcPr>
            <w:tcW w:w="679"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连续</w:t>
            </w:r>
          </w:p>
        </w:tc>
        <w:tc>
          <w:tcPr>
            <w:tcW w:w="1275"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PM</w:t>
            </w:r>
            <w:r>
              <w:rPr>
                <w:rFonts w:hint="eastAsia" w:ascii="Times New Roman" w:hAnsi="宋体"/>
                <w:color w:val="000000" w:themeColor="text1"/>
                <w:kern w:val="0"/>
                <w:sz w:val="18"/>
                <w:szCs w:val="18"/>
                <w:vertAlign w:val="subscript"/>
                <w14:textFill>
                  <w14:solidFill>
                    <w14:schemeClr w14:val="tx1"/>
                  </w14:solidFill>
                </w14:textFill>
              </w:rPr>
              <w:t>10</w:t>
            </w:r>
          </w:p>
        </w:tc>
        <w:tc>
          <w:tcPr>
            <w:tcW w:w="160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1.04</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09" w:name="_Toc20503"/>
      <w:bookmarkStart w:id="410" w:name="_Toc1361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预测模式选取</w:t>
      </w:r>
      <w:bookmarkEnd w:id="409"/>
      <w:bookmarkEnd w:id="410"/>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根据《环境影响评价技术导则-大气环境》(HJ2.2-2018)的要求，对于小于1小时的短期非正常排放，可采用估算模式进行预测。</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11" w:name="_Toc13107"/>
      <w:bookmarkStart w:id="412" w:name="_Toc19787"/>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3</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预测结果</w:t>
      </w:r>
      <w:bookmarkEnd w:id="411"/>
      <w:bookmarkEnd w:id="412"/>
    </w:p>
    <w:p>
      <w:pPr>
        <w:pStyle w:val="385"/>
        <w:adjustRightInd w:val="0"/>
        <w:snapToGrid w:val="0"/>
        <w:spacing w:line="520" w:lineRule="exact"/>
        <w:ind w:firstLine="480"/>
        <w:rPr>
          <w:snapToGrid w:val="0"/>
          <w:color w:val="000000" w:themeColor="text1"/>
          <w14:textFill>
            <w14:solidFill>
              <w14:schemeClr w14:val="tx1"/>
            </w14:solidFill>
          </w14:textFill>
        </w:rPr>
      </w:pPr>
      <w:r>
        <w:rPr>
          <w:color w:val="000000" w:themeColor="text1"/>
          <w14:textFill>
            <w14:solidFill>
              <w14:schemeClr w14:val="tx1"/>
            </w14:solidFill>
          </w14:textFill>
        </w:rPr>
        <w:t>采用估算模式对本项目非正常工况下有组织废气</w:t>
      </w:r>
      <w:r>
        <w:rPr>
          <w:rFonts w:hint="eastAsia"/>
          <w:color w:val="000000" w:themeColor="text1"/>
          <w14:textFill>
            <w14:solidFill>
              <w14:schemeClr w14:val="tx1"/>
            </w14:solidFill>
          </w14:textFill>
        </w:rPr>
        <w:t>污染物</w:t>
      </w:r>
      <w:r>
        <w:rPr>
          <w:color w:val="000000" w:themeColor="text1"/>
          <w14:textFill>
            <w14:solidFill>
              <w14:schemeClr w14:val="tx1"/>
            </w14:solidFill>
          </w14:textFill>
        </w:rPr>
        <w:t xml:space="preserve">进行预测，其最大落地浓度详见表 </w:t>
      </w:r>
      <w:r>
        <w:rPr>
          <w:rFonts w:hint="eastAsia"/>
          <w:color w:val="000000" w:themeColor="text1"/>
          <w:lang w:val="en-US" w:eastAsia="zh-CN"/>
          <w14:textFill>
            <w14:solidFill>
              <w14:schemeClr w14:val="tx1"/>
            </w14:solidFill>
          </w14:textFill>
        </w:rPr>
        <w:t>6</w:t>
      </w:r>
      <w:r>
        <w:rPr>
          <w:rFonts w:eastAsia="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rFonts w:eastAsia="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3。</w:t>
      </w:r>
    </w:p>
    <w:p>
      <w:pPr>
        <w:pStyle w:val="385"/>
        <w:adjustRightInd w:val="0"/>
        <w:snapToGrid w:val="0"/>
        <w:spacing w:line="520" w:lineRule="exact"/>
        <w:ind w:firstLine="1928" w:firstLineChars="800"/>
        <w:rPr>
          <w:b/>
          <w:bCs/>
          <w:snapToGrid w:val="0"/>
          <w:color w:val="000000" w:themeColor="text1"/>
          <w14:textFill>
            <w14:solidFill>
              <w14:schemeClr w14:val="tx1"/>
            </w14:solidFill>
          </w14:textFill>
        </w:rPr>
      </w:pPr>
    </w:p>
    <w:p>
      <w:pPr>
        <w:pStyle w:val="385"/>
        <w:adjustRightInd w:val="0"/>
        <w:snapToGrid w:val="0"/>
        <w:spacing w:line="520" w:lineRule="exact"/>
        <w:ind w:firstLine="1928" w:firstLineChars="8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.2-13-1 非正常工况大气污染物估算模式计算结果表</w:t>
      </w:r>
    </w:p>
    <w:tbl>
      <w:tblPr>
        <w:tblStyle w:val="87"/>
        <w:tblW w:w="9319" w:type="dxa"/>
        <w:tblInd w:w="164"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697"/>
        <w:gridCol w:w="1951"/>
        <w:gridCol w:w="1810"/>
        <w:gridCol w:w="2018"/>
        <w:gridCol w:w="184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3" w:hRule="atLeast"/>
        </w:trPr>
        <w:tc>
          <w:tcPr>
            <w:tcW w:w="1697"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下风向距离</w:t>
            </w:r>
            <w:r>
              <w:rPr>
                <w:rFonts w:hint="eastAsia" w:ascii="Times New Roman" w:hAnsi="Times New Roman"/>
                <w:color w:val="000000" w:themeColor="text1"/>
                <w:sz w:val="18"/>
                <w:szCs w:val="18"/>
                <w14:textFill>
                  <w14:solidFill>
                    <w14:schemeClr w14:val="tx1"/>
                  </w14:solidFill>
                </w14:textFill>
              </w:rPr>
              <w:t>（m）</w:t>
            </w:r>
          </w:p>
        </w:tc>
        <w:tc>
          <w:tcPr>
            <w:tcW w:w="7622" w:type="dxa"/>
            <w:gridSpan w:val="4"/>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呼吸废气排气筒DA001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97"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HCl</w:t>
            </w:r>
            <w:r>
              <w:rPr>
                <w:rFonts w:ascii="Times New Roman" w:hAnsi="Times New Roman"/>
                <w:color w:val="000000" w:themeColor="text1"/>
                <w:sz w:val="18"/>
                <w:szCs w:val="18"/>
                <w14:textFill>
                  <w14:solidFill>
                    <w14:schemeClr w14:val="tx1"/>
                  </w14:solidFill>
                </w14:textFill>
              </w:rPr>
              <w:t>浓度(μg/m³)</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HCl</w:t>
            </w:r>
            <w:r>
              <w:rPr>
                <w:rFonts w:ascii="Times New Roman" w:hAnsi="Times New Roman"/>
                <w:color w:val="000000" w:themeColor="text1"/>
                <w:sz w:val="18"/>
                <w:szCs w:val="18"/>
                <w14:textFill>
                  <w14:solidFill>
                    <w14:schemeClr w14:val="tx1"/>
                  </w14:solidFill>
                </w14:textFill>
              </w:rPr>
              <w:t>占标率(%)</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氟化物</w:t>
            </w:r>
            <w:r>
              <w:rPr>
                <w:rFonts w:ascii="Times New Roman" w:hAnsi="Times New Roman"/>
                <w:color w:val="000000" w:themeColor="text1"/>
                <w:sz w:val="18"/>
                <w:szCs w:val="18"/>
                <w14:textFill>
                  <w14:solidFill>
                    <w14:schemeClr w14:val="tx1"/>
                  </w14:solidFill>
                </w14:textFill>
              </w:rPr>
              <w:t>浓度(μg/m³)</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氟化物</w:t>
            </w:r>
            <w:r>
              <w:rPr>
                <w:rFonts w:ascii="Times New Roman" w:hAnsi="Times New Roman"/>
                <w:color w:val="000000" w:themeColor="text1"/>
                <w:sz w:val="18"/>
                <w:szCs w:val="18"/>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0.0087</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0.0174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2.3697</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11.8485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1951"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0.0099</w:t>
            </w:r>
          </w:p>
        </w:tc>
        <w:tc>
          <w:tcPr>
            <w:tcW w:w="1810"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0.0198</w:t>
            </w:r>
          </w:p>
        </w:tc>
        <w:tc>
          <w:tcPr>
            <w:tcW w:w="2018"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2.7007</w:t>
            </w:r>
          </w:p>
        </w:tc>
        <w:tc>
          <w:tcPr>
            <w:tcW w:w="1843"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13.5035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0.0092</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0.0184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2.5051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12.5254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0.0056</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0.0112</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1.5293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7.6466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0.0038</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0.0076</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1.0297</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5.1485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0.0028</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0.0055</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0.7531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3.7657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0.0043</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0.5825</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2.9123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0.0017</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0.0034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0.4688</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2.3441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0.0014</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0.0028</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0.3872</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1.9362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0.0012</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0.3293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1.6467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0.0010</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0.0021</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0.2832</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1.4159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0.0009</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0.0018</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0.2451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1.2257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0.0007</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0.1954</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0.9768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0.0006</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0.0012</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0.1581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0.7905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0.0005</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0.0010</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0.1324</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0.6619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0.0004</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0.0008</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0.1130</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0.5650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0.0004</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0.0007</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0.0984</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0.4921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0.0003</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0.0005</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0.0719</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0.3594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0.0572</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0.2859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0.0004</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0.0482</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0.2408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0.0003</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0.0407</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0.2034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0.0003</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0.0353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0.1763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5000</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0.0001</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0.0002</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0.0313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0.1563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1"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0.0009</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0.0018</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0.2701</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0.8635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下风向最大浓度出现距离</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9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D10%最远距离</w:t>
            </w:r>
          </w:p>
        </w:tc>
        <w:tc>
          <w:tcPr>
            <w:tcW w:w="195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181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w:t>
            </w:r>
          </w:p>
        </w:tc>
        <w:tc>
          <w:tcPr>
            <w:tcW w:w="201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150</w:t>
            </w:r>
          </w:p>
        </w:tc>
        <w:tc>
          <w:tcPr>
            <w:tcW w:w="184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150</w:t>
            </w:r>
          </w:p>
        </w:tc>
      </w:tr>
    </w:tbl>
    <w:p>
      <w:pPr>
        <w:pStyle w:val="385"/>
        <w:adjustRightInd w:val="0"/>
        <w:snapToGrid w:val="0"/>
        <w:spacing w:line="520" w:lineRule="exact"/>
        <w:ind w:firstLine="1928" w:firstLineChars="800"/>
        <w:rPr>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.2-13-2 非正常工况大气污染物估算模式计算结果表</w:t>
      </w:r>
    </w:p>
    <w:tbl>
      <w:tblPr>
        <w:tblStyle w:val="87"/>
        <w:tblW w:w="96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05"/>
        <w:gridCol w:w="3567"/>
        <w:gridCol w:w="28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下风向距离</w:t>
            </w:r>
          </w:p>
        </w:tc>
        <w:tc>
          <w:tcPr>
            <w:tcW w:w="6414"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投料粉尘排气筒DA002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浓度(μg/m³)</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125.9300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27.9844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w:t>
            </w:r>
          </w:p>
        </w:tc>
        <w:tc>
          <w:tcPr>
            <w:tcW w:w="3567"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143.5100</w:t>
            </w:r>
          </w:p>
        </w:tc>
        <w:tc>
          <w:tcPr>
            <w:tcW w:w="2847" w:type="dxa"/>
            <w:tcBorders>
              <w:tl2br w:val="nil"/>
              <w:tr2bl w:val="nil"/>
            </w:tcBorders>
            <w:shd w:val="clear" w:color="auto" w:fill="D7D7D7" w:themeFill="background1" w:themeFillShade="D8"/>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31.8911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133.1200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29.5822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81.2720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54.7180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12.1596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40.0210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8.8936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30.9520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6.8782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24.9120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5.5360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20.5770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4.5727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17.5020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3.8893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15.0480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3.3440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13.0270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2.8949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10.3820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2.3071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8.4020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1.8671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7.0331</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1.5629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6.0052</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1.3345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5.2304</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3.8197</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0.8488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3.0385</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2.5587</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0.5686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2.1616</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0.4804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1.8738</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0.4164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5000</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1.6612</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0.3692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143.5100</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31.8911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下风向最大浓度出现距离</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73</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20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D10%最远距离</w:t>
            </w:r>
          </w:p>
        </w:tc>
        <w:tc>
          <w:tcPr>
            <w:tcW w:w="356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375</w:t>
            </w:r>
          </w:p>
        </w:tc>
        <w:tc>
          <w:tcPr>
            <w:tcW w:w="284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375</w:t>
            </w:r>
          </w:p>
        </w:tc>
      </w:tr>
    </w:tbl>
    <w:p>
      <w:pPr>
        <w:pStyle w:val="385"/>
        <w:adjustRightInd w:val="0"/>
        <w:snapToGrid w:val="0"/>
        <w:spacing w:line="520" w:lineRule="exact"/>
        <w:ind w:firstLine="1928" w:firstLineChars="800"/>
        <w:rPr>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.2-13-3 非正常工况大气污染物估算模式计算结果表</w:t>
      </w:r>
    </w:p>
    <w:tbl>
      <w:tblPr>
        <w:tblStyle w:val="87"/>
        <w:tblW w:w="95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3545"/>
        <w:gridCol w:w="2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下风向距离</w:t>
            </w:r>
          </w:p>
        </w:tc>
        <w:tc>
          <w:tcPr>
            <w:tcW w:w="6373" w:type="dxa"/>
            <w:gridSpan w:val="2"/>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烘干废气排气筒</w:t>
            </w:r>
            <w:r>
              <w:rPr>
                <w:rFonts w:hint="eastAsia" w:ascii="Times New Roman" w:hAnsi="Times New Roman"/>
                <w:color w:val="000000" w:themeColor="text1"/>
                <w:sz w:val="18"/>
                <w:szCs w:val="18"/>
                <w14:textFill>
                  <w14:solidFill>
                    <w14:schemeClr w14:val="tx1"/>
                  </w14:solidFill>
                </w14:textFill>
              </w:rPr>
              <w:t>DA003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浓度(μg/m³)</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10</w:t>
            </w:r>
            <w:r>
              <w:rPr>
                <w:rFonts w:ascii="Times New Roman" w:hAnsi="Times New Roman"/>
                <w:color w:val="000000" w:themeColor="text1"/>
                <w:sz w:val="18"/>
                <w:szCs w:val="18"/>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48.1770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10.7060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41.6900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9.2644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27.9110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37.5210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8.3380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35.6240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7.9164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29.7710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6.6158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25.0700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5.5711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21.4680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4.7707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18.5900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4.1311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16.2950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3.6211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14.4980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3.2218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13.1390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2.9198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1200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11.0400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2.4533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9.4469</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8.2148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1800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7.2258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1.6057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6.4448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1.4322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5.0335</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1.1186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4.0835</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0.9074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3.4253</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0.7612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2.9338</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0.6520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4500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2.5530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0.5673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5000</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2.2536</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0.5008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48.1770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10.7060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下风向最大浓度出现距离</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8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D10%最远距离</w:t>
            </w:r>
          </w:p>
        </w:tc>
        <w:tc>
          <w:tcPr>
            <w:tcW w:w="354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w:t>
            </w:r>
          </w:p>
        </w:tc>
        <w:tc>
          <w:tcPr>
            <w:tcW w:w="282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25.0</w:t>
            </w:r>
          </w:p>
        </w:tc>
      </w:tr>
    </w:tbl>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由预测结果可知，本项目非正常工况下有组织废气污染物最大落地浓度均能达标，但排放量相对正常工况均有所增加，对项目周边环境影响较大，其最大影响为投料粉尘排气筒DA002排放的PM</w:t>
      </w:r>
      <w:r>
        <w:rPr>
          <w:rFonts w:hint="eastAsia"/>
          <w:snapToGrid w:val="0"/>
          <w:color w:val="000000" w:themeColor="text1"/>
          <w:vertAlign w:val="subscript"/>
          <w14:textFill>
            <w14:solidFill>
              <w14:schemeClr w14:val="tx1"/>
            </w14:solidFill>
          </w14:textFill>
        </w:rPr>
        <w:t>10</w:t>
      </w:r>
      <w:r>
        <w:rPr>
          <w:rFonts w:hint="eastAsia"/>
          <w:snapToGrid w:val="0"/>
          <w:color w:val="000000" w:themeColor="text1"/>
          <w14:textFill>
            <w14:solidFill>
              <w14:schemeClr w14:val="tx1"/>
            </w14:solidFill>
          </w14:textFill>
        </w:rPr>
        <w:t>，对应最大占标率为31.8911%。因此，事故发生时要立即停止生产，待故障排除环保装置可正常运营时方可开始生产，以避免对周围大气环境带来不利影响。平时要多注意环保装置的检修、保养，尽可能地避免环保装置失灵或故障。</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13" w:name="_Toc2645"/>
      <w:bookmarkStart w:id="414" w:name="_Toc7223"/>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4</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大气环境防护距离</w:t>
      </w:r>
      <w:bookmarkEnd w:id="413"/>
      <w:bookmarkEnd w:id="414"/>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根据《环境影响评价技术导则大气环境》（HJ2.2-2018）8.7.5.1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估算结果表明本项目各类污染物最大落地浓度占标率未出现超标，无需设置大气环境防护距离。</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15" w:name="_Toc28797"/>
      <w:bookmarkStart w:id="416" w:name="_Toc9585"/>
      <w:r>
        <w:rPr>
          <w:rFonts w:hint="default" w:ascii="Times New Roman" w:hAnsi="Times New Roman" w:eastAsia="黑体"/>
          <w:b/>
          <w:color w:val="000000" w:themeColor="text1"/>
          <w:sz w:val="24"/>
          <w:szCs w:val="24"/>
          <w:lang w:val="en-US"/>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5</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污染物排放量核算</w:t>
      </w:r>
      <w:bookmarkEnd w:id="415"/>
      <w:bookmarkEnd w:id="416"/>
    </w:p>
    <w:p>
      <w:pPr>
        <w:pStyle w:val="385"/>
        <w:adjustRightInd w:val="0"/>
        <w:snapToGrid w:val="0"/>
        <w:spacing w:line="520" w:lineRule="exact"/>
        <w:ind w:firstLine="480"/>
        <w:rPr>
          <w:snapToGrid w:val="0"/>
          <w:color w:val="000000" w:themeColor="text1"/>
          <w14:textFill>
            <w14:solidFill>
              <w14:schemeClr w14:val="tx1"/>
            </w14:solidFill>
          </w14:textFill>
        </w:rPr>
      </w:pPr>
      <w:r>
        <w:rPr>
          <w:color w:val="000000" w:themeColor="text1"/>
          <w14:textFill>
            <w14:solidFill>
              <w14:schemeClr w14:val="tx1"/>
            </w14:solidFill>
          </w14:textFill>
        </w:rPr>
        <w:t xml:space="preserve">大气污染物有组织排放量核算表见表 </w:t>
      </w:r>
      <w:r>
        <w:rPr>
          <w:rFonts w:hint="eastAsia"/>
          <w:color w:val="000000" w:themeColor="text1"/>
          <w:lang w:val="en-US" w:eastAsia="zh-CN"/>
          <w14:textFill>
            <w14:solidFill>
              <w14:schemeClr w14:val="tx1"/>
            </w14:solidFill>
          </w14:textFill>
        </w:rPr>
        <w:t>6</w:t>
      </w:r>
      <w:r>
        <w:rPr>
          <w:rFonts w:eastAsia="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rFonts w:eastAsia="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无组织排放量核算表见</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.2-15，</w:t>
      </w:r>
      <w:r>
        <w:rPr>
          <w:color w:val="000000" w:themeColor="text1"/>
          <w14:textFill>
            <w14:solidFill>
              <w14:schemeClr w14:val="tx1"/>
            </w14:solidFill>
          </w14:textFill>
        </w:rPr>
        <w:t>大气污染物年排放量核算</w:t>
      </w:r>
      <w:r>
        <w:rPr>
          <w:rFonts w:hint="eastAsia"/>
          <w:color w:val="000000" w:themeColor="text1"/>
          <w14:textFill>
            <w14:solidFill>
              <w14:schemeClr w14:val="tx1"/>
            </w14:solidFill>
          </w14:textFill>
        </w:rPr>
        <w:t>表见表</w:t>
      </w:r>
      <w:r>
        <w:rPr>
          <w:rFonts w:hint="eastAsia"/>
          <w:color w:val="000000" w:themeColor="text1"/>
          <w:lang w:val="en-US" w:eastAsia="zh-CN"/>
          <w14:textFill>
            <w14:solidFill>
              <w14:schemeClr w14:val="tx1"/>
            </w14:solidFill>
          </w14:textFill>
        </w:rPr>
        <w:t>6</w:t>
      </w:r>
      <w:r>
        <w:rPr>
          <w:rFonts w:eastAsia="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rFonts w:eastAsia="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6。</w:t>
      </w:r>
    </w:p>
    <w:p>
      <w:pPr>
        <w:pStyle w:val="385"/>
        <w:adjustRightInd w:val="0"/>
        <w:snapToGrid w:val="0"/>
        <w:spacing w:line="520" w:lineRule="exact"/>
        <w:ind w:firstLine="2650" w:firstLineChars="11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.2-14 大气污染物有组织排放量核算表</w:t>
      </w:r>
    </w:p>
    <w:tbl>
      <w:tblPr>
        <w:tblStyle w:val="87"/>
        <w:tblW w:w="96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510"/>
        <w:gridCol w:w="989"/>
        <w:gridCol w:w="2015"/>
        <w:gridCol w:w="2600"/>
        <w:gridCol w:w="18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50"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序号</w:t>
            </w:r>
          </w:p>
        </w:tc>
        <w:tc>
          <w:tcPr>
            <w:tcW w:w="1510"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排放口编号</w:t>
            </w:r>
          </w:p>
        </w:tc>
        <w:tc>
          <w:tcPr>
            <w:tcW w:w="989"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污染物</w:t>
            </w:r>
          </w:p>
        </w:tc>
        <w:tc>
          <w:tcPr>
            <w:tcW w:w="2015"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核算排放浓度/（mg/m³）</w:t>
            </w:r>
          </w:p>
        </w:tc>
        <w:tc>
          <w:tcPr>
            <w:tcW w:w="2600"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核算排放速率/（kg/h）</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657" w:type="dxa"/>
            <w:gridSpan w:val="6"/>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lang w:val="en-US" w:eastAsia="zh-CN"/>
                <w14:textFill>
                  <w14:solidFill>
                    <w14:schemeClr w14:val="tx1"/>
                  </w14:solidFill>
                </w14:textFill>
              </w:rPr>
              <w:t>一般</w:t>
            </w:r>
            <w:r>
              <w:rPr>
                <w:rFonts w:ascii="Times New Roman" w:hAnsi="Times New Roman" w:eastAsia="宋体"/>
                <w:bCs/>
                <w:color w:val="000000" w:themeColor="text1"/>
                <w:sz w:val="18"/>
                <w:szCs w:val="18"/>
                <w14:textFill>
                  <w14:solidFill>
                    <w14:schemeClr w14:val="tx1"/>
                  </w14:solidFill>
                </w14:textFill>
              </w:rPr>
              <w:t>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0" w:type="dxa"/>
            <w:vMerge w:val="restart"/>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1</w:t>
            </w:r>
          </w:p>
        </w:tc>
        <w:tc>
          <w:tcPr>
            <w:tcW w:w="1510" w:type="dxa"/>
            <w:vMerge w:val="restart"/>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DA001</w:t>
            </w:r>
          </w:p>
        </w:tc>
        <w:tc>
          <w:tcPr>
            <w:tcW w:w="989"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HCl</w:t>
            </w:r>
          </w:p>
        </w:tc>
        <w:tc>
          <w:tcPr>
            <w:tcW w:w="2015"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0.004</w:t>
            </w:r>
          </w:p>
        </w:tc>
        <w:tc>
          <w:tcPr>
            <w:tcW w:w="2600"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0.000004</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0.00003186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0" w:type="dxa"/>
            <w:vMerge w:val="continue"/>
            <w:tcBorders>
              <w:tl2br w:val="nil"/>
              <w:tr2bl w:val="nil"/>
            </w:tcBorders>
            <w:vAlign w:val="center"/>
          </w:tcPr>
          <w:p>
            <w:pPr>
              <w:pStyle w:val="2146"/>
              <w:keepNext/>
              <w:snapToGrid w:val="0"/>
              <w:outlineLvl w:val="0"/>
              <w:rPr>
                <w:rFonts w:ascii="Times New Roman" w:hAnsi="Times New Roman" w:eastAsia="宋体"/>
                <w:bCs/>
                <w:color w:val="000000" w:themeColor="text1"/>
                <w:sz w:val="18"/>
                <w:szCs w:val="18"/>
                <w14:textFill>
                  <w14:solidFill>
                    <w14:schemeClr w14:val="tx1"/>
                  </w14:solidFill>
                </w14:textFill>
              </w:rPr>
            </w:pPr>
          </w:p>
        </w:tc>
        <w:tc>
          <w:tcPr>
            <w:tcW w:w="1510" w:type="dxa"/>
            <w:vMerge w:val="continue"/>
            <w:tcBorders>
              <w:tl2br w:val="nil"/>
              <w:tr2bl w:val="nil"/>
            </w:tcBorders>
            <w:vAlign w:val="center"/>
          </w:tcPr>
          <w:p>
            <w:pPr>
              <w:pStyle w:val="2146"/>
              <w:keepNext/>
              <w:snapToGrid w:val="0"/>
              <w:outlineLvl w:val="0"/>
              <w:rPr>
                <w:rFonts w:ascii="Times New Roman" w:hAnsi="Times New Roman" w:eastAsia="宋体"/>
                <w:bCs/>
                <w:color w:val="000000" w:themeColor="text1"/>
                <w:sz w:val="18"/>
                <w:szCs w:val="18"/>
                <w14:textFill>
                  <w14:solidFill>
                    <w14:schemeClr w14:val="tx1"/>
                  </w14:solidFill>
                </w14:textFill>
              </w:rPr>
            </w:pPr>
          </w:p>
        </w:tc>
        <w:tc>
          <w:tcPr>
            <w:tcW w:w="989"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氟化物</w:t>
            </w:r>
          </w:p>
        </w:tc>
        <w:tc>
          <w:tcPr>
            <w:tcW w:w="2015"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1.17</w:t>
            </w:r>
          </w:p>
        </w:tc>
        <w:tc>
          <w:tcPr>
            <w:tcW w:w="2600"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0.0012</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0.008416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2</w:t>
            </w:r>
          </w:p>
        </w:tc>
        <w:tc>
          <w:tcPr>
            <w:tcW w:w="151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DA002</w:t>
            </w:r>
          </w:p>
        </w:tc>
        <w:tc>
          <w:tcPr>
            <w:tcW w:w="989"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颗粒物</w:t>
            </w:r>
          </w:p>
        </w:tc>
        <w:tc>
          <w:tcPr>
            <w:tcW w:w="2015"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7.17</w:t>
            </w:r>
          </w:p>
        </w:tc>
        <w:tc>
          <w:tcPr>
            <w:tcW w:w="2600"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0.029</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3</w:t>
            </w:r>
          </w:p>
        </w:tc>
        <w:tc>
          <w:tcPr>
            <w:tcW w:w="151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DA003</w:t>
            </w:r>
          </w:p>
        </w:tc>
        <w:tc>
          <w:tcPr>
            <w:tcW w:w="989"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颗粒物</w:t>
            </w:r>
          </w:p>
        </w:tc>
        <w:tc>
          <w:tcPr>
            <w:tcW w:w="2015"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5.21</w:t>
            </w:r>
          </w:p>
        </w:tc>
        <w:tc>
          <w:tcPr>
            <w:tcW w:w="2600"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0.0104</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60" w:type="dxa"/>
            <w:gridSpan w:val="2"/>
            <w:vMerge w:val="restart"/>
            <w:tcBorders>
              <w:tl2br w:val="nil"/>
              <w:tr2bl w:val="nil"/>
            </w:tcBorders>
            <w:shd w:val="clear" w:color="auto" w:fill="auto"/>
            <w:vAlign w:val="center"/>
          </w:tcPr>
          <w:p>
            <w:pPr>
              <w:pStyle w:val="2146"/>
              <w:keepNext/>
              <w:snapToGrid w:val="0"/>
              <w:outlineLvl w:val="0"/>
              <w:rPr>
                <w:rFonts w:ascii="Times New Roman" w:hAnsi="Times New Roman" w:eastAsia="宋体"/>
                <w:bCs/>
                <w:color w:val="000000" w:themeColor="text1"/>
                <w:sz w:val="18"/>
                <w:szCs w:val="18"/>
                <w14:textFill>
                  <w14:solidFill>
                    <w14:schemeClr w14:val="tx1"/>
                  </w14:solidFill>
                </w14:textFill>
              </w:rPr>
            </w:pPr>
            <w:bookmarkStart w:id="417" w:name="_Toc29839"/>
            <w:bookmarkStart w:id="418" w:name="_Toc13495"/>
            <w:r>
              <w:rPr>
                <w:rFonts w:hint="eastAsia" w:ascii="Times New Roman" w:hAnsi="Times New Roman" w:eastAsia="宋体"/>
                <w:bCs/>
                <w:color w:val="000000" w:themeColor="text1"/>
                <w:sz w:val="18"/>
                <w:szCs w:val="18"/>
                <w:lang w:val="en-US" w:eastAsia="zh-CN"/>
                <w14:textFill>
                  <w14:solidFill>
                    <w14:schemeClr w14:val="tx1"/>
                  </w14:solidFill>
                </w14:textFill>
              </w:rPr>
              <w:t>一般</w:t>
            </w:r>
            <w:r>
              <w:rPr>
                <w:rFonts w:hint="eastAsia" w:ascii="Times New Roman" w:hAnsi="Times New Roman" w:eastAsia="宋体"/>
                <w:bCs/>
                <w:color w:val="000000" w:themeColor="text1"/>
                <w:sz w:val="18"/>
                <w:szCs w:val="18"/>
                <w14:textFill>
                  <w14:solidFill>
                    <w14:schemeClr w14:val="tx1"/>
                  </w14:solidFill>
                </w14:textFill>
              </w:rPr>
              <w:t>排放口合计</w:t>
            </w:r>
            <w:bookmarkEnd w:id="417"/>
            <w:bookmarkEnd w:id="418"/>
          </w:p>
        </w:tc>
        <w:tc>
          <w:tcPr>
            <w:tcW w:w="5604" w:type="dxa"/>
            <w:gridSpan w:val="3"/>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颗粒物</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0.282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60" w:type="dxa"/>
            <w:gridSpan w:val="2"/>
            <w:vMerge w:val="continue"/>
            <w:tcBorders>
              <w:tl2br w:val="nil"/>
              <w:tr2bl w:val="nil"/>
            </w:tcBorders>
            <w:shd w:val="clear" w:color="auto" w:fill="auto"/>
            <w:vAlign w:val="center"/>
          </w:tcPr>
          <w:p>
            <w:pPr>
              <w:pStyle w:val="2146"/>
              <w:keepNext/>
              <w:snapToGrid w:val="0"/>
              <w:outlineLvl w:val="0"/>
              <w:rPr>
                <w:rFonts w:ascii="Times New Roman" w:hAnsi="Times New Roman" w:eastAsia="宋体"/>
                <w:bCs/>
                <w:color w:val="000000" w:themeColor="text1"/>
                <w:sz w:val="18"/>
                <w:szCs w:val="18"/>
                <w14:textFill>
                  <w14:solidFill>
                    <w14:schemeClr w14:val="tx1"/>
                  </w14:solidFill>
                </w14:textFill>
              </w:rPr>
            </w:pPr>
          </w:p>
        </w:tc>
        <w:tc>
          <w:tcPr>
            <w:tcW w:w="5604" w:type="dxa"/>
            <w:gridSpan w:val="3"/>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氟化物</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0.008416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60" w:type="dxa"/>
            <w:gridSpan w:val="2"/>
            <w:vMerge w:val="continue"/>
            <w:tcBorders>
              <w:tl2br w:val="nil"/>
              <w:tr2bl w:val="nil"/>
            </w:tcBorders>
            <w:shd w:val="clear" w:color="auto" w:fill="auto"/>
            <w:vAlign w:val="center"/>
          </w:tcPr>
          <w:p>
            <w:pPr>
              <w:pStyle w:val="2146"/>
              <w:keepNext/>
              <w:snapToGrid w:val="0"/>
              <w:outlineLvl w:val="0"/>
              <w:rPr>
                <w:rFonts w:ascii="Times New Roman" w:hAnsi="Times New Roman" w:eastAsia="宋体"/>
                <w:bCs/>
                <w:color w:val="000000" w:themeColor="text1"/>
                <w:sz w:val="18"/>
                <w:szCs w:val="18"/>
                <w14:textFill>
                  <w14:solidFill>
                    <w14:schemeClr w14:val="tx1"/>
                  </w14:solidFill>
                </w14:textFill>
              </w:rPr>
            </w:pPr>
          </w:p>
        </w:tc>
        <w:tc>
          <w:tcPr>
            <w:tcW w:w="5604" w:type="dxa"/>
            <w:gridSpan w:val="3"/>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HCl</w:t>
            </w:r>
          </w:p>
        </w:tc>
        <w:tc>
          <w:tcPr>
            <w:tcW w:w="189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0.00003186</w:t>
            </w:r>
          </w:p>
        </w:tc>
      </w:tr>
    </w:tbl>
    <w:p>
      <w:pPr>
        <w:pStyle w:val="380"/>
        <w:adjustRightInd w:val="0"/>
        <w:snapToGrid w:val="0"/>
        <w:spacing w:before="48" w:beforeLines="20" w:after="48" w:afterLines="20" w:line="520" w:lineRule="exact"/>
        <w:ind w:firstLine="2650" w:firstLineChars="1100"/>
        <w:jc w:val="left"/>
        <w:outlineLvl w:val="2"/>
        <w:rPr>
          <w:rFonts w:ascii="Times New Roman" w:hAnsi="Times New Roman"/>
          <w:b/>
          <w:color w:val="000000" w:themeColor="text1"/>
          <w:sz w:val="24"/>
          <w:szCs w:val="24"/>
          <w14:textFill>
            <w14:solidFill>
              <w14:schemeClr w14:val="tx1"/>
            </w14:solidFill>
          </w14:textFill>
        </w:rPr>
      </w:pPr>
      <w:bookmarkStart w:id="419" w:name="_Toc6441"/>
      <w:bookmarkStart w:id="420" w:name="_Toc7992"/>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b/>
          <w:color w:val="000000" w:themeColor="text1"/>
          <w:sz w:val="24"/>
          <w:szCs w:val="24"/>
          <w14:textFill>
            <w14:solidFill>
              <w14:schemeClr w14:val="tx1"/>
            </w14:solidFill>
          </w14:textFill>
        </w:rPr>
        <w:t>.2-1</w:t>
      </w:r>
      <w:r>
        <w:rPr>
          <w:rFonts w:hint="eastAsia" w:ascii="Times New Roman" w:hAnsi="Times New Roman"/>
          <w:b/>
          <w:color w:val="000000" w:themeColor="text1"/>
          <w:sz w:val="24"/>
          <w:szCs w:val="24"/>
          <w14:textFill>
            <w14:solidFill>
              <w14:schemeClr w14:val="tx1"/>
            </w14:solidFill>
          </w14:textFill>
        </w:rPr>
        <w:t>5</w:t>
      </w:r>
      <w:r>
        <w:rPr>
          <w:rFonts w:ascii="Times New Roman" w:hAnsi="Times New Roman"/>
          <w:b/>
          <w:color w:val="000000" w:themeColor="text1"/>
          <w:sz w:val="24"/>
          <w:szCs w:val="24"/>
          <w14:textFill>
            <w14:solidFill>
              <w14:schemeClr w14:val="tx1"/>
            </w14:solidFill>
          </w14:textFill>
        </w:rPr>
        <w:t xml:space="preserve"> 大气污染物</w:t>
      </w:r>
      <w:r>
        <w:rPr>
          <w:rFonts w:hint="eastAsia" w:ascii="Times New Roman" w:hAnsi="Times New Roman"/>
          <w:b/>
          <w:color w:val="000000" w:themeColor="text1"/>
          <w:sz w:val="24"/>
          <w:szCs w:val="24"/>
          <w14:textFill>
            <w14:solidFill>
              <w14:schemeClr w14:val="tx1"/>
            </w14:solidFill>
          </w14:textFill>
        </w:rPr>
        <w:t>无</w:t>
      </w:r>
      <w:r>
        <w:rPr>
          <w:rFonts w:ascii="Times New Roman" w:hAnsi="Times New Roman"/>
          <w:b/>
          <w:color w:val="000000" w:themeColor="text1"/>
          <w:sz w:val="24"/>
          <w:szCs w:val="24"/>
          <w14:textFill>
            <w14:solidFill>
              <w14:schemeClr w14:val="tx1"/>
            </w14:solidFill>
          </w14:textFill>
        </w:rPr>
        <w:t>组织排放量核算表</w:t>
      </w:r>
      <w:bookmarkEnd w:id="419"/>
      <w:bookmarkEnd w:id="420"/>
    </w:p>
    <w:tbl>
      <w:tblPr>
        <w:tblStyle w:val="87"/>
        <w:tblW w:w="96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27"/>
        <w:gridCol w:w="837"/>
        <w:gridCol w:w="325"/>
        <w:gridCol w:w="1735"/>
        <w:gridCol w:w="1587"/>
        <w:gridCol w:w="321"/>
        <w:gridCol w:w="1991"/>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3" w:type="dxa"/>
            <w:vMerge w:val="restart"/>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序号</w:t>
            </w:r>
          </w:p>
        </w:tc>
        <w:tc>
          <w:tcPr>
            <w:tcW w:w="1227" w:type="dxa"/>
            <w:vMerge w:val="restart"/>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产污</w:t>
            </w:r>
          </w:p>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环节</w:t>
            </w:r>
          </w:p>
        </w:tc>
        <w:tc>
          <w:tcPr>
            <w:tcW w:w="837" w:type="dxa"/>
            <w:vMerge w:val="restart"/>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污染物</w:t>
            </w:r>
          </w:p>
        </w:tc>
        <w:tc>
          <w:tcPr>
            <w:tcW w:w="2060" w:type="dxa"/>
            <w:gridSpan w:val="2"/>
            <w:vMerge w:val="restart"/>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主要污染</w:t>
            </w:r>
          </w:p>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防治措施</w:t>
            </w:r>
          </w:p>
        </w:tc>
        <w:tc>
          <w:tcPr>
            <w:tcW w:w="3899" w:type="dxa"/>
            <w:gridSpan w:val="3"/>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国家或地方污染物排放标准</w:t>
            </w:r>
          </w:p>
        </w:tc>
        <w:tc>
          <w:tcPr>
            <w:tcW w:w="1032" w:type="dxa"/>
            <w:vMerge w:val="restart"/>
            <w:tcBorders>
              <w:tl2br w:val="nil"/>
              <w:tr2bl w:val="nil"/>
            </w:tcBorders>
            <w:shd w:val="clear" w:color="auto" w:fill="auto"/>
            <w:vAlign w:val="center"/>
          </w:tcPr>
          <w:p>
            <w:pPr>
              <w:spacing w:line="276" w:lineRule="auto"/>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年排放量</w:t>
            </w:r>
          </w:p>
          <w:p>
            <w:pPr>
              <w:spacing w:line="276" w:lineRule="auto"/>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43" w:type="dxa"/>
            <w:vMerge w:val="continue"/>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p>
        </w:tc>
        <w:tc>
          <w:tcPr>
            <w:tcW w:w="1227" w:type="dxa"/>
            <w:vMerge w:val="continue"/>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p>
        </w:tc>
        <w:tc>
          <w:tcPr>
            <w:tcW w:w="837" w:type="dxa"/>
            <w:vMerge w:val="continue"/>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p>
        </w:tc>
        <w:tc>
          <w:tcPr>
            <w:tcW w:w="2060" w:type="dxa"/>
            <w:gridSpan w:val="2"/>
            <w:vMerge w:val="continue"/>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p>
        </w:tc>
        <w:tc>
          <w:tcPr>
            <w:tcW w:w="1908" w:type="dxa"/>
            <w:gridSpan w:val="2"/>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标准名称</w:t>
            </w:r>
          </w:p>
        </w:tc>
        <w:tc>
          <w:tcPr>
            <w:tcW w:w="1991"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浓度限值/（mg/m³）</w:t>
            </w:r>
          </w:p>
        </w:tc>
        <w:tc>
          <w:tcPr>
            <w:tcW w:w="1032" w:type="dxa"/>
            <w:vMerge w:val="continue"/>
            <w:tcBorders>
              <w:tl2br w:val="nil"/>
              <w:tr2bl w:val="nil"/>
            </w:tcBorders>
            <w:vAlign w:val="center"/>
          </w:tcPr>
          <w:p>
            <w:pPr>
              <w:spacing w:line="276" w:lineRule="auto"/>
              <w:jc w:val="center"/>
              <w:rPr>
                <w:rFonts w:ascii="Times New Roman" w:hAnsi="Times New Roman"/>
                <w:bCs/>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3"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1</w:t>
            </w:r>
          </w:p>
        </w:tc>
        <w:tc>
          <w:tcPr>
            <w:tcW w:w="1227"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投料</w:t>
            </w:r>
          </w:p>
        </w:tc>
        <w:tc>
          <w:tcPr>
            <w:tcW w:w="837"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颗粒物</w:t>
            </w:r>
          </w:p>
        </w:tc>
        <w:tc>
          <w:tcPr>
            <w:tcW w:w="2060" w:type="dxa"/>
            <w:gridSpan w:val="2"/>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车间通风、加强管理</w:t>
            </w:r>
          </w:p>
        </w:tc>
        <w:tc>
          <w:tcPr>
            <w:tcW w:w="1908" w:type="dxa"/>
            <w:gridSpan w:val="2"/>
            <w:tcBorders>
              <w:tl2br w:val="nil"/>
              <w:tr2bl w:val="nil"/>
            </w:tcBorders>
            <w:shd w:val="clear" w:color="auto" w:fill="auto"/>
            <w:vAlign w:val="center"/>
          </w:tcPr>
          <w:p>
            <w:pPr>
              <w:pStyle w:val="2146"/>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《大气污染物综合排放标准》（GB16297-1996）中无组织排放监控浓度限值</w:t>
            </w:r>
          </w:p>
        </w:tc>
        <w:tc>
          <w:tcPr>
            <w:tcW w:w="1991" w:type="dxa"/>
            <w:tcBorders>
              <w:tl2br w:val="nil"/>
              <w:tr2bl w:val="nil"/>
            </w:tcBorders>
            <w:shd w:val="clear" w:color="auto" w:fill="auto"/>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1.0</w:t>
            </w:r>
          </w:p>
        </w:tc>
        <w:tc>
          <w:tcPr>
            <w:tcW w:w="1032" w:type="dxa"/>
            <w:tcBorders>
              <w:tl2br w:val="nil"/>
              <w:tr2bl w:val="nil"/>
            </w:tcBorders>
            <w:shd w:val="clear" w:color="auto" w:fill="auto"/>
            <w:vAlign w:val="center"/>
          </w:tcPr>
          <w:p>
            <w:pPr>
              <w:spacing w:line="276" w:lineRule="auto"/>
              <w:jc w:val="cente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9698" w:type="dxa"/>
            <w:gridSpan w:val="9"/>
            <w:tcBorders>
              <w:tl2br w:val="nil"/>
              <w:tr2bl w:val="nil"/>
            </w:tcBorders>
            <w:shd w:val="clear" w:color="auto" w:fill="auto"/>
            <w:vAlign w:val="center"/>
          </w:tcPr>
          <w:p>
            <w:pPr>
              <w:spacing w:line="276" w:lineRule="auto"/>
              <w:jc w:val="center"/>
              <w:rPr>
                <w:rFonts w:ascii="Times New Roman" w:hAnsi="Times New Roman"/>
                <w:bCs/>
                <w:color w:val="000000" w:themeColor="text1"/>
                <w:kern w:val="0"/>
                <w:sz w:val="18"/>
                <w:szCs w:val="18"/>
                <w:lang w:bidi="en-US"/>
                <w14:textFill>
                  <w14:solidFill>
                    <w14:schemeClr w14:val="tx1"/>
                  </w14:solidFill>
                </w14:textFill>
              </w:rPr>
            </w:pPr>
            <w:r>
              <w:rPr>
                <w:rFonts w:ascii="Times New Roman" w:hAnsi="Times New Roman"/>
                <w:bCs/>
                <w:color w:val="000000" w:themeColor="text1"/>
                <w:kern w:val="0"/>
                <w:sz w:val="18"/>
                <w:szCs w:val="18"/>
                <w:lang w:bidi="en-US"/>
                <w14:textFill>
                  <w14:solidFill>
                    <w14:schemeClr w14:val="tx1"/>
                  </w14:solidFill>
                </w14:textFill>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032" w:type="dxa"/>
            <w:gridSpan w:val="4"/>
            <w:tcBorders>
              <w:tl2br w:val="nil"/>
              <w:tr2bl w:val="nil"/>
            </w:tcBorders>
            <w:shd w:val="clear" w:color="auto" w:fill="auto"/>
            <w:vAlign w:val="center"/>
          </w:tcPr>
          <w:p>
            <w:pPr>
              <w:spacing w:line="276" w:lineRule="auto"/>
              <w:jc w:val="center"/>
              <w:rPr>
                <w:rFonts w:ascii="Times New Roman" w:hAnsi="Times New Roman"/>
                <w:bCs/>
                <w:color w:val="000000" w:themeColor="text1"/>
                <w:kern w:val="0"/>
                <w:sz w:val="18"/>
                <w:szCs w:val="18"/>
                <w:lang w:bidi="en-US"/>
                <w14:textFill>
                  <w14:solidFill>
                    <w14:schemeClr w14:val="tx1"/>
                  </w14:solidFill>
                </w14:textFill>
              </w:rPr>
            </w:pPr>
            <w:r>
              <w:rPr>
                <w:rFonts w:ascii="Times New Roman" w:hAnsi="Times New Roman"/>
                <w:bCs/>
                <w:color w:val="000000" w:themeColor="text1"/>
                <w:kern w:val="0"/>
                <w:sz w:val="18"/>
                <w:szCs w:val="18"/>
                <w:lang w:bidi="en-US"/>
                <w14:textFill>
                  <w14:solidFill>
                    <w14:schemeClr w14:val="tx1"/>
                  </w14:solidFill>
                </w14:textFill>
              </w:rPr>
              <w:t>无组织排放总计</w:t>
            </w:r>
          </w:p>
        </w:tc>
        <w:tc>
          <w:tcPr>
            <w:tcW w:w="3322" w:type="dxa"/>
            <w:gridSpan w:val="2"/>
            <w:tcBorders>
              <w:tl2br w:val="nil"/>
              <w:tr2bl w:val="nil"/>
            </w:tcBorders>
            <w:shd w:val="clear" w:color="auto" w:fill="auto"/>
            <w:vAlign w:val="center"/>
          </w:tcPr>
          <w:p>
            <w:pPr>
              <w:spacing w:line="276" w:lineRule="auto"/>
              <w:jc w:val="center"/>
              <w:rPr>
                <w:rFonts w:ascii="Times New Roman" w:hAnsi="Times New Roman"/>
                <w:bCs/>
                <w:color w:val="000000" w:themeColor="text1"/>
                <w:kern w:val="0"/>
                <w:sz w:val="18"/>
                <w:szCs w:val="18"/>
                <w:lang w:bidi="en-US"/>
                <w14:textFill>
                  <w14:solidFill>
                    <w14:schemeClr w14:val="tx1"/>
                  </w14:solidFill>
                </w14:textFill>
              </w:rPr>
            </w:pPr>
            <w:r>
              <w:rPr>
                <w:rFonts w:ascii="Times New Roman" w:hAnsi="Times New Roman"/>
                <w:bCs/>
                <w:color w:val="000000" w:themeColor="text1"/>
                <w:kern w:val="0"/>
                <w:sz w:val="18"/>
                <w:szCs w:val="18"/>
                <w:lang w:bidi="en-US"/>
                <w14:textFill>
                  <w14:solidFill>
                    <w14:schemeClr w14:val="tx1"/>
                  </w14:solidFill>
                </w14:textFill>
              </w:rPr>
              <w:t>颗粒物</w:t>
            </w:r>
          </w:p>
        </w:tc>
        <w:tc>
          <w:tcPr>
            <w:tcW w:w="3344" w:type="dxa"/>
            <w:gridSpan w:val="3"/>
            <w:tcBorders>
              <w:tl2br w:val="nil"/>
              <w:tr2bl w:val="nil"/>
            </w:tcBorders>
            <w:shd w:val="clear" w:color="auto" w:fill="auto"/>
            <w:vAlign w:val="center"/>
          </w:tcPr>
          <w:p>
            <w:pPr>
              <w:spacing w:line="276" w:lineRule="auto"/>
              <w:jc w:val="center"/>
              <w:rPr>
                <w:rFonts w:ascii="Times New Roman" w:hAnsi="Times New Roman"/>
                <w:bCs/>
                <w:color w:val="000000" w:themeColor="text1"/>
                <w:kern w:val="0"/>
                <w:sz w:val="18"/>
                <w:szCs w:val="18"/>
                <w:lang w:bidi="en-US"/>
                <w14:textFill>
                  <w14:solidFill>
                    <w14:schemeClr w14:val="tx1"/>
                  </w14:solidFill>
                </w14:textFill>
              </w:rPr>
            </w:pPr>
            <w:r>
              <w:rPr>
                <w:rFonts w:hint="eastAsia" w:ascii="Times New Roman" w:hAnsi="Times New Roman"/>
                <w:bCs/>
                <w:color w:val="000000" w:themeColor="text1"/>
                <w:kern w:val="0"/>
                <w:sz w:val="18"/>
                <w:szCs w:val="18"/>
                <w:lang w:bidi="en-US"/>
                <w14:textFill>
                  <w14:solidFill>
                    <w14:schemeClr w14:val="tx1"/>
                  </w14:solidFill>
                </w14:textFill>
              </w:rPr>
              <w:t>0.459t/a</w:t>
            </w:r>
          </w:p>
        </w:tc>
      </w:tr>
    </w:tbl>
    <w:p>
      <w:pPr>
        <w:pStyle w:val="380"/>
        <w:adjustRightInd w:val="0"/>
        <w:snapToGrid w:val="0"/>
        <w:spacing w:before="48" w:beforeLines="20" w:after="48" w:afterLines="20" w:line="520" w:lineRule="exact"/>
        <w:ind w:firstLine="0" w:firstLineChars="0"/>
        <w:jc w:val="center"/>
        <w:outlineLvl w:val="2"/>
        <w:rPr>
          <w:rFonts w:ascii="Times New Roman" w:hAnsi="Times New Roman"/>
          <w:b/>
          <w:color w:val="000000" w:themeColor="text1"/>
          <w:sz w:val="24"/>
          <w:szCs w:val="24"/>
          <w14:textFill>
            <w14:solidFill>
              <w14:schemeClr w14:val="tx1"/>
            </w14:solidFill>
          </w14:textFill>
        </w:rPr>
      </w:pPr>
      <w:bookmarkStart w:id="421" w:name="_Toc23448"/>
      <w:bookmarkStart w:id="422" w:name="_Toc2862"/>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b/>
          <w:color w:val="000000" w:themeColor="text1"/>
          <w:sz w:val="24"/>
          <w:szCs w:val="24"/>
          <w14:textFill>
            <w14:solidFill>
              <w14:schemeClr w14:val="tx1"/>
            </w14:solidFill>
          </w14:textFill>
        </w:rPr>
        <w:t>.2-1</w:t>
      </w:r>
      <w:r>
        <w:rPr>
          <w:rFonts w:hint="eastAsia" w:ascii="Times New Roman" w:hAnsi="Times New Roman"/>
          <w:b/>
          <w:color w:val="000000" w:themeColor="text1"/>
          <w:sz w:val="24"/>
          <w:szCs w:val="24"/>
          <w14:textFill>
            <w14:solidFill>
              <w14:schemeClr w14:val="tx1"/>
            </w14:solidFill>
          </w14:textFill>
        </w:rPr>
        <w:t>6</w:t>
      </w:r>
      <w:r>
        <w:rPr>
          <w:rFonts w:ascii="Times New Roman" w:hAnsi="Times New Roman"/>
          <w:b/>
          <w:color w:val="000000" w:themeColor="text1"/>
          <w:sz w:val="24"/>
          <w:szCs w:val="24"/>
          <w14:textFill>
            <w14:solidFill>
              <w14:schemeClr w14:val="tx1"/>
            </w14:solidFill>
          </w14:textFill>
        </w:rPr>
        <w:t xml:space="preserve"> 大气污染物年排放量核算表</w:t>
      </w:r>
      <w:bookmarkEnd w:id="421"/>
      <w:bookmarkEnd w:id="422"/>
    </w:p>
    <w:tbl>
      <w:tblPr>
        <w:tblStyle w:val="87"/>
        <w:tblW w:w="945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030"/>
        <w:gridCol w:w="4532"/>
        <w:gridCol w:w="38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79" w:hRule="atLeast"/>
          <w:jc w:val="center"/>
        </w:trPr>
        <w:tc>
          <w:tcPr>
            <w:tcW w:w="103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bookmarkStart w:id="423" w:name="_Hlk39656180"/>
            <w:r>
              <w:rPr>
                <w:rFonts w:ascii="Times New Roman" w:hAnsi="Times New Roman" w:eastAsia="宋体"/>
                <w:bCs/>
                <w:color w:val="000000" w:themeColor="text1"/>
                <w:sz w:val="18"/>
                <w:szCs w:val="18"/>
                <w14:textFill>
                  <w14:solidFill>
                    <w14:schemeClr w14:val="tx1"/>
                  </w14:solidFill>
                </w14:textFill>
              </w:rPr>
              <w:t>序号</w:t>
            </w:r>
          </w:p>
        </w:tc>
        <w:tc>
          <w:tcPr>
            <w:tcW w:w="4532"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污染物</w:t>
            </w:r>
          </w:p>
        </w:tc>
        <w:tc>
          <w:tcPr>
            <w:tcW w:w="3897"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2" w:hRule="atLeast"/>
          <w:jc w:val="center"/>
        </w:trPr>
        <w:tc>
          <w:tcPr>
            <w:tcW w:w="103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1</w:t>
            </w:r>
          </w:p>
        </w:tc>
        <w:tc>
          <w:tcPr>
            <w:tcW w:w="4532"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颗粒物</w:t>
            </w:r>
          </w:p>
        </w:tc>
        <w:tc>
          <w:tcPr>
            <w:tcW w:w="3897"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0.741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2" w:hRule="atLeast"/>
          <w:jc w:val="center"/>
        </w:trPr>
        <w:tc>
          <w:tcPr>
            <w:tcW w:w="103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2</w:t>
            </w:r>
          </w:p>
        </w:tc>
        <w:tc>
          <w:tcPr>
            <w:tcW w:w="4532"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氟化物</w:t>
            </w:r>
          </w:p>
        </w:tc>
        <w:tc>
          <w:tcPr>
            <w:tcW w:w="3897"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0.008416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8" w:hRule="atLeast"/>
          <w:jc w:val="center"/>
        </w:trPr>
        <w:tc>
          <w:tcPr>
            <w:tcW w:w="1030"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ascii="Times New Roman" w:hAnsi="Times New Roman" w:eastAsia="宋体"/>
                <w:bCs/>
                <w:color w:val="000000" w:themeColor="text1"/>
                <w:sz w:val="18"/>
                <w:szCs w:val="18"/>
                <w14:textFill>
                  <w14:solidFill>
                    <w14:schemeClr w14:val="tx1"/>
                  </w14:solidFill>
                </w14:textFill>
              </w:rPr>
              <w:t>3</w:t>
            </w:r>
          </w:p>
        </w:tc>
        <w:tc>
          <w:tcPr>
            <w:tcW w:w="4532"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HCl</w:t>
            </w:r>
          </w:p>
        </w:tc>
        <w:tc>
          <w:tcPr>
            <w:tcW w:w="3897" w:type="dxa"/>
            <w:tcBorders>
              <w:tl2br w:val="nil"/>
              <w:tr2bl w:val="nil"/>
            </w:tcBorders>
            <w:vAlign w:val="center"/>
          </w:tcPr>
          <w:p>
            <w:pPr>
              <w:pStyle w:val="2146"/>
              <w:rPr>
                <w:rFonts w:ascii="Times New Roman" w:hAnsi="Times New Roman" w:eastAsia="宋体"/>
                <w:bCs/>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18"/>
                <w:szCs w:val="18"/>
                <w14:textFill>
                  <w14:solidFill>
                    <w14:schemeClr w14:val="tx1"/>
                  </w14:solidFill>
                </w14:textFill>
              </w:rPr>
              <w:t>0.00003186</w:t>
            </w:r>
          </w:p>
        </w:tc>
      </w:tr>
      <w:bookmarkEnd w:id="423"/>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24" w:name="_Toc31620"/>
      <w:bookmarkStart w:id="425" w:name="_Toc10128"/>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大气环境影响评价结论</w:t>
      </w:r>
      <w:bookmarkEnd w:id="424"/>
      <w:bookmarkEnd w:id="425"/>
    </w:p>
    <w:p>
      <w:pPr>
        <w:keepNext w:val="0"/>
        <w:keepLines w:val="0"/>
        <w:pageBreakBefore w:val="0"/>
        <w:widowControl w:val="0"/>
        <w:kinsoku/>
        <w:wordWrap/>
        <w:overflowPunct/>
        <w:topLinePunct w:val="0"/>
        <w:autoSpaceDE w:val="0"/>
        <w:autoSpaceDN w:val="0"/>
        <w:bidi w:val="0"/>
        <w:adjustRightInd w:val="0"/>
        <w:snapToGrid/>
        <w:spacing w:before="120" w:beforeLines="50" w:line="520" w:lineRule="exact"/>
        <w:ind w:firstLine="480" w:firstLineChars="200"/>
        <w:textAlignment w:val="auto"/>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本项目运营期废气主要污染物氟化物、HCl、颗粒物排放浓度能够满足《无机化学工业污染物排放标准》（GB31573-2015）表</w:t>
      </w:r>
      <w:r>
        <w:rPr>
          <w:rFonts w:hint="eastAsia" w:ascii="Times New Roman" w:hAnsiTheme="minorEastAsia" w:eastAsiaTheme="minorEastAsia"/>
          <w:color w:val="000000" w:themeColor="text1"/>
          <w:sz w:val="24"/>
          <w:lang w:val="en-US" w:eastAsia="zh-CN"/>
          <w14:textFill>
            <w14:solidFill>
              <w14:schemeClr w14:val="tx1"/>
            </w14:solidFill>
          </w14:textFill>
        </w:rPr>
        <w:t>4</w:t>
      </w:r>
      <w:r>
        <w:rPr>
          <w:rFonts w:hint="eastAsia" w:ascii="Times New Roman" w:hAnsiTheme="minorEastAsia" w:eastAsiaTheme="minorEastAsia"/>
          <w:color w:val="000000" w:themeColor="text1"/>
          <w:sz w:val="24"/>
          <w14:textFill>
            <w14:solidFill>
              <w14:schemeClr w14:val="tx1"/>
            </w14:solidFill>
          </w14:textFill>
        </w:rPr>
        <w:t>中限值要求，且各污染物的短期浓度贡献值最大浓度占标率均小于 1%，各污染物预测最大落地浓度值能够满足相应环境质量标准的要求，对区域环境空气质量影响较小。</w:t>
      </w:r>
      <w:r>
        <w:rPr>
          <w:rFonts w:ascii="Times New Roman" w:hAnsiTheme="minorEastAsia" w:eastAsiaTheme="minorEastAsia"/>
          <w:color w:val="000000" w:themeColor="text1"/>
          <w:sz w:val="24"/>
          <w14:textFill>
            <w14:solidFill>
              <w14:schemeClr w14:val="tx1"/>
            </w14:solidFill>
          </w14:textFill>
        </w:rPr>
        <w:t>本</w:t>
      </w:r>
      <w:r>
        <w:rPr>
          <w:rFonts w:hint="eastAsia" w:ascii="Times New Roman" w:hAnsiTheme="minorEastAsia" w:eastAsiaTheme="minorEastAsia"/>
          <w:color w:val="000000" w:themeColor="text1"/>
          <w:sz w:val="24"/>
          <w14:textFill>
            <w14:solidFill>
              <w14:schemeClr w14:val="tx1"/>
            </w14:solidFill>
          </w14:textFill>
        </w:rPr>
        <w:t>项目</w:t>
      </w:r>
      <w:r>
        <w:rPr>
          <w:rFonts w:ascii="Times New Roman" w:hAnsiTheme="minorEastAsia" w:eastAsiaTheme="minorEastAsia"/>
          <w:color w:val="000000" w:themeColor="text1"/>
          <w:sz w:val="24"/>
          <w14:textFill>
            <w14:solidFill>
              <w14:schemeClr w14:val="tx1"/>
            </w14:solidFill>
          </w14:textFill>
        </w:rPr>
        <w:t>大气环境影响可接受。</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26" w:name="_Toc15945"/>
      <w:bookmarkStart w:id="427" w:name="_Toc18827"/>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.2.</w:t>
      </w:r>
      <w:r>
        <w:rPr>
          <w:rFonts w:hint="eastAsia" w:ascii="Times New Roman" w:hAnsi="Times New Roman" w:eastAsia="黑体"/>
          <w:b/>
          <w:color w:val="000000" w:themeColor="text1"/>
          <w:sz w:val="24"/>
          <w:szCs w:val="24"/>
          <w14:textFill>
            <w14:solidFill>
              <w14:schemeClr w14:val="tx1"/>
            </w14:solidFill>
          </w14:textFill>
        </w:rPr>
        <w:t>2</w:t>
      </w:r>
      <w:r>
        <w:rPr>
          <w:rFonts w:ascii="Times New Roman" w:hAnsi="Times New Roman" w:eastAsia="黑体"/>
          <w:b/>
          <w:color w:val="000000" w:themeColor="text1"/>
          <w:sz w:val="24"/>
          <w:szCs w:val="24"/>
          <w14:textFill>
            <w14:solidFill>
              <w14:schemeClr w14:val="tx1"/>
            </w14:solidFill>
          </w14:textFill>
        </w:rPr>
        <w:t>.</w:t>
      </w:r>
      <w:r>
        <w:rPr>
          <w:rFonts w:hint="eastAsia" w:ascii="Times New Roman" w:hAnsi="Times New Roman" w:eastAsia="黑体"/>
          <w:b/>
          <w:color w:val="000000" w:themeColor="text1"/>
          <w:sz w:val="24"/>
          <w:szCs w:val="24"/>
          <w14:textFill>
            <w14:solidFill>
              <w14:schemeClr w14:val="tx1"/>
            </w14:solidFill>
          </w14:textFill>
        </w:rPr>
        <w:t>7</w:t>
      </w:r>
      <w:r>
        <w:rPr>
          <w:rFonts w:ascii="Times New Roman" w:hAnsi="Times New Roman" w:eastAsia="黑体"/>
          <w:b/>
          <w:color w:val="000000" w:themeColor="text1"/>
          <w:sz w:val="24"/>
          <w:szCs w:val="24"/>
          <w14:textFill>
            <w14:solidFill>
              <w14:schemeClr w14:val="tx1"/>
            </w14:solidFill>
          </w14:textFill>
        </w:rPr>
        <w:t xml:space="preserve"> </w:t>
      </w:r>
      <w:r>
        <w:rPr>
          <w:rFonts w:hint="eastAsia" w:ascii="Times New Roman" w:hAnsi="Times New Roman" w:eastAsia="黑体"/>
          <w:b/>
          <w:color w:val="000000" w:themeColor="text1"/>
          <w:sz w:val="24"/>
          <w:szCs w:val="24"/>
          <w14:textFill>
            <w14:solidFill>
              <w14:schemeClr w14:val="tx1"/>
            </w14:solidFill>
          </w14:textFill>
        </w:rPr>
        <w:t>大气环境影响评价自查表</w:t>
      </w:r>
      <w:bookmarkEnd w:id="426"/>
      <w:bookmarkEnd w:id="427"/>
    </w:p>
    <w:p>
      <w:pPr>
        <w:pStyle w:val="385"/>
        <w:adjustRightInd w:val="0"/>
        <w:snapToGrid w:val="0"/>
        <w:spacing w:line="520" w:lineRule="exact"/>
        <w:ind w:firstLine="2650" w:firstLineChars="1100"/>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.2-17 大气环境影响评价自查表</w:t>
      </w:r>
    </w:p>
    <w:tbl>
      <w:tblPr>
        <w:tblStyle w:val="87"/>
        <w:tblW w:w="90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5"/>
        <w:gridCol w:w="1318"/>
        <w:gridCol w:w="1138"/>
        <w:gridCol w:w="36"/>
        <w:gridCol w:w="681"/>
        <w:gridCol w:w="110"/>
        <w:gridCol w:w="613"/>
        <w:gridCol w:w="597"/>
        <w:gridCol w:w="451"/>
        <w:gridCol w:w="454"/>
        <w:gridCol w:w="478"/>
        <w:gridCol w:w="114"/>
        <w:gridCol w:w="646"/>
        <w:gridCol w:w="531"/>
        <w:gridCol w:w="582"/>
        <w:gridCol w:w="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23" w:type="dxa"/>
            <w:gridSpan w:val="2"/>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评价内容</w:t>
            </w:r>
          </w:p>
        </w:tc>
        <w:tc>
          <w:tcPr>
            <w:tcW w:w="7077" w:type="dxa"/>
            <w:gridSpan w:val="1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restart"/>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评价等级与范围</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评价等级</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一级</w:t>
            </w:r>
            <w:r>
              <w:rPr>
                <w:rFonts w:ascii="Times New Roman" w:hAnsi="Times New Roman"/>
                <w:color w:val="000000" w:themeColor="text1"/>
                <w:sz w:val="18"/>
                <w14:textFill>
                  <w14:solidFill>
                    <w14:schemeClr w14:val="tx1"/>
                  </w14:solidFill>
                </w14:textFill>
              </w:rPr>
              <w:sym w:font="Wingdings 2" w:char="00A3"/>
            </w:r>
          </w:p>
        </w:tc>
        <w:tc>
          <w:tcPr>
            <w:tcW w:w="2740" w:type="dxa"/>
            <w:gridSpan w:val="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二级</w:t>
            </w:r>
            <w:r>
              <w:rPr>
                <w:rFonts w:ascii="Times New Roman" w:hAnsi="Times New Roman"/>
                <w:color w:val="000000" w:themeColor="text1"/>
                <w:sz w:val="18"/>
                <w14:textFill>
                  <w14:solidFill>
                    <w14:schemeClr w14:val="tx1"/>
                  </w14:solidFill>
                </w14:textFill>
              </w:rPr>
              <w:sym w:font="Wingdings 2" w:char="0052"/>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三级</w:t>
            </w:r>
            <w:r>
              <w:rPr>
                <w:rFonts w:ascii="Times New Roman" w:hAnsi="Times New Roman"/>
                <w:color w:val="000000" w:themeColor="text1"/>
                <w:sz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评价范围</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边长</w:t>
            </w:r>
            <w:r>
              <w:rPr>
                <w:rFonts w:ascii="Times New Roman" w:hAnsi="Times New Roman"/>
                <w:color w:val="000000" w:themeColor="text1"/>
                <w:sz w:val="18"/>
                <w14:textFill>
                  <w14:solidFill>
                    <w14:schemeClr w14:val="tx1"/>
                  </w14:solidFill>
                </w14:textFill>
              </w:rPr>
              <w:t>=50km</w:t>
            </w:r>
            <w:r>
              <w:rPr>
                <w:rFonts w:ascii="Times New Roman" w:hAnsi="Times New Roman"/>
                <w:color w:val="000000" w:themeColor="text1"/>
                <w:sz w:val="18"/>
                <w14:textFill>
                  <w14:solidFill>
                    <w14:schemeClr w14:val="tx1"/>
                  </w14:solidFill>
                </w14:textFill>
              </w:rPr>
              <w:sym w:font="Wingdings 2" w:char="00A3"/>
            </w:r>
          </w:p>
        </w:tc>
        <w:tc>
          <w:tcPr>
            <w:tcW w:w="2740" w:type="dxa"/>
            <w:gridSpan w:val="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边长</w:t>
            </w:r>
            <w:r>
              <w:rPr>
                <w:rFonts w:ascii="Times New Roman" w:hAnsi="Times New Roman"/>
                <w:color w:val="000000" w:themeColor="text1"/>
                <w:sz w:val="18"/>
                <w14:textFill>
                  <w14:solidFill>
                    <w14:schemeClr w14:val="tx1"/>
                  </w14:solidFill>
                </w14:textFill>
              </w:rPr>
              <w:t>=5-50km</w:t>
            </w:r>
            <w:r>
              <w:rPr>
                <w:rFonts w:ascii="Times New Roman" w:hAnsi="Times New Roman"/>
                <w:color w:val="000000" w:themeColor="text1"/>
                <w:sz w:val="18"/>
                <w14:textFill>
                  <w14:solidFill>
                    <w14:schemeClr w14:val="tx1"/>
                  </w14:solidFill>
                </w14:textFill>
              </w:rPr>
              <w:sym w:font="Wingdings 2" w:char="00A3"/>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边长</w:t>
            </w:r>
            <w:r>
              <w:rPr>
                <w:rFonts w:ascii="Times New Roman" w:hAnsi="Times New Roman"/>
                <w:color w:val="000000" w:themeColor="text1"/>
                <w:sz w:val="18"/>
                <w14:textFill>
                  <w14:solidFill>
                    <w14:schemeClr w14:val="tx1"/>
                  </w14:solidFill>
                </w14:textFill>
              </w:rPr>
              <w:t>=5km</w:t>
            </w:r>
            <w:r>
              <w:rPr>
                <w:rFonts w:ascii="Times New Roman" w:hAnsi="Times New Roman"/>
                <w:color w:val="000000" w:themeColor="text1"/>
                <w:sz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restart"/>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评价因子</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SO</w:t>
            </w:r>
            <w:r>
              <w:rPr>
                <w:rFonts w:ascii="Times New Roman" w:hAnsi="Times New Roman"/>
                <w:color w:val="000000" w:themeColor="text1"/>
                <w:sz w:val="18"/>
                <w:vertAlign w:val="subscript"/>
                <w14:textFill>
                  <w14:solidFill>
                    <w14:schemeClr w14:val="tx1"/>
                  </w14:solidFill>
                </w14:textFill>
              </w:rPr>
              <w:t>2</w:t>
            </w:r>
            <w:r>
              <w:rPr>
                <w:rFonts w:ascii="Times New Roman" w:hAnsi="Times New Roman"/>
                <w:color w:val="000000" w:themeColor="text1"/>
                <w:sz w:val="18"/>
                <w14:textFill>
                  <w14:solidFill>
                    <w14:schemeClr w14:val="tx1"/>
                  </w14:solidFill>
                </w14:textFill>
              </w:rPr>
              <w:t>+NOx</w:t>
            </w:r>
            <w:r>
              <w:rPr>
                <w:rFonts w:hint="eastAsia" w:ascii="Times New Roman" w:hAnsi="Times New Roman"/>
                <w:color w:val="000000" w:themeColor="text1"/>
                <w:sz w:val="18"/>
                <w14:textFill>
                  <w14:solidFill>
                    <w14:schemeClr w14:val="tx1"/>
                  </w14:solidFill>
                </w14:textFill>
              </w:rPr>
              <w:t>排放量</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≥2000t/a</w:t>
            </w:r>
            <w:r>
              <w:rPr>
                <w:rFonts w:ascii="Times New Roman" w:hAnsi="Times New Roman"/>
                <w:color w:val="000000" w:themeColor="text1"/>
                <w:sz w:val="18"/>
                <w14:textFill>
                  <w14:solidFill>
                    <w14:schemeClr w14:val="tx1"/>
                  </w14:solidFill>
                </w14:textFill>
              </w:rPr>
              <w:sym w:font="Wingdings 2" w:char="00A3"/>
            </w:r>
          </w:p>
        </w:tc>
        <w:tc>
          <w:tcPr>
            <w:tcW w:w="2740" w:type="dxa"/>
            <w:gridSpan w:val="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500~2000t/a□ </w:t>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&lt;500t/a</w:t>
            </w:r>
            <w:r>
              <w:rPr>
                <w:rFonts w:ascii="Times New Roman" w:hAnsi="Times New Roman"/>
                <w:color w:val="000000" w:themeColor="text1"/>
                <w:sz w:val="18"/>
                <w14:textFill>
                  <w14:solidFill>
                    <w14:schemeClr w14:val="tx1"/>
                  </w14:solidFill>
                </w14:textFill>
              </w:rPr>
              <w:sym w:font="Wingdings 2" w:char="0052"/>
            </w:r>
            <w:r>
              <w:rPr>
                <w:rFonts w:ascii="Times New Roman" w:hAnsi="Times New Roman"/>
                <w:color w:val="000000" w:themeColor="text1"/>
                <w:sz w:val="18"/>
                <w14:textFill>
                  <w14:solidFill>
                    <w14:schemeClr w14:val="tx1"/>
                  </w14:solidFill>
                </w14:textFill>
              </w:rPr>
              <w:sym w:font="Times New Roman" w:char="F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评价因子</w:t>
            </w:r>
          </w:p>
        </w:tc>
        <w:tc>
          <w:tcPr>
            <w:tcW w:w="5318" w:type="dxa"/>
            <w:gridSpan w:val="11"/>
            <w:vAlign w:val="center"/>
          </w:tcPr>
          <w:p>
            <w:pPr>
              <w:widowControl/>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PM</w:t>
            </w:r>
            <w:r>
              <w:rPr>
                <w:rFonts w:hint="eastAsia" w:ascii="Times New Roman" w:hAnsi="Times New Roman"/>
                <w:color w:val="000000" w:themeColor="text1"/>
                <w:sz w:val="18"/>
                <w:szCs w:val="18"/>
                <w:vertAlign w:val="subscript"/>
                <w14:textFill>
                  <w14:solidFill>
                    <w14:schemeClr w14:val="tx1"/>
                  </w14:solidFill>
                </w14:textFill>
              </w:rPr>
              <w:t>10</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HC</w:t>
            </w:r>
            <w:r>
              <w:rPr>
                <w:rFonts w:hint="eastAsia" w:ascii="Times New Roman" w:hAnsi="Times New Roman"/>
                <w:color w:val="000000" w:themeColor="text1"/>
                <w:kern w:val="0"/>
                <w:sz w:val="18"/>
                <w:szCs w:val="18"/>
                <w14:textFill>
                  <w14:solidFill>
                    <w14:schemeClr w14:val="tx1"/>
                  </w14:solidFill>
                </w14:textFill>
              </w:rPr>
              <w:t>l、氟化物、TSP</w:t>
            </w:r>
          </w:p>
        </w:tc>
        <w:tc>
          <w:tcPr>
            <w:tcW w:w="1759" w:type="dxa"/>
            <w:gridSpan w:val="3"/>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包括二次</w:t>
            </w:r>
            <w:r>
              <w:rPr>
                <w:rFonts w:ascii="Times New Roman" w:hAnsi="Times New Roman"/>
                <w:color w:val="000000" w:themeColor="text1"/>
                <w:sz w:val="18"/>
                <w14:textFill>
                  <w14:solidFill>
                    <w14:schemeClr w14:val="tx1"/>
                  </w14:solidFill>
                </w14:textFill>
              </w:rPr>
              <w:t>PM</w:t>
            </w:r>
            <w:r>
              <w:rPr>
                <w:rFonts w:ascii="Times New Roman" w:hAnsi="Times New Roman"/>
                <w:color w:val="000000" w:themeColor="text1"/>
                <w:sz w:val="18"/>
                <w:vertAlign w:val="subscript"/>
                <w14:textFill>
                  <w14:solidFill>
                    <w14:schemeClr w14:val="tx1"/>
                  </w14:solidFill>
                </w14:textFill>
              </w:rPr>
              <w:t>2.5</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不包括二次</w:t>
            </w:r>
            <w:r>
              <w:rPr>
                <w:rFonts w:ascii="Times New Roman" w:hAnsi="Times New Roman"/>
                <w:color w:val="000000" w:themeColor="text1"/>
                <w:sz w:val="18"/>
                <w14:textFill>
                  <w14:solidFill>
                    <w14:schemeClr w14:val="tx1"/>
                  </w14:solidFill>
                </w14:textFill>
              </w:rPr>
              <w:t>PM</w:t>
            </w:r>
            <w:r>
              <w:rPr>
                <w:rFonts w:ascii="Times New Roman" w:hAnsi="Times New Roman"/>
                <w:color w:val="000000" w:themeColor="text1"/>
                <w:sz w:val="18"/>
                <w:vertAlign w:val="subscript"/>
                <w14:textFill>
                  <w14:solidFill>
                    <w14:schemeClr w14:val="tx1"/>
                  </w14:solidFill>
                </w14:textFill>
              </w:rPr>
              <w:t>2.5</w:t>
            </w:r>
            <w:r>
              <w:rPr>
                <w:rFonts w:ascii="Times New Roman" w:hAnsi="Times New Roman"/>
                <w:color w:val="000000" w:themeColor="text1"/>
                <w:sz w:val="18"/>
                <w14:textFill>
                  <w14:solidFill>
                    <w14:schemeClr w14:val="tx1"/>
                  </w14:solidFill>
                </w14:textFill>
              </w:rPr>
              <w:sym w:font="Wingdings 2" w:char="0052"/>
            </w:r>
            <w:r>
              <w:rPr>
                <w:rFonts w:ascii="Times New Roman" w:hAnsi="Times New Roman"/>
                <w:color w:val="000000" w:themeColor="text1"/>
                <w:sz w:val="18"/>
                <w14:textFill>
                  <w14:solidFill>
                    <w14:schemeClr w14:val="tx1"/>
                  </w14:solidFill>
                </w14:textFill>
              </w:rPr>
              <w:sym w:font="Times New Roman" w:char="F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评价标准</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评价标准</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国家标准</w:t>
            </w:r>
            <w:r>
              <w:rPr>
                <w:rFonts w:ascii="Times New Roman" w:hAnsi="Times New Roman"/>
                <w:color w:val="000000" w:themeColor="text1"/>
                <w:sz w:val="18"/>
                <w14:textFill>
                  <w14:solidFill>
                    <w14:schemeClr w14:val="tx1"/>
                  </w14:solidFill>
                </w14:textFill>
              </w:rPr>
              <w:sym w:font="Wingdings 2" w:char="0052"/>
            </w:r>
          </w:p>
        </w:tc>
        <w:tc>
          <w:tcPr>
            <w:tcW w:w="1048" w:type="dxa"/>
            <w:gridSpan w:val="2"/>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地方标准</w:t>
            </w:r>
            <w:r>
              <w:rPr>
                <w:rFonts w:ascii="Times New Roman" w:hAnsi="Times New Roman"/>
                <w:color w:val="000000" w:themeColor="text1"/>
                <w:sz w:val="18"/>
                <w14:textFill>
                  <w14:solidFill>
                    <w14:schemeClr w14:val="tx1"/>
                  </w14:solidFill>
                </w14:textFill>
              </w:rPr>
              <w:sym w:font="Wingdings 2" w:char="00A3"/>
            </w:r>
          </w:p>
        </w:tc>
        <w:tc>
          <w:tcPr>
            <w:tcW w:w="1692" w:type="dxa"/>
            <w:gridSpan w:val="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附录</w:t>
            </w:r>
            <w:r>
              <w:rPr>
                <w:rFonts w:ascii="Times New Roman" w:hAnsi="Times New Roman"/>
                <w:color w:val="000000" w:themeColor="text1"/>
                <w:sz w:val="18"/>
                <w14:textFill>
                  <w14:solidFill>
                    <w14:schemeClr w14:val="tx1"/>
                  </w14:solidFill>
                </w14:textFill>
              </w:rPr>
              <w:t>D</w:t>
            </w:r>
            <w:r>
              <w:rPr>
                <w:rFonts w:ascii="Times New Roman" w:hAnsi="Times New Roman"/>
                <w:color w:val="000000" w:themeColor="text1"/>
                <w:sz w:val="18"/>
                <w14:textFill>
                  <w14:solidFill>
                    <w14:schemeClr w14:val="tx1"/>
                  </w14:solidFill>
                </w14:textFill>
              </w:rPr>
              <w:sym w:font="Wingdings 2" w:char="0052"/>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其他标准</w:t>
            </w:r>
            <w:r>
              <w:rPr>
                <w:rFonts w:ascii="Times New Roman" w:hAnsi="Times New Roman"/>
                <w:color w:val="000000" w:themeColor="text1"/>
                <w:sz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restart"/>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现状评价</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评价功能区</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一类区</w:t>
            </w:r>
            <w:r>
              <w:rPr>
                <w:rFonts w:ascii="Times New Roman" w:hAnsi="Times New Roman"/>
                <w:color w:val="000000" w:themeColor="text1"/>
                <w:sz w:val="18"/>
                <w14:textFill>
                  <w14:solidFill>
                    <w14:schemeClr w14:val="tx1"/>
                  </w14:solidFill>
                </w14:textFill>
              </w:rPr>
              <w:sym w:font="Wingdings 2" w:char="00A3"/>
            </w:r>
          </w:p>
        </w:tc>
        <w:tc>
          <w:tcPr>
            <w:tcW w:w="2740" w:type="dxa"/>
            <w:gridSpan w:val="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二类区</w:t>
            </w:r>
            <w:r>
              <w:rPr>
                <w:rFonts w:ascii="Times New Roman" w:hAnsi="Times New Roman"/>
                <w:color w:val="000000" w:themeColor="text1"/>
                <w:sz w:val="18"/>
                <w14:textFill>
                  <w14:solidFill>
                    <w14:schemeClr w14:val="tx1"/>
                  </w14:solidFill>
                </w14:textFill>
              </w:rPr>
              <w:sym w:font="Wingdings 2" w:char="0052"/>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一类区和二类区</w:t>
            </w:r>
            <w:r>
              <w:rPr>
                <w:rFonts w:ascii="Times New Roman" w:hAnsi="Times New Roman"/>
                <w:color w:val="000000" w:themeColor="text1"/>
                <w:sz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评价基准年</w:t>
            </w:r>
          </w:p>
        </w:tc>
        <w:tc>
          <w:tcPr>
            <w:tcW w:w="7077" w:type="dxa"/>
            <w:gridSpan w:val="1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环境空气质量现状调查数据来源</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长期例行监测数据</w:t>
            </w:r>
            <w:r>
              <w:rPr>
                <w:rFonts w:ascii="Times New Roman" w:hAnsi="Times New Roman"/>
                <w:color w:val="000000" w:themeColor="text1"/>
                <w:sz w:val="18"/>
                <w14:textFill>
                  <w14:solidFill>
                    <w14:schemeClr w14:val="tx1"/>
                  </w14:solidFill>
                </w14:textFill>
              </w:rPr>
              <w:sym w:font="Wingdings 2" w:char="0052"/>
            </w:r>
          </w:p>
        </w:tc>
        <w:tc>
          <w:tcPr>
            <w:tcW w:w="2740" w:type="dxa"/>
            <w:gridSpan w:val="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主管部门发布的数据</w:t>
            </w:r>
            <w:r>
              <w:rPr>
                <w:rFonts w:ascii="Times New Roman" w:hAnsi="Times New Roman"/>
                <w:color w:val="000000" w:themeColor="text1"/>
                <w:sz w:val="18"/>
                <w14:textFill>
                  <w14:solidFill>
                    <w14:schemeClr w14:val="tx1"/>
                  </w14:solidFill>
                </w14:textFill>
              </w:rPr>
              <w:sym w:font="Wingdings 2" w:char="0052"/>
            </w:r>
            <w:r>
              <w:rPr>
                <w:rFonts w:ascii="Times New Roman" w:hAnsi="Times New Roman"/>
                <w:color w:val="000000" w:themeColor="text1"/>
                <w:sz w:val="18"/>
                <w14:textFill>
                  <w14:solidFill>
                    <w14:schemeClr w14:val="tx1"/>
                  </w14:solidFill>
                </w14:textFill>
              </w:rPr>
              <w:t xml:space="preserve"> </w:t>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现状补充检测</w:t>
            </w:r>
            <w:r>
              <w:rPr>
                <w:rFonts w:ascii="Times New Roman" w:hAnsi="Times New Roman"/>
                <w:color w:val="000000" w:themeColor="text1"/>
                <w:sz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现状评价</w:t>
            </w:r>
          </w:p>
        </w:tc>
        <w:tc>
          <w:tcPr>
            <w:tcW w:w="3626" w:type="dxa"/>
            <w:gridSpan w:val="7"/>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达标区</w:t>
            </w:r>
            <w:r>
              <w:rPr>
                <w:rFonts w:ascii="Times New Roman" w:hAnsi="Times New Roman"/>
                <w:color w:val="000000" w:themeColor="text1"/>
                <w:sz w:val="18"/>
                <w14:textFill>
                  <w14:solidFill>
                    <w14:schemeClr w14:val="tx1"/>
                  </w14:solidFill>
                </w14:textFill>
              </w:rPr>
              <w:sym w:font="Wingdings 2" w:char="00A3"/>
            </w:r>
          </w:p>
        </w:tc>
        <w:tc>
          <w:tcPr>
            <w:tcW w:w="3451" w:type="dxa"/>
            <w:gridSpan w:val="7"/>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不达标区</w:t>
            </w:r>
            <w:r>
              <w:rPr>
                <w:rFonts w:ascii="Times New Roman" w:hAnsi="Times New Roman"/>
                <w:color w:val="000000" w:themeColor="text1"/>
                <w:sz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污染源调查</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调查内容</w:t>
            </w:r>
          </w:p>
        </w:tc>
        <w:tc>
          <w:tcPr>
            <w:tcW w:w="2578" w:type="dxa"/>
            <w:gridSpan w:val="5"/>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本项目正常排放源</w:t>
            </w:r>
            <w:r>
              <w:rPr>
                <w:rFonts w:ascii="Times New Roman" w:hAnsi="Times New Roman"/>
                <w:color w:val="000000" w:themeColor="text1"/>
                <w:sz w:val="18"/>
                <w14:textFill>
                  <w14:solidFill>
                    <w14:schemeClr w14:val="tx1"/>
                  </w14:solidFill>
                </w14:textFill>
              </w:rPr>
              <w:sym w:font="Wingdings 2" w:char="00A3"/>
            </w:r>
          </w:p>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本项目非正常排放源</w:t>
            </w:r>
            <w:r>
              <w:rPr>
                <w:rFonts w:ascii="Times New Roman" w:hAnsi="Times New Roman"/>
                <w:color w:val="000000" w:themeColor="text1"/>
                <w:sz w:val="18"/>
                <w14:textFill>
                  <w14:solidFill>
                    <w14:schemeClr w14:val="tx1"/>
                  </w14:solidFill>
                </w14:textFill>
              </w:rPr>
              <w:sym w:font="Wingdings 2" w:char="00A3"/>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现有污染源</w:t>
            </w:r>
            <w:r>
              <w:rPr>
                <w:rFonts w:ascii="Times New Roman" w:hAnsi="Times New Roman"/>
                <w:color w:val="000000" w:themeColor="text1"/>
                <w:sz w:val="18"/>
                <w14:textFill>
                  <w14:solidFill>
                    <w14:schemeClr w14:val="tx1"/>
                  </w14:solidFill>
                </w14:textFill>
              </w:rPr>
              <w:sym w:font="Wingdings 2" w:char="00A3"/>
            </w:r>
          </w:p>
        </w:tc>
        <w:tc>
          <w:tcPr>
            <w:tcW w:w="1048" w:type="dxa"/>
            <w:gridSpan w:val="2"/>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拟替代的污染源</w:t>
            </w:r>
            <w:r>
              <w:rPr>
                <w:rFonts w:ascii="Times New Roman" w:hAnsi="Times New Roman"/>
                <w:color w:val="000000" w:themeColor="text1"/>
                <w:sz w:val="18"/>
                <w14:textFill>
                  <w14:solidFill>
                    <w14:schemeClr w14:val="tx1"/>
                  </w14:solidFill>
                </w14:textFill>
              </w:rPr>
              <w:sym w:font="Wingdings 2" w:char="00A3"/>
            </w:r>
          </w:p>
        </w:tc>
        <w:tc>
          <w:tcPr>
            <w:tcW w:w="1692" w:type="dxa"/>
            <w:gridSpan w:val="4"/>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其他在建、拟</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建项目污染源</w:t>
            </w:r>
            <w:r>
              <w:rPr>
                <w:rFonts w:ascii="Times New Roman" w:hAnsi="Times New Roman"/>
                <w:color w:val="000000" w:themeColor="text1"/>
                <w:sz w:val="18"/>
                <w14:textFill>
                  <w14:solidFill>
                    <w14:schemeClr w14:val="tx1"/>
                  </w14:solidFill>
                </w14:textFill>
              </w:rPr>
              <w:sym w:font="Wingdings 2" w:char="00A3"/>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区域污染源</w:t>
            </w:r>
            <w:r>
              <w:rPr>
                <w:rFonts w:ascii="Times New Roman" w:hAnsi="Times New Roman"/>
                <w:color w:val="000000" w:themeColor="text1"/>
                <w:sz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restart"/>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大气环境影响预测与评价</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预测模型</w:t>
            </w:r>
          </w:p>
        </w:tc>
        <w:tc>
          <w:tcPr>
            <w:tcW w:w="113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AERMOD</w:t>
            </w:r>
            <w:r>
              <w:rPr>
                <w:rFonts w:ascii="Times New Roman" w:hAnsi="Times New Roman"/>
                <w:color w:val="000000" w:themeColor="text1"/>
                <w:sz w:val="18"/>
                <w14:textFill>
                  <w14:solidFill>
                    <w14:schemeClr w14:val="tx1"/>
                  </w14:solidFill>
                </w14:textFill>
              </w:rPr>
              <w:sym w:font="Times New Roman" w:char="F052"/>
            </w:r>
            <w:r>
              <w:rPr>
                <w:rFonts w:ascii="Times New Roman" w:hAnsi="Times New Roman"/>
                <w:color w:val="000000" w:themeColor="text1"/>
                <w:sz w:val="18"/>
                <w14:textFill>
                  <w14:solidFill>
                    <w14:schemeClr w14:val="tx1"/>
                  </w14:solidFill>
                </w14:textFill>
              </w:rPr>
              <w:sym w:font="Wingdings 2" w:char="00A3"/>
            </w:r>
          </w:p>
        </w:tc>
        <w:tc>
          <w:tcPr>
            <w:tcW w:w="717" w:type="dxa"/>
            <w:gridSpan w:val="2"/>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ADMS□</w:t>
            </w:r>
          </w:p>
        </w:tc>
        <w:tc>
          <w:tcPr>
            <w:tcW w:w="1320" w:type="dxa"/>
            <w:gridSpan w:val="3"/>
            <w:vAlign w:val="center"/>
          </w:tcPr>
          <w:p>
            <w:pPr>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AUSTAL2000</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w:t>
            </w:r>
          </w:p>
        </w:tc>
        <w:tc>
          <w:tcPr>
            <w:tcW w:w="1497" w:type="dxa"/>
            <w:gridSpan w:val="4"/>
            <w:vAlign w:val="center"/>
          </w:tcPr>
          <w:p>
            <w:pPr>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EDMS/AEDT</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 </w:t>
            </w:r>
          </w:p>
        </w:tc>
        <w:tc>
          <w:tcPr>
            <w:tcW w:w="1177" w:type="dxa"/>
            <w:gridSpan w:val="2"/>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CALPUFF□</w:t>
            </w:r>
          </w:p>
        </w:tc>
        <w:tc>
          <w:tcPr>
            <w:tcW w:w="582" w:type="dxa"/>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网格模型</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 </w:t>
            </w:r>
          </w:p>
        </w:tc>
        <w:tc>
          <w:tcPr>
            <w:tcW w:w="646" w:type="dxa"/>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其他</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预测范围</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边长</w:t>
            </w:r>
            <w:r>
              <w:rPr>
                <w:rFonts w:ascii="Times New Roman" w:hAnsi="Times New Roman"/>
                <w:color w:val="000000" w:themeColor="text1"/>
                <w:sz w:val="18"/>
                <w14:textFill>
                  <w14:solidFill>
                    <w14:schemeClr w14:val="tx1"/>
                  </w14:solidFill>
                </w14:textFill>
              </w:rPr>
              <w:t xml:space="preserve">≥50km□ </w:t>
            </w:r>
          </w:p>
        </w:tc>
        <w:tc>
          <w:tcPr>
            <w:tcW w:w="2740" w:type="dxa"/>
            <w:gridSpan w:val="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边长</w:t>
            </w:r>
            <w:r>
              <w:rPr>
                <w:rFonts w:ascii="Times New Roman" w:hAnsi="Times New Roman"/>
                <w:color w:val="000000" w:themeColor="text1"/>
                <w:sz w:val="18"/>
                <w14:textFill>
                  <w14:solidFill>
                    <w14:schemeClr w14:val="tx1"/>
                  </w14:solidFill>
                </w14:textFill>
              </w:rPr>
              <w:t xml:space="preserve"> 5~50km□ </w:t>
            </w:r>
            <w:r>
              <w:rPr>
                <w:rFonts w:ascii="Times New Roman" w:hAnsi="Times New Roman"/>
                <w:color w:val="000000" w:themeColor="text1"/>
                <w:sz w:val="18"/>
                <w14:textFill>
                  <w14:solidFill>
                    <w14:schemeClr w14:val="tx1"/>
                  </w14:solidFill>
                </w14:textFill>
              </w:rPr>
              <w:sym w:font="Times New Roman" w:char="F052"/>
            </w:r>
          </w:p>
        </w:tc>
        <w:tc>
          <w:tcPr>
            <w:tcW w:w="1759" w:type="dxa"/>
            <w:gridSpan w:val="3"/>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 </w:t>
            </w:r>
            <w:r>
              <w:rPr>
                <w:rFonts w:hint="eastAsia" w:ascii="Times New Roman" w:hAnsi="Times New Roman"/>
                <w:color w:val="000000" w:themeColor="text1"/>
                <w:sz w:val="18"/>
                <w14:textFill>
                  <w14:solidFill>
                    <w14:schemeClr w14:val="tx1"/>
                  </w14:solidFill>
                </w14:textFill>
              </w:rPr>
              <w:t>边长</w:t>
            </w:r>
            <w:r>
              <w:rPr>
                <w:rFonts w:ascii="Times New Roman" w:hAnsi="Times New Roman"/>
                <w:color w:val="000000" w:themeColor="text1"/>
                <w:sz w:val="18"/>
                <w14:textFill>
                  <w14:solidFill>
                    <w14:schemeClr w14:val="tx1"/>
                  </w14:solidFill>
                </w14:textFill>
              </w:rPr>
              <w:t>=5km</w:t>
            </w:r>
            <w:r>
              <w:rPr>
                <w:rFonts w:ascii="Times New Roman" w:hAnsi="Times New Roman"/>
                <w:color w:val="000000" w:themeColor="text1"/>
                <w:sz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预测因子</w:t>
            </w:r>
          </w:p>
        </w:tc>
        <w:tc>
          <w:tcPr>
            <w:tcW w:w="2578" w:type="dxa"/>
            <w:gridSpan w:val="5"/>
            <w:vAlign w:val="center"/>
          </w:tcPr>
          <w:p>
            <w:pPr>
              <w:widowControl/>
              <w:jc w:val="center"/>
              <w:rPr>
                <w:rFonts w:ascii="宋体" w:hAnsi="宋体" w:cs="宋体"/>
                <w:color w:val="000000" w:themeColor="text1"/>
                <w:kern w:val="0"/>
                <w:sz w:val="18"/>
                <w:szCs w:val="18"/>
                <w14:textFill>
                  <w14:solidFill>
                    <w14:schemeClr w14:val="tx1"/>
                  </w14:solidFill>
                </w14:textFill>
              </w:rPr>
            </w:pPr>
          </w:p>
        </w:tc>
        <w:tc>
          <w:tcPr>
            <w:tcW w:w="4499" w:type="dxa"/>
            <w:gridSpan w:val="9"/>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包括二次</w:t>
            </w:r>
            <w:r>
              <w:rPr>
                <w:rFonts w:ascii="Times New Roman" w:hAnsi="Times New Roman"/>
                <w:color w:val="000000" w:themeColor="text1"/>
                <w:sz w:val="18"/>
                <w14:textFill>
                  <w14:solidFill>
                    <w14:schemeClr w14:val="tx1"/>
                  </w14:solidFill>
                </w14:textFill>
              </w:rPr>
              <w:t>PM2.5□</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不包括二次</w:t>
            </w:r>
            <w:r>
              <w:rPr>
                <w:rFonts w:ascii="Times New Roman" w:hAnsi="Times New Roman"/>
                <w:color w:val="000000" w:themeColor="text1"/>
                <w:sz w:val="18"/>
                <w14:textFill>
                  <w14:solidFill>
                    <w14:schemeClr w14:val="tx1"/>
                  </w14:solidFill>
                </w14:textFill>
              </w:rPr>
              <w:t>PM2.5</w:t>
            </w:r>
            <w:r>
              <w:rPr>
                <w:rFonts w:ascii="Times New Roman" w:hAnsi="Times New Roman"/>
                <w:color w:val="000000" w:themeColor="text1"/>
                <w:sz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正常排放短期浓度贡献值</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C </w:t>
            </w:r>
            <w:r>
              <w:rPr>
                <w:rFonts w:hint="eastAsia" w:ascii="Times New Roman" w:hAnsi="Times New Roman"/>
                <w:color w:val="000000" w:themeColor="text1"/>
                <w:sz w:val="18"/>
                <w14:textFill>
                  <w14:solidFill>
                    <w14:schemeClr w14:val="tx1"/>
                  </w14:solidFill>
                </w14:textFill>
              </w:rPr>
              <w:t>本项目最大占标率</w:t>
            </w:r>
            <w:r>
              <w:rPr>
                <w:rFonts w:ascii="Times New Roman" w:hAnsi="Times New Roman"/>
                <w:color w:val="000000" w:themeColor="text1"/>
                <w:sz w:val="18"/>
                <w14:textFill>
                  <w14:solidFill>
                    <w14:schemeClr w14:val="tx1"/>
                  </w14:solidFill>
                </w14:textFill>
              </w:rPr>
              <w:t>≤100%</w:t>
            </w:r>
            <w:r>
              <w:rPr>
                <w:rFonts w:ascii="Times New Roman" w:hAnsi="Times New Roman"/>
                <w:color w:val="000000" w:themeColor="text1"/>
                <w:sz w:val="18"/>
                <w14:textFill>
                  <w14:solidFill>
                    <w14:schemeClr w14:val="tx1"/>
                  </w14:solidFill>
                </w14:textFill>
              </w:rPr>
              <w:sym w:font="Wingdings 2" w:char="0052"/>
            </w:r>
            <w:r>
              <w:rPr>
                <w:rFonts w:ascii="Times New Roman" w:hAnsi="Times New Roman"/>
                <w:color w:val="000000" w:themeColor="text1"/>
                <w:sz w:val="18"/>
                <w14:textFill>
                  <w14:solidFill>
                    <w14:schemeClr w14:val="tx1"/>
                  </w14:solidFill>
                </w14:textFill>
              </w:rPr>
              <w:t xml:space="preserve"> </w:t>
            </w:r>
          </w:p>
        </w:tc>
        <w:tc>
          <w:tcPr>
            <w:tcW w:w="4499" w:type="dxa"/>
            <w:gridSpan w:val="9"/>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本项目最大占标率</w:t>
            </w:r>
            <w:r>
              <w:rPr>
                <w:rFonts w:ascii="Times New Roman" w:hAnsi="Times New Roman"/>
                <w:color w:val="000000" w:themeColor="text1"/>
                <w:sz w:val="18"/>
                <w14:textFill>
                  <w14:solidFill>
                    <w14:schemeClr w14:val="tx1"/>
                  </w14:solidFill>
                </w14:textFill>
              </w:rPr>
              <w:t>&gt;100%□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Merge w:val="restart"/>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正常排放年均浓度贡献值</w:t>
            </w:r>
          </w:p>
        </w:tc>
        <w:tc>
          <w:tcPr>
            <w:tcW w:w="1174" w:type="dxa"/>
            <w:gridSpan w:val="2"/>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一类区</w:t>
            </w:r>
            <w:r>
              <w:rPr>
                <w:rFonts w:ascii="Times New Roman" w:hAnsi="Times New Roman"/>
                <w:color w:val="000000" w:themeColor="text1"/>
                <w:sz w:val="18"/>
                <w14:textFill>
                  <w14:solidFill>
                    <w14:schemeClr w14:val="tx1"/>
                  </w14:solidFill>
                </w14:textFill>
              </w:rPr>
              <w:t xml:space="preserve"> </w:t>
            </w:r>
          </w:p>
        </w:tc>
        <w:tc>
          <w:tcPr>
            <w:tcW w:w="3384" w:type="dxa"/>
            <w:gridSpan w:val="7"/>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C </w:t>
            </w:r>
            <w:r>
              <w:rPr>
                <w:rFonts w:hint="eastAsia" w:ascii="Times New Roman" w:hAnsi="Times New Roman"/>
                <w:color w:val="000000" w:themeColor="text1"/>
                <w:sz w:val="18"/>
                <w:vertAlign w:val="subscript"/>
                <w14:textFill>
                  <w14:solidFill>
                    <w14:schemeClr w14:val="tx1"/>
                  </w14:solidFill>
                </w14:textFill>
              </w:rPr>
              <w:t>本项目</w:t>
            </w:r>
            <w:r>
              <w:rPr>
                <w:rFonts w:hint="eastAsia" w:ascii="Times New Roman" w:hAnsi="Times New Roman"/>
                <w:color w:val="000000" w:themeColor="text1"/>
                <w:sz w:val="18"/>
                <w14:textFill>
                  <w14:solidFill>
                    <w14:schemeClr w14:val="tx1"/>
                  </w14:solidFill>
                </w14:textFill>
              </w:rPr>
              <w:t>最大占标率</w:t>
            </w:r>
            <w:r>
              <w:rPr>
                <w:rFonts w:ascii="Times New Roman" w:hAnsi="Times New Roman"/>
                <w:color w:val="000000" w:themeColor="text1"/>
                <w:sz w:val="18"/>
                <w14:textFill>
                  <w14:solidFill>
                    <w14:schemeClr w14:val="tx1"/>
                  </w14:solidFill>
                </w14:textFill>
              </w:rPr>
              <w:t xml:space="preserve">≤10%□ </w:t>
            </w:r>
          </w:p>
        </w:tc>
        <w:tc>
          <w:tcPr>
            <w:tcW w:w="2519"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C </w:t>
            </w:r>
            <w:r>
              <w:rPr>
                <w:rFonts w:hint="eastAsia" w:ascii="Times New Roman" w:hAnsi="Times New Roman"/>
                <w:color w:val="000000" w:themeColor="text1"/>
                <w:sz w:val="18"/>
                <w:vertAlign w:val="subscript"/>
                <w14:textFill>
                  <w14:solidFill>
                    <w14:schemeClr w14:val="tx1"/>
                  </w14:solidFill>
                </w14:textFill>
              </w:rPr>
              <w:t>本项目</w:t>
            </w:r>
            <w:r>
              <w:rPr>
                <w:rFonts w:hint="eastAsia" w:ascii="Times New Roman" w:hAnsi="Times New Roman"/>
                <w:color w:val="000000" w:themeColor="text1"/>
                <w:sz w:val="18"/>
                <w14:textFill>
                  <w14:solidFill>
                    <w14:schemeClr w14:val="tx1"/>
                  </w14:solidFill>
                </w14:textFill>
              </w:rPr>
              <w:t>最大占标率</w:t>
            </w:r>
            <w:r>
              <w:rPr>
                <w:rFonts w:ascii="Times New Roman" w:hAnsi="Times New Roman"/>
                <w:color w:val="000000" w:themeColor="text1"/>
                <w:sz w:val="18"/>
                <w14:textFill>
                  <w14:solidFill>
                    <w14:schemeClr w14:val="tx1"/>
                  </w14:solidFill>
                </w14:textFill>
              </w:rPr>
              <w:t>&gt;10%□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Merge w:val="continue"/>
            <w:vAlign w:val="center"/>
          </w:tcPr>
          <w:p>
            <w:pPr>
              <w:rPr>
                <w:rFonts w:ascii="Times New Roman" w:hAnsi="Times New Roman"/>
                <w:color w:val="000000" w:themeColor="text1"/>
                <w:sz w:val="18"/>
                <w14:textFill>
                  <w14:solidFill>
                    <w14:schemeClr w14:val="tx1"/>
                  </w14:solidFill>
                </w14:textFill>
              </w:rPr>
            </w:pPr>
          </w:p>
        </w:tc>
        <w:tc>
          <w:tcPr>
            <w:tcW w:w="1174" w:type="dxa"/>
            <w:gridSpan w:val="2"/>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二类区</w:t>
            </w:r>
          </w:p>
        </w:tc>
        <w:tc>
          <w:tcPr>
            <w:tcW w:w="3384" w:type="dxa"/>
            <w:gridSpan w:val="7"/>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C </w:t>
            </w:r>
            <w:r>
              <w:rPr>
                <w:rFonts w:hint="eastAsia" w:ascii="Times New Roman" w:hAnsi="Times New Roman"/>
                <w:color w:val="000000" w:themeColor="text1"/>
                <w:sz w:val="18"/>
                <w:vertAlign w:val="subscript"/>
                <w14:textFill>
                  <w14:solidFill>
                    <w14:schemeClr w14:val="tx1"/>
                  </w14:solidFill>
                </w14:textFill>
              </w:rPr>
              <w:t>本项目</w:t>
            </w:r>
            <w:r>
              <w:rPr>
                <w:rFonts w:hint="eastAsia" w:ascii="Times New Roman" w:hAnsi="Times New Roman"/>
                <w:color w:val="000000" w:themeColor="text1"/>
                <w:sz w:val="18"/>
                <w14:textFill>
                  <w14:solidFill>
                    <w14:schemeClr w14:val="tx1"/>
                  </w14:solidFill>
                </w14:textFill>
              </w:rPr>
              <w:t>最大占标率</w:t>
            </w:r>
            <w:r>
              <w:rPr>
                <w:rFonts w:ascii="Times New Roman" w:hAnsi="Times New Roman"/>
                <w:color w:val="000000" w:themeColor="text1"/>
                <w:sz w:val="18"/>
                <w14:textFill>
                  <w14:solidFill>
                    <w14:schemeClr w14:val="tx1"/>
                  </w14:solidFill>
                </w14:textFill>
              </w:rPr>
              <w:t>≤30%</w:t>
            </w:r>
            <w:r>
              <w:rPr>
                <w:rFonts w:ascii="Times New Roman" w:hAnsi="Times New Roman"/>
                <w:color w:val="000000" w:themeColor="text1"/>
                <w:sz w:val="18"/>
                <w14:textFill>
                  <w14:solidFill>
                    <w14:schemeClr w14:val="tx1"/>
                  </w14:solidFill>
                </w14:textFill>
              </w:rPr>
              <w:sym w:font="Wingdings 2" w:char="00A3"/>
            </w:r>
            <w:r>
              <w:rPr>
                <w:rFonts w:ascii="Times New Roman" w:hAnsi="Times New Roman"/>
                <w:color w:val="000000" w:themeColor="text1"/>
                <w:sz w:val="18"/>
                <w14:textFill>
                  <w14:solidFill>
                    <w14:schemeClr w14:val="tx1"/>
                  </w14:solidFill>
                </w14:textFill>
              </w:rPr>
              <w:t xml:space="preserve"> </w:t>
            </w:r>
          </w:p>
        </w:tc>
        <w:tc>
          <w:tcPr>
            <w:tcW w:w="2519"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C </w:t>
            </w:r>
            <w:r>
              <w:rPr>
                <w:rFonts w:hint="eastAsia" w:ascii="Times New Roman" w:hAnsi="Times New Roman"/>
                <w:color w:val="000000" w:themeColor="text1"/>
                <w:sz w:val="18"/>
                <w:vertAlign w:val="subscript"/>
                <w14:textFill>
                  <w14:solidFill>
                    <w14:schemeClr w14:val="tx1"/>
                  </w14:solidFill>
                </w14:textFill>
              </w:rPr>
              <w:t>本项目</w:t>
            </w:r>
            <w:r>
              <w:rPr>
                <w:rFonts w:hint="eastAsia" w:ascii="Times New Roman" w:hAnsi="Times New Roman"/>
                <w:color w:val="000000" w:themeColor="text1"/>
                <w:sz w:val="18"/>
                <w14:textFill>
                  <w14:solidFill>
                    <w14:schemeClr w14:val="tx1"/>
                  </w14:solidFill>
                </w14:textFill>
              </w:rPr>
              <w:t>最大占标率</w:t>
            </w:r>
            <w:r>
              <w:rPr>
                <w:rFonts w:ascii="Times New Roman" w:hAnsi="Times New Roman"/>
                <w:color w:val="000000" w:themeColor="text1"/>
                <w:sz w:val="18"/>
                <w14:textFill>
                  <w14:solidFill>
                    <w14:schemeClr w14:val="tx1"/>
                  </w14:solidFill>
                </w14:textFill>
              </w:rPr>
              <w:t>&gt;30%□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非正常</w:t>
            </w:r>
            <w:r>
              <w:rPr>
                <w:rFonts w:ascii="Times New Roman" w:hAnsi="Times New Roman"/>
                <w:color w:val="000000" w:themeColor="text1"/>
                <w:sz w:val="18"/>
                <w14:textFill>
                  <w14:solidFill>
                    <w14:schemeClr w14:val="tx1"/>
                  </w14:solidFill>
                </w14:textFill>
              </w:rPr>
              <w:t>1h</w:t>
            </w:r>
            <w:r>
              <w:rPr>
                <w:rFonts w:hint="eastAsia" w:ascii="Times New Roman" w:hAnsi="Times New Roman"/>
                <w:color w:val="000000" w:themeColor="text1"/>
                <w:sz w:val="18"/>
                <w14:textFill>
                  <w14:solidFill>
                    <w14:schemeClr w14:val="tx1"/>
                  </w14:solidFill>
                </w14:textFill>
              </w:rPr>
              <w:t>浓度贡献值</w:t>
            </w:r>
          </w:p>
        </w:tc>
        <w:tc>
          <w:tcPr>
            <w:tcW w:w="2578" w:type="dxa"/>
            <w:gridSpan w:val="5"/>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非正常持续时长</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 ）</w:t>
            </w:r>
            <w:r>
              <w:rPr>
                <w:rFonts w:ascii="Times New Roman" w:hAnsi="Times New Roman"/>
                <w:color w:val="000000" w:themeColor="text1"/>
                <w:sz w:val="18"/>
                <w14:textFill>
                  <w14:solidFill>
                    <w14:schemeClr w14:val="tx1"/>
                  </w14:solidFill>
                </w14:textFill>
              </w:rPr>
              <w:t>h</w:t>
            </w:r>
          </w:p>
        </w:tc>
        <w:tc>
          <w:tcPr>
            <w:tcW w:w="1980" w:type="dxa"/>
            <w:gridSpan w:val="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C</w:t>
            </w:r>
            <w:r>
              <w:rPr>
                <w:rFonts w:hint="eastAsia" w:ascii="Times New Roman" w:hAnsi="Times New Roman"/>
                <w:color w:val="000000" w:themeColor="text1"/>
                <w:sz w:val="18"/>
                <w:vertAlign w:val="subscript"/>
                <w14:textFill>
                  <w14:solidFill>
                    <w14:schemeClr w14:val="tx1"/>
                  </w14:solidFill>
                </w14:textFill>
              </w:rPr>
              <w:t>非正常</w:t>
            </w:r>
            <w:r>
              <w:rPr>
                <w:rFonts w:hint="eastAsia" w:ascii="Times New Roman" w:hAnsi="Times New Roman"/>
                <w:color w:val="000000" w:themeColor="text1"/>
                <w:sz w:val="18"/>
                <w14:textFill>
                  <w14:solidFill>
                    <w14:schemeClr w14:val="tx1"/>
                  </w14:solidFill>
                </w14:textFill>
              </w:rPr>
              <w:t>占标率</w:t>
            </w:r>
            <w:r>
              <w:rPr>
                <w:rFonts w:ascii="Times New Roman" w:hAnsi="Times New Roman"/>
                <w:color w:val="000000" w:themeColor="text1"/>
                <w:sz w:val="18"/>
                <w14:textFill>
                  <w14:solidFill>
                    <w14:schemeClr w14:val="tx1"/>
                  </w14:solidFill>
                </w14:textFill>
              </w:rPr>
              <w:t>≤100%</w:t>
            </w:r>
            <w:r>
              <w:rPr>
                <w:rFonts w:ascii="Times New Roman" w:hAnsi="Times New Roman"/>
                <w:color w:val="000000" w:themeColor="text1"/>
                <w:sz w:val="18"/>
                <w14:textFill>
                  <w14:solidFill>
                    <w14:schemeClr w14:val="tx1"/>
                  </w14:solidFill>
                </w14:textFill>
              </w:rPr>
              <w:sym w:font="Wingdings 2" w:char="0052"/>
            </w:r>
            <w:r>
              <w:rPr>
                <w:rFonts w:ascii="Times New Roman" w:hAnsi="Times New Roman"/>
                <w:color w:val="000000" w:themeColor="text1"/>
                <w:sz w:val="18"/>
                <w14:textFill>
                  <w14:solidFill>
                    <w14:schemeClr w14:val="tx1"/>
                  </w14:solidFill>
                </w14:textFill>
              </w:rPr>
              <w:t xml:space="preserve"> </w:t>
            </w:r>
          </w:p>
        </w:tc>
        <w:tc>
          <w:tcPr>
            <w:tcW w:w="2519"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C</w:t>
            </w:r>
            <w:r>
              <w:rPr>
                <w:rFonts w:hint="eastAsia" w:ascii="Times New Roman" w:hAnsi="Times New Roman"/>
                <w:color w:val="000000" w:themeColor="text1"/>
                <w:sz w:val="18"/>
                <w:vertAlign w:val="subscript"/>
                <w14:textFill>
                  <w14:solidFill>
                    <w14:schemeClr w14:val="tx1"/>
                  </w14:solidFill>
                </w14:textFill>
              </w:rPr>
              <w:t>非正常</w:t>
            </w:r>
            <w:r>
              <w:rPr>
                <w:rFonts w:hint="eastAsia" w:ascii="Times New Roman" w:hAnsi="Times New Roman"/>
                <w:color w:val="000000" w:themeColor="text1"/>
                <w:sz w:val="18"/>
                <w14:textFill>
                  <w14:solidFill>
                    <w14:schemeClr w14:val="tx1"/>
                  </w14:solidFill>
                </w14:textFill>
              </w:rPr>
              <w:t>占标率</w:t>
            </w:r>
            <w:r>
              <w:rPr>
                <w:rFonts w:ascii="Times New Roman" w:hAnsi="Times New Roman"/>
                <w:color w:val="000000" w:themeColor="text1"/>
                <w:sz w:val="18"/>
                <w14:textFill>
                  <w14:solidFill>
                    <w14:schemeClr w14:val="tx1"/>
                  </w14:solidFill>
                </w14:textFill>
              </w:rPr>
              <w:t>&gt;100%</w:t>
            </w:r>
            <w:r>
              <w:rPr>
                <w:rFonts w:ascii="Times New Roman" w:hAnsi="Times New Roman"/>
                <w:color w:val="000000" w:themeColor="text1"/>
                <w:sz w:val="18"/>
                <w14:textFill>
                  <w14:solidFill>
                    <w14:schemeClr w14:val="tx1"/>
                  </w14:solidFill>
                </w14:textFill>
              </w:rPr>
              <w:sym w:font="Times New Roman" w:char="F052"/>
            </w:r>
            <w:r>
              <w:rPr>
                <w:rFonts w:ascii="Times New Roman" w:hAnsi="Times New Roman"/>
                <w:color w:val="000000" w:themeColor="text1"/>
                <w:sz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保证率日平均浓度和年平均浓度叠加值</w:t>
            </w:r>
            <w:r>
              <w:rPr>
                <w:rFonts w:ascii="Times New Roman" w:hAnsi="Times New Roman"/>
                <w:color w:val="000000" w:themeColor="text1"/>
                <w:sz w:val="18"/>
                <w14:textFill>
                  <w14:solidFill>
                    <w14:schemeClr w14:val="tx1"/>
                  </w14:solidFill>
                </w14:textFill>
              </w:rPr>
              <w:t xml:space="preserve"> </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C </w:t>
            </w:r>
            <w:r>
              <w:rPr>
                <w:rFonts w:hint="eastAsia" w:ascii="Times New Roman" w:hAnsi="Times New Roman"/>
                <w:color w:val="000000" w:themeColor="text1"/>
                <w:sz w:val="18"/>
                <w:vertAlign w:val="subscript"/>
                <w14:textFill>
                  <w14:solidFill>
                    <w14:schemeClr w14:val="tx1"/>
                  </w14:solidFill>
                </w14:textFill>
              </w:rPr>
              <w:t>叠加</w:t>
            </w:r>
            <w:r>
              <w:rPr>
                <w:rFonts w:hint="eastAsia" w:ascii="Times New Roman" w:hAnsi="Times New Roman"/>
                <w:color w:val="000000" w:themeColor="text1"/>
                <w:sz w:val="18"/>
                <w14:textFill>
                  <w14:solidFill>
                    <w14:schemeClr w14:val="tx1"/>
                  </w14:solidFill>
                </w14:textFill>
              </w:rPr>
              <w:t>达标</w:t>
            </w:r>
            <w:r>
              <w:rPr>
                <w:rFonts w:ascii="Times New Roman" w:hAnsi="Times New Roman"/>
                <w:color w:val="000000" w:themeColor="text1"/>
                <w:sz w:val="18"/>
                <w14:textFill>
                  <w14:solidFill>
                    <w14:schemeClr w14:val="tx1"/>
                  </w14:solidFill>
                </w14:textFill>
              </w:rPr>
              <w:sym w:font="Wingdings 2" w:char="00A3"/>
            </w:r>
            <w:r>
              <w:rPr>
                <w:rFonts w:ascii="Times New Roman" w:hAnsi="Times New Roman"/>
                <w:color w:val="000000" w:themeColor="text1"/>
                <w:sz w:val="18"/>
                <w14:textFill>
                  <w14:solidFill>
                    <w14:schemeClr w14:val="tx1"/>
                  </w14:solidFill>
                </w14:textFill>
              </w:rPr>
              <w:t xml:space="preserve"> </w:t>
            </w:r>
          </w:p>
        </w:tc>
        <w:tc>
          <w:tcPr>
            <w:tcW w:w="4499" w:type="dxa"/>
            <w:gridSpan w:val="9"/>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 xml:space="preserve">C </w:t>
            </w:r>
            <w:r>
              <w:rPr>
                <w:rFonts w:hint="eastAsia" w:ascii="Times New Roman" w:hAnsi="Times New Roman"/>
                <w:color w:val="000000" w:themeColor="text1"/>
                <w:sz w:val="18"/>
                <w:vertAlign w:val="subscript"/>
                <w14:textFill>
                  <w14:solidFill>
                    <w14:schemeClr w14:val="tx1"/>
                  </w14:solidFill>
                </w14:textFill>
              </w:rPr>
              <w:t>叠加</w:t>
            </w:r>
            <w:r>
              <w:rPr>
                <w:rFonts w:hint="eastAsia" w:ascii="Times New Roman" w:hAnsi="Times New Roman"/>
                <w:color w:val="000000" w:themeColor="text1"/>
                <w:sz w:val="18"/>
                <w14:textFill>
                  <w14:solidFill>
                    <w14:schemeClr w14:val="tx1"/>
                  </w14:solidFill>
                </w14:textFill>
              </w:rPr>
              <w:t>不达标</w:t>
            </w:r>
            <w:r>
              <w:rPr>
                <w:rFonts w:ascii="Times New Roman" w:hAnsi="Times New Roman"/>
                <w:color w:val="000000" w:themeColor="text1"/>
                <w:sz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区域环境质量的整体变化情况</w:t>
            </w:r>
            <w:r>
              <w:rPr>
                <w:rFonts w:ascii="Times New Roman" w:hAnsi="Times New Roman"/>
                <w:color w:val="000000" w:themeColor="text1"/>
                <w:sz w:val="18"/>
                <w14:textFill>
                  <w14:solidFill>
                    <w14:schemeClr w14:val="tx1"/>
                  </w14:solidFill>
                </w14:textFill>
              </w:rPr>
              <w:t xml:space="preserve"> </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k≤-20% □</w:t>
            </w:r>
          </w:p>
        </w:tc>
        <w:tc>
          <w:tcPr>
            <w:tcW w:w="4499" w:type="dxa"/>
            <w:gridSpan w:val="9"/>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k&gt;-20%□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restart"/>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环境监测计划</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污染源监测</w:t>
            </w:r>
            <w:r>
              <w:rPr>
                <w:rFonts w:ascii="Times New Roman" w:hAnsi="Times New Roman"/>
                <w:color w:val="000000" w:themeColor="text1"/>
                <w:sz w:val="18"/>
                <w14:textFill>
                  <w14:solidFill>
                    <w14:schemeClr w14:val="tx1"/>
                  </w14:solidFill>
                </w14:textFill>
              </w:rPr>
              <w:t xml:space="preserve"> </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监测因子：氟化物、HCl</w:t>
            </w:r>
            <w:r>
              <w:rPr>
                <w:rFonts w:hint="eastAsia" w:ascii="Times New Roman" w:hAnsi="Times New Roman"/>
                <w:color w:val="000000" w:themeColor="text1"/>
                <w:kern w:val="0"/>
                <w:sz w:val="18"/>
                <w:szCs w:val="18"/>
                <w14:textFill>
                  <w14:solidFill>
                    <w14:schemeClr w14:val="tx1"/>
                  </w14:solidFill>
                </w14:textFill>
              </w:rPr>
              <w:t>、颗粒物</w:t>
            </w:r>
          </w:p>
        </w:tc>
        <w:tc>
          <w:tcPr>
            <w:tcW w:w="1980" w:type="dxa"/>
            <w:gridSpan w:val="4"/>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有组织废气监测</w:t>
            </w:r>
            <w:r>
              <w:rPr>
                <w:rFonts w:ascii="Times New Roman" w:hAnsi="Times New Roman"/>
                <w:color w:val="000000" w:themeColor="text1"/>
                <w:sz w:val="18"/>
                <w14:textFill>
                  <w14:solidFill>
                    <w14:schemeClr w14:val="tx1"/>
                  </w14:solidFill>
                </w14:textFill>
              </w:rPr>
              <w:sym w:font="Wingdings 2" w:char="0052"/>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无组织废气监测</w:t>
            </w:r>
            <w:r>
              <w:rPr>
                <w:rFonts w:ascii="Times New Roman" w:hAnsi="Times New Roman"/>
                <w:color w:val="000000" w:themeColor="text1"/>
                <w:sz w:val="18"/>
                <w14:textFill>
                  <w14:solidFill>
                    <w14:schemeClr w14:val="tx1"/>
                  </w14:solidFill>
                </w14:textFill>
              </w:rPr>
              <w:sym w:font="Wingdings 2" w:char="0052"/>
            </w:r>
          </w:p>
        </w:tc>
        <w:tc>
          <w:tcPr>
            <w:tcW w:w="2519"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无监测</w:t>
            </w:r>
            <w:r>
              <w:rPr>
                <w:rFonts w:ascii="Times New Roman" w:hAnsi="Times New Roman"/>
                <w:color w:val="000000" w:themeColor="text1"/>
                <w:sz w:val="18"/>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环境质量</w:t>
            </w:r>
          </w:p>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监测</w:t>
            </w:r>
          </w:p>
        </w:tc>
        <w:tc>
          <w:tcPr>
            <w:tcW w:w="2578"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监测因子：</w:t>
            </w:r>
          </w:p>
        </w:tc>
        <w:tc>
          <w:tcPr>
            <w:tcW w:w="1980" w:type="dxa"/>
            <w:gridSpan w:val="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监测点位数（）</w:t>
            </w:r>
            <w:r>
              <w:rPr>
                <w:rFonts w:ascii="Times New Roman" w:hAnsi="Times New Roman"/>
                <w:color w:val="000000" w:themeColor="text1"/>
                <w:sz w:val="18"/>
                <w14:textFill>
                  <w14:solidFill>
                    <w14:schemeClr w14:val="tx1"/>
                  </w14:solidFill>
                </w14:textFill>
              </w:rPr>
              <w:t xml:space="preserve"> </w:t>
            </w:r>
          </w:p>
        </w:tc>
        <w:tc>
          <w:tcPr>
            <w:tcW w:w="2519" w:type="dxa"/>
            <w:gridSpan w:val="5"/>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无监测</w:t>
            </w:r>
            <w:r>
              <w:rPr>
                <w:rFonts w:ascii="Times New Roman" w:hAnsi="Times New Roman"/>
                <w:color w:val="000000" w:themeColor="text1"/>
                <w:sz w:val="18"/>
                <w14:textFill>
                  <w14:solidFill>
                    <w14:schemeClr w14:val="tx1"/>
                  </w14:solidFill>
                </w14:textFill>
              </w:rPr>
              <w:sym w:font="Wingdings 2" w:char="0052"/>
            </w:r>
            <w:r>
              <w:rPr>
                <w:rFonts w:ascii="Times New Roman" w:hAnsi="Times New Roman"/>
                <w:color w:val="000000" w:themeColor="text1"/>
                <w:sz w:val="18"/>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restart"/>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评价结论</w:t>
            </w: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环境影响</w:t>
            </w:r>
          </w:p>
        </w:tc>
        <w:tc>
          <w:tcPr>
            <w:tcW w:w="7077" w:type="dxa"/>
            <w:gridSpan w:val="1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可以接受</w:t>
            </w:r>
            <w:r>
              <w:rPr>
                <w:rFonts w:ascii="Times New Roman" w:hAnsi="Times New Roman"/>
                <w:color w:val="000000" w:themeColor="text1"/>
                <w:sz w:val="18"/>
                <w14:textFill>
                  <w14:solidFill>
                    <w14:schemeClr w14:val="tx1"/>
                  </w14:solidFill>
                </w14:textFill>
              </w:rPr>
              <w:sym w:font="Wingdings 2" w:char="0052"/>
            </w:r>
            <w:r>
              <w:rPr>
                <w:rFonts w:ascii="Times New Roman" w:hAnsi="Times New Roman"/>
                <w:color w:val="000000" w:themeColor="text1"/>
                <w:sz w:val="18"/>
                <w14:textFill>
                  <w14:solidFill>
                    <w14:schemeClr w14:val="tx1"/>
                  </w14:solidFill>
                </w14:textFill>
              </w:rPr>
              <w:t xml:space="preserve"> </w:t>
            </w:r>
            <w:r>
              <w:rPr>
                <w:rFonts w:ascii="Times New Roman" w:hAnsi="Times New Roman"/>
                <w:color w:val="000000" w:themeColor="text1"/>
                <w:sz w:val="18"/>
                <w14:textFill>
                  <w14:solidFill>
                    <w14:schemeClr w14:val="tx1"/>
                  </w14:solidFill>
                </w14:textFill>
              </w:rPr>
              <w:sym w:font="Times New Roman" w:char="F052"/>
            </w:r>
            <w:r>
              <w:rPr>
                <w:rFonts w:ascii="Times New Roman" w:hAnsi="Times New Roman"/>
                <w:color w:val="000000" w:themeColor="text1"/>
                <w:sz w:val="18"/>
                <w14:textFill>
                  <w14:solidFill>
                    <w14:schemeClr w14:val="tx1"/>
                  </w14:solidFill>
                </w14:textFill>
              </w:rPr>
              <w:t xml:space="preserve"> </w:t>
            </w:r>
            <w:r>
              <w:rPr>
                <w:rFonts w:hint="eastAsia" w:ascii="Times New Roman" w:hAnsi="Times New Roman"/>
                <w:color w:val="000000" w:themeColor="text1"/>
                <w:sz w:val="18"/>
                <w14:textFill>
                  <w14:solidFill>
                    <w14:schemeClr w14:val="tx1"/>
                  </w14:solidFill>
                </w14:textFill>
              </w:rPr>
              <w:t>不可以接受</w:t>
            </w:r>
            <w:r>
              <w:rPr>
                <w:rFonts w:ascii="Times New Roman" w:hAnsi="Times New Roman"/>
                <w:color w:val="000000" w:themeColor="text1"/>
                <w:sz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大气环境防护距离</w:t>
            </w:r>
          </w:p>
        </w:tc>
        <w:tc>
          <w:tcPr>
            <w:tcW w:w="7077" w:type="dxa"/>
            <w:gridSpan w:val="1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无需设置大气环境防护距离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05" w:type="dxa"/>
            <w:vMerge w:val="continue"/>
            <w:vAlign w:val="center"/>
          </w:tcPr>
          <w:p>
            <w:pPr>
              <w:rPr>
                <w:rFonts w:ascii="Times New Roman" w:hAnsi="Times New Roman"/>
                <w:color w:val="000000" w:themeColor="text1"/>
                <w:sz w:val="18"/>
                <w14:textFill>
                  <w14:solidFill>
                    <w14:schemeClr w14:val="tx1"/>
                  </w14:solidFill>
                </w14:textFill>
              </w:rPr>
            </w:pPr>
          </w:p>
        </w:tc>
        <w:tc>
          <w:tcPr>
            <w:tcW w:w="1318" w:type="dxa"/>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污染源年排放量</w:t>
            </w:r>
          </w:p>
        </w:tc>
        <w:tc>
          <w:tcPr>
            <w:tcW w:w="1965" w:type="dxa"/>
            <w:gridSpan w:val="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颗粒物</w:t>
            </w:r>
            <w:r>
              <w:rPr>
                <w:rFonts w:ascii="Times New Roman" w:hAnsi="Times New Roman"/>
                <w:color w:val="000000" w:themeColor="text1"/>
                <w:sz w:val="18"/>
                <w14:textFill>
                  <w14:solidFill>
                    <w14:schemeClr w14:val="tx1"/>
                  </w14:solidFill>
                </w14:textFill>
              </w:rPr>
              <w:t>(</w:t>
            </w:r>
            <w:r>
              <w:rPr>
                <w:rFonts w:hint="eastAsia" w:ascii="Times New Roman" w:hAnsi="Times New Roman"/>
                <w:color w:val="000000" w:themeColor="text1"/>
                <w:sz w:val="18"/>
                <w14:textFill>
                  <w14:solidFill>
                    <w14:schemeClr w14:val="tx1"/>
                  </w14:solidFill>
                </w14:textFill>
              </w:rPr>
              <w:t>0.741</w:t>
            </w:r>
            <w:r>
              <w:rPr>
                <w:rFonts w:ascii="Times New Roman" w:hAnsi="Times New Roman"/>
                <w:color w:val="000000" w:themeColor="text1"/>
                <w:sz w:val="18"/>
                <w14:textFill>
                  <w14:solidFill>
                    <w14:schemeClr w14:val="tx1"/>
                  </w14:solidFill>
                </w14:textFill>
              </w:rPr>
              <w:t>)t/a</w:t>
            </w:r>
          </w:p>
        </w:tc>
        <w:tc>
          <w:tcPr>
            <w:tcW w:w="2115" w:type="dxa"/>
            <w:gridSpan w:val="4"/>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氟化物</w:t>
            </w:r>
            <w:r>
              <w:rPr>
                <w:rFonts w:ascii="Times New Roman" w:hAnsi="Times New Roman"/>
                <w:color w:val="000000" w:themeColor="text1"/>
                <w:sz w:val="18"/>
                <w14:textFill>
                  <w14:solidFill>
                    <w14:schemeClr w14:val="tx1"/>
                  </w14:solidFill>
                </w14:textFill>
              </w:rPr>
              <w:t>(</w:t>
            </w:r>
            <w:r>
              <w:rPr>
                <w:rFonts w:hint="eastAsia" w:ascii="Times New Roman" w:hAnsi="Times New Roman"/>
                <w:color w:val="000000" w:themeColor="text1"/>
                <w:sz w:val="18"/>
                <w14:textFill>
                  <w14:solidFill>
                    <w14:schemeClr w14:val="tx1"/>
                  </w14:solidFill>
                </w14:textFill>
              </w:rPr>
              <w:t>0.008416</w:t>
            </w:r>
            <w:r>
              <w:rPr>
                <w:rFonts w:ascii="Times New Roman" w:hAnsi="Times New Roman"/>
                <w:color w:val="000000" w:themeColor="text1"/>
                <w:sz w:val="18"/>
                <w14:textFill>
                  <w14:solidFill>
                    <w14:schemeClr w14:val="tx1"/>
                  </w14:solidFill>
                </w14:textFill>
              </w:rPr>
              <w:t>)t/a</w:t>
            </w:r>
          </w:p>
        </w:tc>
        <w:tc>
          <w:tcPr>
            <w:tcW w:w="2997" w:type="dxa"/>
            <w:gridSpan w:val="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HCl（</w:t>
            </w:r>
            <w:r>
              <w:rPr>
                <w:rFonts w:hint="eastAsia" w:ascii="Times New Roman" w:hAnsi="Times New Roman"/>
                <w:bCs/>
                <w:color w:val="000000" w:themeColor="text1"/>
                <w:sz w:val="18"/>
                <w:szCs w:val="18"/>
                <w14:textFill>
                  <w14:solidFill>
                    <w14:schemeClr w14:val="tx1"/>
                  </w14:solidFill>
                </w14:textFill>
              </w:rPr>
              <w:t>0.00003186</w:t>
            </w:r>
            <w:r>
              <w:rPr>
                <w:rFonts w:ascii="Times New Roman" w:hAnsi="Times New Roman"/>
                <w:color w:val="000000" w:themeColor="text1"/>
                <w:sz w:val="18"/>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00" w:type="dxa"/>
            <w:gridSpan w:val="16"/>
            <w:vAlign w:val="center"/>
          </w:tcPr>
          <w:p>
            <w:pPr>
              <w:tabs>
                <w:tab w:val="left" w:pos="0"/>
              </w:tabs>
              <w:snapToGrid w:val="0"/>
              <w:jc w:val="center"/>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注：</w:t>
            </w:r>
            <w:r>
              <w:rPr>
                <w:rFonts w:ascii="Times New Roman" w:hAnsi="Times New Roman"/>
                <w:color w:val="000000" w:themeColor="text1"/>
                <w:sz w:val="18"/>
                <w14:textFill>
                  <w14:solidFill>
                    <w14:schemeClr w14:val="tx1"/>
                  </w14:solidFill>
                </w14:textFill>
              </w:rPr>
              <w:t>“□”</w:t>
            </w:r>
            <w:r>
              <w:rPr>
                <w:rFonts w:hint="eastAsia" w:ascii="Times New Roman" w:hAnsi="Times New Roman"/>
                <w:color w:val="000000" w:themeColor="text1"/>
                <w:sz w:val="18"/>
                <w14:textFill>
                  <w14:solidFill>
                    <w14:schemeClr w14:val="tx1"/>
                  </w14:solidFill>
                </w14:textFill>
              </w:rPr>
              <w:t>，填</w:t>
            </w:r>
            <w:r>
              <w:rPr>
                <w:rFonts w:ascii="Times New Roman" w:hAnsi="Times New Roman"/>
                <w:color w:val="000000" w:themeColor="text1"/>
                <w:sz w:val="18"/>
                <w14:textFill>
                  <w14:solidFill>
                    <w14:schemeClr w14:val="tx1"/>
                  </w14:solidFill>
                </w14:textFill>
              </w:rPr>
              <w:t>“√”</w:t>
            </w:r>
            <w:r>
              <w:rPr>
                <w:rFonts w:hint="eastAsia" w:ascii="Times New Roman" w:hAnsi="Times New Roman"/>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w:t>
            </w:r>
            <w:r>
              <w:rPr>
                <w:rFonts w:hint="eastAsia" w:ascii="Times New Roman" w:hAnsi="Times New Roman"/>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 xml:space="preserve"> </w:t>
            </w:r>
            <w:r>
              <w:rPr>
                <w:rFonts w:hint="eastAsia" w:ascii="Times New Roman" w:hAnsi="Times New Roman"/>
                <w:color w:val="000000" w:themeColor="text1"/>
                <w:sz w:val="18"/>
                <w14:textFill>
                  <w14:solidFill>
                    <w14:schemeClr w14:val="tx1"/>
                  </w14:solidFill>
                </w14:textFill>
              </w:rPr>
              <w:t>）</w:t>
            </w:r>
            <w:r>
              <w:rPr>
                <w:rFonts w:ascii="Times New Roman" w:hAnsi="Times New Roman"/>
                <w:color w:val="000000" w:themeColor="text1"/>
                <w:sz w:val="18"/>
                <w14:textFill>
                  <w14:solidFill>
                    <w14:schemeClr w14:val="tx1"/>
                  </w14:solidFill>
                </w14:textFill>
              </w:rPr>
              <w:t>”</w:t>
            </w:r>
            <w:r>
              <w:rPr>
                <w:rFonts w:hint="eastAsia" w:ascii="Times New Roman" w:hAnsi="Times New Roman"/>
                <w:color w:val="000000" w:themeColor="text1"/>
                <w:sz w:val="18"/>
                <w14:textFill>
                  <w14:solidFill>
                    <w14:schemeClr w14:val="tx1"/>
                  </w14:solidFill>
                </w14:textFill>
              </w:rPr>
              <w:t>为内容填写项</w:t>
            </w:r>
          </w:p>
        </w:tc>
      </w:tr>
    </w:tbl>
    <w:p>
      <w:pPr>
        <w:pStyle w:val="385"/>
        <w:adjustRightInd w:val="0"/>
        <w:snapToGrid w:val="0"/>
        <w:spacing w:line="520" w:lineRule="exact"/>
        <w:ind w:firstLine="2650" w:firstLineChars="1100"/>
        <w:rPr>
          <w:b/>
          <w:bCs/>
          <w:snapToGrid w:val="0"/>
          <w:color w:val="000000" w:themeColor="text1"/>
          <w14:textFill>
            <w14:solidFill>
              <w14:schemeClr w14:val="tx1"/>
            </w14:solidFill>
          </w14:textFill>
        </w:rPr>
      </w:pPr>
    </w:p>
    <w:p>
      <w:pPr>
        <w:pStyle w:val="385"/>
        <w:adjustRightInd w:val="0"/>
        <w:snapToGrid w:val="0"/>
        <w:spacing w:line="520" w:lineRule="exact"/>
        <w:ind w:firstLine="0" w:firstLineChars="0"/>
        <w:rPr>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pPr>
    </w:p>
    <w:p>
      <w:pPr>
        <w:pStyle w:val="385"/>
        <w:adjustRightInd w:val="0"/>
        <w:snapToGrid w:val="0"/>
        <w:spacing w:line="520" w:lineRule="exact"/>
        <w:ind w:firstLine="480"/>
        <w:rPr>
          <w:snapToGrid w:val="0"/>
          <w:color w:val="000000" w:themeColor="text1"/>
          <w14:textFill>
            <w14:solidFill>
              <w14:schemeClr w14:val="tx1"/>
            </w14:solidFill>
          </w14:textFill>
        </w:rPr>
        <w:sectPr>
          <w:pgSz w:w="11910" w:h="16840"/>
          <w:pgMar w:top="1380" w:right="1120" w:bottom="1440" w:left="1280" w:header="1060" w:footer="1246" w:gutter="0"/>
          <w:pgBorders>
            <w:top w:val="none" w:sz="0" w:space="0"/>
            <w:left w:val="none" w:sz="0" w:space="0"/>
            <w:bottom w:val="none" w:sz="0" w:space="0"/>
            <w:right w:val="none" w:sz="0" w:space="0"/>
          </w:pgBorders>
          <w:cols w:space="720" w:num="1"/>
        </w:sect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8"/>
          <w:szCs w:val="28"/>
          <w14:textFill>
            <w14:solidFill>
              <w14:schemeClr w14:val="tx1"/>
            </w14:solidFill>
          </w14:textFill>
        </w:rPr>
      </w:pPr>
      <w:bookmarkStart w:id="428" w:name="_Toc30313"/>
      <w:bookmarkStart w:id="429" w:name="_Toc17876"/>
      <w:r>
        <w:rPr>
          <w:rFonts w:hint="eastAsia" w:ascii="Times New Roman" w:hAnsi="Times New Roman" w:eastAsia="黑体"/>
          <w:b/>
          <w:color w:val="000000" w:themeColor="text1"/>
          <w:sz w:val="28"/>
          <w:szCs w:val="28"/>
          <w:lang w:val="en-US" w:eastAsia="zh-CN"/>
          <w14:textFill>
            <w14:solidFill>
              <w14:schemeClr w14:val="tx1"/>
            </w14:solidFill>
          </w14:textFill>
        </w:rPr>
        <w:t>6</w:t>
      </w:r>
      <w:r>
        <w:rPr>
          <w:rFonts w:hint="eastAsia" w:ascii="Times New Roman" w:hAnsi="Times New Roman" w:eastAsia="黑体"/>
          <w:b/>
          <w:color w:val="000000" w:themeColor="text1"/>
          <w:sz w:val="28"/>
          <w:szCs w:val="28"/>
          <w14:textFill>
            <w14:solidFill>
              <w14:schemeClr w14:val="tx1"/>
            </w14:solidFill>
          </w14:textFill>
        </w:rPr>
        <w:t>.2.3地表水环境影响评价</w:t>
      </w:r>
      <w:bookmarkEnd w:id="428"/>
      <w:bookmarkEnd w:id="429"/>
    </w:p>
    <w:p>
      <w:pPr>
        <w:pStyle w:val="380"/>
        <w:adjustRightInd w:val="0"/>
        <w:snapToGrid w:val="0"/>
        <w:spacing w:before="48" w:beforeLines="20" w:after="48" w:afterLines="20" w:line="520" w:lineRule="exact"/>
        <w:ind w:firstLine="480"/>
        <w:jc w:val="left"/>
        <w:outlineLvl w:val="2"/>
        <w:rPr>
          <w:rFonts w:ascii="Times New Roman" w:hAnsi="Times New Roman" w:eastAsia="黑体"/>
          <w:b/>
          <w:color w:val="000000" w:themeColor="text1"/>
          <w:sz w:val="28"/>
          <w:szCs w:val="28"/>
          <w14:textFill>
            <w14:solidFill>
              <w14:schemeClr w14:val="tx1"/>
            </w14:solidFill>
          </w14:textFill>
        </w:rPr>
      </w:pPr>
      <w:bookmarkStart w:id="430" w:name="_Toc3792"/>
      <w:bookmarkStart w:id="431" w:name="_Toc22865"/>
      <w:r>
        <w:rPr>
          <w:rFonts w:ascii="Times New Roman" w:hAnsi="Times New Roman"/>
          <w:bCs/>
          <w:color w:val="000000" w:themeColor="text1"/>
          <w:sz w:val="24"/>
          <w:szCs w:val="24"/>
          <w14:textFill>
            <w14:solidFill>
              <w14:schemeClr w14:val="tx1"/>
            </w14:solidFill>
          </w14:textFill>
        </w:rPr>
        <w:t>根据《环境影响评价技术导则-地表水环境》（HJ2.3-2018）中的分级原则与依据， 本项目水环境评价工作等级为三级B。根据导则要求，三级B可不进行水环境影响预测。本次评价中简要说明所排放的污染物类型和数量、给排水状况、排水去向等，并进行一些简单的环境影响分析。</w:t>
      </w:r>
      <w:bookmarkEnd w:id="430"/>
      <w:bookmarkEnd w:id="431"/>
    </w:p>
    <w:p>
      <w:pPr>
        <w:pStyle w:val="385"/>
        <w:numPr>
          <w:ilvl w:val="0"/>
          <w:numId w:val="35"/>
        </w:numPr>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废水产生情况及处理排放途径</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本项目外排废水为生活污水，生活污水产生量为1.92m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/d（576m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/a）。该部分生活污水通过化粪池处理达到《污水综合排放标准》(GB8978-1996)中三级标准后经园区污水管网排入三板湖污水处理厂。离心洗涤废水</w:t>
      </w:r>
      <w:r>
        <w:rPr>
          <w:rFonts w:cs="Times New Roman"/>
          <w:color w:val="000000" w:themeColor="text1"/>
          <w14:textFill>
            <w14:solidFill>
              <w14:schemeClr w14:val="tx1"/>
            </w14:solidFill>
          </w14:textFill>
        </w:rPr>
        <w:t>经母液槽最终进入中和槽回用于生产，不外排</w:t>
      </w:r>
      <w:r>
        <w:rPr>
          <w:rFonts w:hint="eastAsia" w:cs="Times New Roman"/>
          <w:color w:val="000000" w:themeColor="text1"/>
          <w14:textFill>
            <w14:solidFill>
              <w14:schemeClr w14:val="tx1"/>
            </w14:solidFill>
          </w14:textFill>
        </w:rPr>
        <w:t>；尾气洗涤废液</w:t>
      </w:r>
      <w:r>
        <w:rPr>
          <w:rFonts w:cs="Times New Roman"/>
          <w:bCs/>
          <w:color w:val="000000" w:themeColor="text1"/>
          <w14:textFill>
            <w14:solidFill>
              <w14:schemeClr w14:val="tx1"/>
            </w14:solidFill>
          </w14:textFill>
        </w:rPr>
        <w:t>泵送至中和槽回用于生产，不外排</w:t>
      </w:r>
      <w:r>
        <w:rPr>
          <w:rFonts w:hint="eastAsia" w:cs="Times New Roman"/>
          <w:bCs/>
          <w:color w:val="000000" w:themeColor="text1"/>
          <w14:textFill>
            <w14:solidFill>
              <w14:schemeClr w14:val="tx1"/>
            </w14:solidFill>
          </w14:textFill>
        </w:rPr>
        <w:t>。</w:t>
      </w:r>
    </w:p>
    <w:p>
      <w:pPr>
        <w:pStyle w:val="385"/>
        <w:numPr>
          <w:ilvl w:val="0"/>
          <w:numId w:val="35"/>
        </w:numPr>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水污染控制和水环境影响减缓措施有效性评价</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本项目拟设置1座化粪池（处理能力5m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处理生活污水，处理能力可满足要求，根据工程分析本项目生活污水经化粪池处理后各污染物排放浓度可满足《污水综合排放标准》（GB8978-1996）中三级标准要求；尾气洗涤废液、离心洗涤废水进入系统回用于生产能够有效回收废水中的氟，避免含氟废水外排。因此，本项目废水处理措施可行。</w:t>
      </w:r>
    </w:p>
    <w:p>
      <w:pPr>
        <w:pStyle w:val="385"/>
        <w:numPr>
          <w:ilvl w:val="0"/>
          <w:numId w:val="35"/>
        </w:numPr>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依托污水处理设施可行性分析</w:t>
      </w:r>
    </w:p>
    <w:p>
      <w:pPr>
        <w:pStyle w:val="385"/>
        <w:adjustRightInd w:val="0"/>
        <w:snapToGrid w:val="0"/>
        <w:spacing w:line="520" w:lineRule="exact"/>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本项目所在区域位于三板湖污水处理厂纳污范围内，目前管网建设已对接至本项目区域。本项目生活废水经厂区化粪池预处理达到接管标准后排至三板湖污水处理厂。三板湖污水处理厂设计近期处理规模为3万m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/d，远期5万m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/d。本项目最大废水排放量为1.92m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排放水量极小。项目废水主要污染物为COD、BOD、SS、氨氮、总磷等，水质简单，经预处理后出水水质可满足《污水综合排放标准》（GB8978-1996）中三级标准，不会对三板湖污水处理厂正常运行产生较大影响。因此本项目生活污水经化粪池处理后由园区污水管网排入三板湖污水处理厂处理是可行的。</w:t>
      </w:r>
    </w:p>
    <w:p>
      <w:pPr>
        <w:pStyle w:val="385"/>
        <w:adjustRightInd w:val="0"/>
        <w:snapToGrid w:val="0"/>
        <w:spacing w:line="520" w:lineRule="exact"/>
        <w:ind w:firstLine="0" w:firstLineChars="0"/>
        <w:jc w:val="center"/>
        <w:rPr>
          <w:b/>
          <w:bCs/>
          <w:snapToGrid w:val="0"/>
          <w:color w:val="000000" w:themeColor="text1"/>
          <w14:textFill>
            <w14:solidFill>
              <w14:schemeClr w14:val="tx1"/>
            </w14:solidFill>
          </w14:textFill>
        </w:rPr>
      </w:pPr>
    </w:p>
    <w:p>
      <w:pPr>
        <w:pStyle w:val="385"/>
        <w:adjustRightInd w:val="0"/>
        <w:snapToGrid w:val="0"/>
        <w:spacing w:line="520" w:lineRule="exact"/>
        <w:ind w:firstLine="0" w:firstLineChars="0"/>
        <w:jc w:val="center"/>
        <w:rPr>
          <w:b/>
          <w:bCs/>
          <w:snapToGrid w:val="0"/>
          <w:color w:val="000000" w:themeColor="text1"/>
          <w14:textFill>
            <w14:solidFill>
              <w14:schemeClr w14:val="tx1"/>
            </w14:solidFill>
          </w14:textFill>
        </w:rPr>
      </w:pPr>
    </w:p>
    <w:p>
      <w:pPr>
        <w:pStyle w:val="385"/>
        <w:adjustRightInd w:val="0"/>
        <w:snapToGrid w:val="0"/>
        <w:spacing w:line="520" w:lineRule="exact"/>
        <w:ind w:firstLine="0" w:firstLineChars="0"/>
        <w:jc w:val="center"/>
        <w:rPr>
          <w:b/>
          <w:bCs/>
          <w:snapToGrid w:val="0"/>
          <w:color w:val="000000" w:themeColor="text1"/>
          <w14:textFill>
            <w14:solidFill>
              <w14:schemeClr w14:val="tx1"/>
            </w14:solidFill>
          </w14:textFill>
        </w:rPr>
      </w:pPr>
    </w:p>
    <w:p>
      <w:pPr>
        <w:pStyle w:val="385"/>
        <w:adjustRightInd w:val="0"/>
        <w:snapToGrid w:val="0"/>
        <w:spacing w:line="520" w:lineRule="exact"/>
        <w:ind w:firstLine="0" w:firstLineChars="0"/>
        <w:jc w:val="center"/>
        <w:rPr>
          <w:b/>
          <w:bCs/>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.2-18 废水类别、污染物及污染治理设施信息表</w:t>
      </w:r>
    </w:p>
    <w:tbl>
      <w:tblPr>
        <w:tblStyle w:val="87"/>
        <w:tblW w:w="907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850"/>
        <w:gridCol w:w="1356"/>
        <w:gridCol w:w="839"/>
        <w:gridCol w:w="1007"/>
        <w:gridCol w:w="855"/>
        <w:gridCol w:w="823"/>
        <w:gridCol w:w="1015"/>
        <w:gridCol w:w="780"/>
        <w:gridCol w:w="155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00" w:hRule="atLeast"/>
          <w:jc w:val="center"/>
        </w:trPr>
        <w:tc>
          <w:tcPr>
            <w:tcW w:w="850" w:type="dxa"/>
            <w:vMerge w:val="restart"/>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废水类别</w:t>
            </w:r>
          </w:p>
        </w:tc>
        <w:tc>
          <w:tcPr>
            <w:tcW w:w="1356" w:type="dxa"/>
            <w:vMerge w:val="restart"/>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污染物</w:t>
            </w:r>
          </w:p>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种类</w:t>
            </w:r>
          </w:p>
        </w:tc>
        <w:tc>
          <w:tcPr>
            <w:tcW w:w="839" w:type="dxa"/>
            <w:vMerge w:val="restart"/>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排放</w:t>
            </w:r>
          </w:p>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规律</w:t>
            </w:r>
          </w:p>
        </w:tc>
        <w:tc>
          <w:tcPr>
            <w:tcW w:w="2685" w:type="dxa"/>
            <w:gridSpan w:val="3"/>
            <w:tcBorders>
              <w:tl2br w:val="nil"/>
              <w:tr2bl w:val="nil"/>
            </w:tcBorders>
            <w:vAlign w:val="center"/>
          </w:tcPr>
          <w:p>
            <w:pPr>
              <w:ind w:firstLine="360" w:firstLineChars="200"/>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污染治理设施</w:t>
            </w:r>
          </w:p>
        </w:tc>
        <w:tc>
          <w:tcPr>
            <w:tcW w:w="1015" w:type="dxa"/>
            <w:vMerge w:val="restart"/>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排放口编号</w:t>
            </w:r>
          </w:p>
        </w:tc>
        <w:tc>
          <w:tcPr>
            <w:tcW w:w="780" w:type="dxa"/>
            <w:vMerge w:val="restart"/>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排放口设施是否符合要求</w:t>
            </w:r>
          </w:p>
        </w:tc>
        <w:tc>
          <w:tcPr>
            <w:tcW w:w="1551" w:type="dxa"/>
            <w:vMerge w:val="restart"/>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排放口类型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56" w:hRule="atLeast"/>
          <w:jc w:val="center"/>
        </w:trPr>
        <w:tc>
          <w:tcPr>
            <w:tcW w:w="850" w:type="dxa"/>
            <w:vMerge w:val="continue"/>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p>
        </w:tc>
        <w:tc>
          <w:tcPr>
            <w:tcW w:w="1356" w:type="dxa"/>
            <w:vMerge w:val="continue"/>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p>
        </w:tc>
        <w:tc>
          <w:tcPr>
            <w:tcW w:w="839" w:type="dxa"/>
            <w:vMerge w:val="continue"/>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p>
        </w:tc>
        <w:tc>
          <w:tcPr>
            <w:tcW w:w="1007"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污染治理设施编号</w:t>
            </w:r>
          </w:p>
        </w:tc>
        <w:tc>
          <w:tcPr>
            <w:tcW w:w="855"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污染治理设施名称</w:t>
            </w:r>
          </w:p>
        </w:tc>
        <w:tc>
          <w:tcPr>
            <w:tcW w:w="823"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污染治理设施工艺</w:t>
            </w:r>
          </w:p>
        </w:tc>
        <w:tc>
          <w:tcPr>
            <w:tcW w:w="1015" w:type="dxa"/>
            <w:vMerge w:val="continue"/>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p>
        </w:tc>
        <w:tc>
          <w:tcPr>
            <w:tcW w:w="780" w:type="dxa"/>
            <w:vMerge w:val="continue"/>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p>
        </w:tc>
        <w:tc>
          <w:tcPr>
            <w:tcW w:w="1551" w:type="dxa"/>
            <w:vMerge w:val="continue"/>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678" w:hRule="atLeast"/>
          <w:jc w:val="center"/>
        </w:trPr>
        <w:tc>
          <w:tcPr>
            <w:tcW w:w="850"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生活废水</w:t>
            </w:r>
          </w:p>
        </w:tc>
        <w:tc>
          <w:tcPr>
            <w:tcW w:w="1356"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COD</w:t>
            </w:r>
          </w:p>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BOD</w:t>
            </w:r>
            <w:r>
              <w:rPr>
                <w:rFonts w:ascii="Times New Roman" w:hAnsi="Times New Roman"/>
                <w:bCs/>
                <w:color w:val="000000" w:themeColor="text1"/>
                <w:sz w:val="18"/>
                <w:szCs w:val="18"/>
                <w:vertAlign w:val="subscript"/>
                <w14:textFill>
                  <w14:solidFill>
                    <w14:schemeClr w14:val="tx1"/>
                  </w14:solidFill>
                </w14:textFill>
              </w:rPr>
              <w:t>5</w:t>
            </w:r>
          </w:p>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SS</w:t>
            </w:r>
          </w:p>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NH</w:t>
            </w:r>
            <w:r>
              <w:rPr>
                <w:rFonts w:ascii="Times New Roman" w:hAnsi="Times New Roman"/>
                <w:bCs/>
                <w:color w:val="000000" w:themeColor="text1"/>
                <w:sz w:val="18"/>
                <w:szCs w:val="18"/>
                <w:vertAlign w:val="subscript"/>
                <w14:textFill>
                  <w14:solidFill>
                    <w14:schemeClr w14:val="tx1"/>
                  </w14:solidFill>
                </w14:textFill>
              </w:rPr>
              <w:t>3</w:t>
            </w:r>
            <w:r>
              <w:rPr>
                <w:rFonts w:ascii="Times New Roman" w:hAnsi="Times New Roman"/>
                <w:bCs/>
                <w:color w:val="000000" w:themeColor="text1"/>
                <w:sz w:val="18"/>
                <w:szCs w:val="18"/>
                <w14:textFill>
                  <w14:solidFill>
                    <w14:schemeClr w14:val="tx1"/>
                  </w14:solidFill>
                </w14:textFill>
              </w:rPr>
              <w:t>-N</w:t>
            </w:r>
          </w:p>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总磷</w:t>
            </w:r>
          </w:p>
        </w:tc>
        <w:tc>
          <w:tcPr>
            <w:tcW w:w="839" w:type="dxa"/>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连续排放流量不稳定</w:t>
            </w:r>
          </w:p>
        </w:tc>
        <w:tc>
          <w:tcPr>
            <w:tcW w:w="1007"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TW001</w:t>
            </w:r>
          </w:p>
        </w:tc>
        <w:tc>
          <w:tcPr>
            <w:tcW w:w="855"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化粪池</w:t>
            </w:r>
          </w:p>
        </w:tc>
        <w:tc>
          <w:tcPr>
            <w:tcW w:w="823"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沉淀+厌氧</w:t>
            </w:r>
          </w:p>
        </w:tc>
        <w:tc>
          <w:tcPr>
            <w:tcW w:w="1015" w:type="dxa"/>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DW001</w:t>
            </w:r>
          </w:p>
        </w:tc>
        <w:tc>
          <w:tcPr>
            <w:tcW w:w="780" w:type="dxa"/>
            <w:tcBorders>
              <w:tl2br w:val="nil"/>
              <w:tr2bl w:val="nil"/>
            </w:tcBorders>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是</w:t>
            </w:r>
          </w:p>
        </w:tc>
        <w:tc>
          <w:tcPr>
            <w:tcW w:w="1551" w:type="dxa"/>
            <w:tcBorders>
              <w:tl2br w:val="nil"/>
              <w:tr2bl w:val="nil"/>
            </w:tcBorders>
            <w:vAlign w:val="center"/>
          </w:tcPr>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■企业总排</w:t>
            </w:r>
          </w:p>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口雨水排放</w:t>
            </w:r>
          </w:p>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口清静下水排放</w:t>
            </w:r>
          </w:p>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口温排水排放</w:t>
            </w:r>
          </w:p>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口车间或车间处理设施排放口</w:t>
            </w:r>
          </w:p>
        </w:tc>
      </w:tr>
    </w:tbl>
    <w:p>
      <w:pPr>
        <w:pStyle w:val="385"/>
        <w:adjustRightInd w:val="0"/>
        <w:snapToGrid w:val="0"/>
        <w:spacing w:line="520" w:lineRule="exact"/>
        <w:ind w:firstLine="2650" w:firstLineChars="1100"/>
        <w:rPr>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.2-19 废水排放口基本信息表</w:t>
      </w:r>
    </w:p>
    <w:tbl>
      <w:tblPr>
        <w:tblStyle w:val="87"/>
        <w:tblW w:w="9156"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9"/>
        <w:gridCol w:w="970"/>
        <w:gridCol w:w="1340"/>
        <w:gridCol w:w="1223"/>
        <w:gridCol w:w="836"/>
        <w:gridCol w:w="569"/>
        <w:gridCol w:w="578"/>
        <w:gridCol w:w="469"/>
        <w:gridCol w:w="469"/>
        <w:gridCol w:w="894"/>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69"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序号</w:t>
            </w:r>
          </w:p>
        </w:tc>
        <w:tc>
          <w:tcPr>
            <w:tcW w:w="970"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排放口编号</w:t>
            </w:r>
          </w:p>
        </w:tc>
        <w:tc>
          <w:tcPr>
            <w:tcW w:w="2563" w:type="dxa"/>
            <w:gridSpan w:val="2"/>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地理坐标</w:t>
            </w:r>
          </w:p>
        </w:tc>
        <w:tc>
          <w:tcPr>
            <w:tcW w:w="836"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废水排放量/(万t/a)</w:t>
            </w:r>
          </w:p>
        </w:tc>
        <w:tc>
          <w:tcPr>
            <w:tcW w:w="569"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排放去向</w:t>
            </w:r>
          </w:p>
        </w:tc>
        <w:tc>
          <w:tcPr>
            <w:tcW w:w="578"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排放</w:t>
            </w:r>
          </w:p>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规律</w:t>
            </w:r>
          </w:p>
        </w:tc>
        <w:tc>
          <w:tcPr>
            <w:tcW w:w="469" w:type="dxa"/>
            <w:vMerge w:val="restart"/>
            <w:tcBorders>
              <w:tl2br w:val="nil"/>
              <w:tr2bl w:val="nil"/>
            </w:tcBorders>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间歇排放时段</w:t>
            </w:r>
          </w:p>
        </w:tc>
        <w:tc>
          <w:tcPr>
            <w:tcW w:w="2702" w:type="dxa"/>
            <w:gridSpan w:val="3"/>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97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340" w:type="dxa"/>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经度</w:t>
            </w:r>
          </w:p>
        </w:tc>
        <w:tc>
          <w:tcPr>
            <w:tcW w:w="1223" w:type="dxa"/>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纬度</w:t>
            </w:r>
          </w:p>
        </w:tc>
        <w:tc>
          <w:tcPr>
            <w:tcW w:w="836"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78"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名称</w:t>
            </w:r>
          </w:p>
        </w:tc>
        <w:tc>
          <w:tcPr>
            <w:tcW w:w="894" w:type="dxa"/>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污染物种类</w:t>
            </w:r>
          </w:p>
        </w:tc>
        <w:tc>
          <w:tcPr>
            <w:tcW w:w="1339" w:type="dxa"/>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国家或地方污染物排放标准限值/(mg/L)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69"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1</w:t>
            </w:r>
          </w:p>
        </w:tc>
        <w:tc>
          <w:tcPr>
            <w:tcW w:w="970" w:type="dxa"/>
            <w:vMerge w:val="restart"/>
            <w:tcBorders>
              <w:tl2br w:val="nil"/>
              <w:tr2bl w:val="nil"/>
            </w:tcBorders>
            <w:shd w:val="clear" w:color="auto" w:fill="auto"/>
            <w:vAlign w:val="center"/>
          </w:tcPr>
          <w:p>
            <w:pPr>
              <w:widowControl/>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DW001</w:t>
            </w:r>
          </w:p>
        </w:tc>
        <w:tc>
          <w:tcPr>
            <w:tcW w:w="1340"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111.535622</w:t>
            </w:r>
          </w:p>
        </w:tc>
        <w:tc>
          <w:tcPr>
            <w:tcW w:w="1223" w:type="dxa"/>
            <w:vMerge w:val="restart"/>
            <w:tcBorders>
              <w:tl2br w:val="nil"/>
              <w:tr2bl w:val="nil"/>
            </w:tcBorders>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30.244197</w:t>
            </w:r>
          </w:p>
        </w:tc>
        <w:tc>
          <w:tcPr>
            <w:tcW w:w="836"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0.0</w:t>
            </w:r>
            <w:r>
              <w:rPr>
                <w:rFonts w:hint="eastAsia" w:ascii="Times New Roman" w:hAnsi="Times New Roman"/>
                <w:color w:val="000000" w:themeColor="text1"/>
                <w:kern w:val="0"/>
                <w:sz w:val="18"/>
                <w:szCs w:val="18"/>
                <w:lang w:bidi="en-US"/>
                <w14:textFill>
                  <w14:solidFill>
                    <w14:schemeClr w14:val="tx1"/>
                  </w14:solidFill>
                </w14:textFill>
              </w:rPr>
              <w:t>576</w:t>
            </w:r>
          </w:p>
        </w:tc>
        <w:tc>
          <w:tcPr>
            <w:tcW w:w="569"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城市污水处理厂</w:t>
            </w:r>
          </w:p>
        </w:tc>
        <w:tc>
          <w:tcPr>
            <w:tcW w:w="578"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连续排放流量不稳定</w:t>
            </w:r>
          </w:p>
        </w:tc>
        <w:tc>
          <w:tcPr>
            <w:tcW w:w="469" w:type="dxa"/>
            <w:vMerge w:val="restart"/>
            <w:tcBorders>
              <w:tl2br w:val="nil"/>
              <w:tr2bl w:val="nil"/>
            </w:tcBorders>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ascii="Times New Roman" w:hAnsi="Times New Roman"/>
                <w:color w:val="000000" w:themeColor="text1"/>
                <w:kern w:val="0"/>
                <w:sz w:val="18"/>
                <w:szCs w:val="18"/>
                <w:lang w:bidi="en-US"/>
                <w14:textFill>
                  <w14:solidFill>
                    <w14:schemeClr w14:val="tx1"/>
                  </w14:solidFill>
                </w14:textFill>
              </w:rPr>
              <w:t>/</w:t>
            </w:r>
          </w:p>
        </w:tc>
        <w:tc>
          <w:tcPr>
            <w:tcW w:w="469" w:type="dxa"/>
            <w:vMerge w:val="restart"/>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r>
              <w:rPr>
                <w:rFonts w:hint="eastAsia" w:ascii="Times New Roman" w:hAnsi="Times New Roman"/>
                <w:color w:val="000000" w:themeColor="text1"/>
                <w:kern w:val="0"/>
                <w:sz w:val="18"/>
                <w:szCs w:val="18"/>
                <w:lang w:bidi="en-US"/>
                <w14:textFill>
                  <w14:solidFill>
                    <w14:schemeClr w14:val="tx1"/>
                  </w14:solidFill>
                </w14:textFill>
              </w:rPr>
              <w:t>三板湖</w:t>
            </w:r>
            <w:r>
              <w:rPr>
                <w:rFonts w:ascii="Times New Roman" w:hAnsi="Times New Roman"/>
                <w:color w:val="000000" w:themeColor="text1"/>
                <w:kern w:val="0"/>
                <w:sz w:val="18"/>
                <w:szCs w:val="18"/>
                <w:lang w:bidi="en-US"/>
                <w14:textFill>
                  <w14:solidFill>
                    <w14:schemeClr w14:val="tx1"/>
                  </w14:solidFill>
                </w14:textFill>
              </w:rPr>
              <w:t>污水处理厂</w:t>
            </w:r>
          </w:p>
        </w:tc>
        <w:tc>
          <w:tcPr>
            <w:tcW w:w="894"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COD</w:t>
            </w:r>
          </w:p>
        </w:tc>
        <w:tc>
          <w:tcPr>
            <w:tcW w:w="1339"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97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34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223"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36"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78"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94"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BOD</w:t>
            </w:r>
            <w:r>
              <w:rPr>
                <w:rFonts w:ascii="Times New Roman" w:hAnsi="Times New Roman"/>
                <w:bCs/>
                <w:color w:val="000000" w:themeColor="text1"/>
                <w:sz w:val="18"/>
                <w:szCs w:val="18"/>
                <w:vertAlign w:val="subscript"/>
                <w14:textFill>
                  <w14:solidFill>
                    <w14:schemeClr w14:val="tx1"/>
                  </w14:solidFill>
                </w14:textFill>
              </w:rPr>
              <w:t>5</w:t>
            </w:r>
          </w:p>
        </w:tc>
        <w:tc>
          <w:tcPr>
            <w:tcW w:w="1339"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97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34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223"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36"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78"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94"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SS</w:t>
            </w:r>
          </w:p>
        </w:tc>
        <w:tc>
          <w:tcPr>
            <w:tcW w:w="1339"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97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34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223"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36"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78"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94"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NH</w:t>
            </w:r>
            <w:r>
              <w:rPr>
                <w:rFonts w:ascii="Times New Roman" w:hAnsi="Times New Roman"/>
                <w:bCs/>
                <w:color w:val="000000" w:themeColor="text1"/>
                <w:sz w:val="18"/>
                <w:szCs w:val="18"/>
                <w:vertAlign w:val="subscript"/>
                <w14:textFill>
                  <w14:solidFill>
                    <w14:schemeClr w14:val="tx1"/>
                  </w14:solidFill>
                </w14:textFill>
              </w:rPr>
              <w:t>3</w:t>
            </w:r>
            <w:r>
              <w:rPr>
                <w:rFonts w:ascii="Times New Roman" w:hAnsi="Times New Roman"/>
                <w:bCs/>
                <w:color w:val="000000" w:themeColor="text1"/>
                <w:sz w:val="18"/>
                <w:szCs w:val="18"/>
                <w14:textFill>
                  <w14:solidFill>
                    <w14:schemeClr w14:val="tx1"/>
                  </w14:solidFill>
                </w14:textFill>
              </w:rPr>
              <w:t>-N</w:t>
            </w:r>
          </w:p>
        </w:tc>
        <w:tc>
          <w:tcPr>
            <w:tcW w:w="1339"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97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340"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1223"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36"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578"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469" w:type="dxa"/>
            <w:vMerge w:val="continue"/>
            <w:tcBorders>
              <w:tl2br w:val="nil"/>
              <w:tr2bl w:val="nil"/>
            </w:tcBorders>
            <w:shd w:val="clear" w:color="auto" w:fill="auto"/>
            <w:vAlign w:val="center"/>
          </w:tcPr>
          <w:p>
            <w:pPr>
              <w:jc w:val="center"/>
              <w:rPr>
                <w:rFonts w:ascii="Times New Roman" w:hAnsi="Times New Roman"/>
                <w:color w:val="000000" w:themeColor="text1"/>
                <w:kern w:val="0"/>
                <w:sz w:val="18"/>
                <w:szCs w:val="18"/>
                <w:lang w:bidi="en-US"/>
                <w14:textFill>
                  <w14:solidFill>
                    <w14:schemeClr w14:val="tx1"/>
                  </w14:solidFill>
                </w14:textFill>
              </w:rPr>
            </w:pPr>
          </w:p>
        </w:tc>
        <w:tc>
          <w:tcPr>
            <w:tcW w:w="894"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总磷</w:t>
            </w:r>
          </w:p>
        </w:tc>
        <w:tc>
          <w:tcPr>
            <w:tcW w:w="1339" w:type="dxa"/>
            <w:tcBorders>
              <w:tl2br w:val="nil"/>
              <w:tr2bl w:val="nil"/>
            </w:tcBorders>
            <w:shd w:val="clear" w:color="auto" w:fill="auto"/>
            <w:vAlign w:val="center"/>
          </w:tcPr>
          <w:p>
            <w:pPr>
              <w:jc w:val="cente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0.5</w:t>
            </w:r>
          </w:p>
        </w:tc>
      </w:tr>
    </w:tbl>
    <w:p>
      <w:pPr>
        <w:pStyle w:val="385"/>
        <w:adjustRightInd w:val="0"/>
        <w:snapToGrid w:val="0"/>
        <w:spacing w:line="520" w:lineRule="exact"/>
        <w:ind w:firstLine="2409" w:firstLineChars="1000"/>
        <w:rPr>
          <w:snapToGrid w:val="0"/>
          <w:color w:val="000000" w:themeColor="text1"/>
          <w14:textFill>
            <w14:solidFill>
              <w14:schemeClr w14:val="tx1"/>
            </w14:solidFill>
          </w14:textFill>
        </w:rPr>
      </w:pPr>
      <w:r>
        <w:rPr>
          <w:rFonts w:hint="eastAsia"/>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 xml:space="preserve">.2-20 </w:t>
      </w:r>
      <w:r>
        <w:rPr>
          <w:b/>
          <w:color w:val="000000" w:themeColor="text1"/>
          <w14:textFill>
            <w14:solidFill>
              <w14:schemeClr w14:val="tx1"/>
            </w14:solidFill>
          </w14:textFill>
        </w:rPr>
        <w:t>废水污染物排放执行标准表</w:t>
      </w:r>
    </w:p>
    <w:tbl>
      <w:tblPr>
        <w:tblStyle w:val="87"/>
        <w:tblW w:w="89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926"/>
        <w:gridCol w:w="1326"/>
        <w:gridCol w:w="1840"/>
        <w:gridCol w:w="1952"/>
        <w:gridCol w:w="1501"/>
        <w:gridCol w:w="13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502" w:hRule="atLeast"/>
          <w:jc w:val="center"/>
        </w:trPr>
        <w:tc>
          <w:tcPr>
            <w:tcW w:w="926" w:type="dxa"/>
            <w:vMerge w:val="restart"/>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序号</w:t>
            </w:r>
          </w:p>
        </w:tc>
        <w:tc>
          <w:tcPr>
            <w:tcW w:w="1326" w:type="dxa"/>
            <w:vMerge w:val="restart"/>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排放口编号</w:t>
            </w:r>
          </w:p>
        </w:tc>
        <w:tc>
          <w:tcPr>
            <w:tcW w:w="1840" w:type="dxa"/>
            <w:vMerge w:val="restart"/>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污染物种类</w:t>
            </w:r>
          </w:p>
        </w:tc>
        <w:tc>
          <w:tcPr>
            <w:tcW w:w="4826" w:type="dxa"/>
            <w:gridSpan w:val="3"/>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91" w:hRule="atLeast"/>
          <w:jc w:val="center"/>
        </w:trPr>
        <w:tc>
          <w:tcPr>
            <w:tcW w:w="9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3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840"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952"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名称</w:t>
            </w:r>
          </w:p>
        </w:tc>
        <w:tc>
          <w:tcPr>
            <w:tcW w:w="2874" w:type="dxa"/>
            <w:gridSpan w:val="2"/>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97" w:hRule="atLeast"/>
          <w:jc w:val="center"/>
        </w:trPr>
        <w:tc>
          <w:tcPr>
            <w:tcW w:w="926" w:type="dxa"/>
            <w:vMerge w:val="restart"/>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1</w:t>
            </w:r>
          </w:p>
        </w:tc>
        <w:tc>
          <w:tcPr>
            <w:tcW w:w="1326" w:type="dxa"/>
            <w:vMerge w:val="restart"/>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DW001</w:t>
            </w:r>
          </w:p>
        </w:tc>
        <w:tc>
          <w:tcPr>
            <w:tcW w:w="1840" w:type="dxa"/>
            <w:vMerge w:val="restart"/>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COD、BOD</w:t>
            </w:r>
            <w:r>
              <w:rPr>
                <w:rFonts w:ascii="Times New Roman" w:hAnsi="Times New Roman"/>
                <w:color w:val="000000" w:themeColor="text1"/>
                <w:kern w:val="0"/>
                <w:sz w:val="18"/>
                <w:szCs w:val="18"/>
                <w:vertAlign w:val="subscript"/>
                <w14:textFill>
                  <w14:solidFill>
                    <w14:schemeClr w14:val="tx1"/>
                  </w14:solidFill>
                </w14:textFill>
              </w:rPr>
              <w:t>5</w:t>
            </w:r>
            <w:r>
              <w:rPr>
                <w:rFonts w:ascii="Times New Roman" w:hAnsi="Times New Roman"/>
                <w:color w:val="000000" w:themeColor="text1"/>
                <w:kern w:val="0"/>
                <w:sz w:val="18"/>
                <w:szCs w:val="18"/>
                <w14:textFill>
                  <w14:solidFill>
                    <w14:schemeClr w14:val="tx1"/>
                  </w14:solidFill>
                </w14:textFill>
              </w:rPr>
              <w:t>、SS、氨氮、总磷</w:t>
            </w:r>
          </w:p>
        </w:tc>
        <w:tc>
          <w:tcPr>
            <w:tcW w:w="1952" w:type="dxa"/>
            <w:vMerge w:val="restart"/>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《污水综合排放标准》（GB8978-1996）中三级标准</w:t>
            </w:r>
          </w:p>
        </w:tc>
        <w:tc>
          <w:tcPr>
            <w:tcW w:w="1501"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COD</w:t>
            </w:r>
          </w:p>
        </w:tc>
        <w:tc>
          <w:tcPr>
            <w:tcW w:w="1373"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97" w:hRule="atLeast"/>
          <w:jc w:val="center"/>
        </w:trPr>
        <w:tc>
          <w:tcPr>
            <w:tcW w:w="9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3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840"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952"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501"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BOD</w:t>
            </w:r>
            <w:r>
              <w:rPr>
                <w:rFonts w:ascii="Times New Roman" w:hAnsi="Times New Roman"/>
                <w:color w:val="000000" w:themeColor="text1"/>
                <w:kern w:val="0"/>
                <w:sz w:val="18"/>
                <w:szCs w:val="18"/>
                <w:vertAlign w:val="subscript"/>
                <w14:textFill>
                  <w14:solidFill>
                    <w14:schemeClr w14:val="tx1"/>
                  </w14:solidFill>
                </w14:textFill>
              </w:rPr>
              <w:t>5</w:t>
            </w:r>
          </w:p>
        </w:tc>
        <w:tc>
          <w:tcPr>
            <w:tcW w:w="1373"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97" w:hRule="atLeast"/>
          <w:jc w:val="center"/>
        </w:trPr>
        <w:tc>
          <w:tcPr>
            <w:tcW w:w="9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3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840"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952"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501"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SS</w:t>
            </w:r>
          </w:p>
        </w:tc>
        <w:tc>
          <w:tcPr>
            <w:tcW w:w="1373"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97" w:hRule="atLeast"/>
          <w:jc w:val="center"/>
        </w:trPr>
        <w:tc>
          <w:tcPr>
            <w:tcW w:w="9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3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840"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952"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501"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氨氮</w:t>
            </w:r>
          </w:p>
        </w:tc>
        <w:tc>
          <w:tcPr>
            <w:tcW w:w="1373"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328" w:hRule="atLeast"/>
          <w:jc w:val="center"/>
        </w:trPr>
        <w:tc>
          <w:tcPr>
            <w:tcW w:w="9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326"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840"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952" w:type="dxa"/>
            <w:vMerge w:val="continue"/>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p>
        </w:tc>
        <w:tc>
          <w:tcPr>
            <w:tcW w:w="1501"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总磷</w:t>
            </w:r>
          </w:p>
        </w:tc>
        <w:tc>
          <w:tcPr>
            <w:tcW w:w="1373" w:type="dxa"/>
            <w:tcBorders>
              <w:tl2br w:val="nil"/>
              <w:tr2bl w:val="nil"/>
            </w:tcBorders>
            <w:vAlign w:val="center"/>
          </w:tcPr>
          <w:p>
            <w:pPr>
              <w:adjustRightInd w:val="0"/>
              <w:snapToGrid w:val="0"/>
              <w:jc w:val="center"/>
              <w:rPr>
                <w:rFonts w:ascii="Times New Roman" w:hAnsi="Times New Roman"/>
                <w:snapToGrid w:val="0"/>
                <w:color w:val="000000" w:themeColor="text1"/>
                <w:sz w:val="18"/>
                <w:szCs w:val="18"/>
                <w14:textFill>
                  <w14:solidFill>
                    <w14:schemeClr w14:val="tx1"/>
                  </w14:solidFill>
                </w14:textFill>
              </w:rPr>
            </w:pPr>
            <w:r>
              <w:rPr>
                <w:rFonts w:ascii="Times New Roman" w:hAnsi="Times New Roman"/>
                <w:snapToGrid w:val="0"/>
                <w:color w:val="000000" w:themeColor="text1"/>
                <w:sz w:val="18"/>
                <w:szCs w:val="18"/>
                <w14:textFill>
                  <w14:solidFill>
                    <w14:schemeClr w14:val="tx1"/>
                  </w14:solidFill>
                </w14:textFill>
              </w:rPr>
              <w:t>8</w:t>
            </w:r>
          </w:p>
        </w:tc>
      </w:tr>
    </w:tbl>
    <w:p>
      <w:pP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r>
        <w:rPr>
          <w:rFonts w:ascii="Times New Roman" w:hAnsi="Times New Roman"/>
          <w:b/>
          <w:bCs/>
          <w:color w:val="000000" w:themeColor="text1"/>
          <w:sz w:val="18"/>
          <w:szCs w:val="18"/>
          <w14:textFill>
            <w14:solidFill>
              <w14:schemeClr w14:val="tx1"/>
            </w14:solidFill>
          </w14:textFill>
        </w:rPr>
        <w:t xml:space="preserve"> NH</w:t>
      </w:r>
      <w:r>
        <w:rPr>
          <w:rFonts w:ascii="Times New Roman" w:hAnsi="Times New Roman"/>
          <w:b/>
          <w:bCs/>
          <w:color w:val="000000" w:themeColor="text1"/>
          <w:sz w:val="18"/>
          <w:szCs w:val="18"/>
          <w:vertAlign w:val="subscript"/>
          <w14:textFill>
            <w14:solidFill>
              <w14:schemeClr w14:val="tx1"/>
            </w14:solidFill>
          </w14:textFill>
        </w:rPr>
        <w:t>3</w:t>
      </w:r>
      <w:r>
        <w:rPr>
          <w:rFonts w:ascii="Times New Roman" w:hAnsi="Times New Roman"/>
          <w:b/>
          <w:bCs/>
          <w:color w:val="000000" w:themeColor="text1"/>
          <w:sz w:val="18"/>
          <w:szCs w:val="18"/>
          <w14:textFill>
            <w14:solidFill>
              <w14:schemeClr w14:val="tx1"/>
            </w14:solidFill>
          </w14:textFill>
        </w:rPr>
        <w:t>-N、总磷排放标准参照《污水排入城镇下水道水质标准》（GB/T 31962-2015）执行</w:t>
      </w:r>
    </w:p>
    <w:p>
      <w:pPr>
        <w:pStyle w:val="385"/>
        <w:adjustRightInd w:val="0"/>
        <w:snapToGrid w:val="0"/>
        <w:spacing w:line="520" w:lineRule="exact"/>
        <w:ind w:firstLine="482"/>
        <w:jc w:val="center"/>
        <w:rPr>
          <w:snapToGrid w:val="0"/>
          <w:color w:val="000000" w:themeColor="text1"/>
          <w14:textFill>
            <w14:solidFill>
              <w14:schemeClr w14:val="tx1"/>
            </w14:solidFill>
          </w14:textFill>
        </w:rPr>
      </w:pPr>
      <w:r>
        <w:rPr>
          <w:b/>
          <w:bCs/>
          <w:snapToGrid w:val="0"/>
          <w:color w:val="000000" w:themeColor="text1"/>
          <w14:textFill>
            <w14:solidFill>
              <w14:schemeClr w14:val="tx1"/>
            </w14:solidFill>
          </w14:textFill>
        </w:rPr>
        <w:t>表</w:t>
      </w:r>
      <w:r>
        <w:rPr>
          <w:rFonts w:hint="eastAsia"/>
          <w:b/>
          <w:bCs/>
          <w:snapToGrid w:val="0"/>
          <w:color w:val="000000" w:themeColor="text1"/>
          <w:lang w:val="en-US" w:eastAsia="zh-CN"/>
          <w14:textFill>
            <w14:solidFill>
              <w14:schemeClr w14:val="tx1"/>
            </w14:solidFill>
          </w14:textFill>
        </w:rPr>
        <w:t>6</w:t>
      </w:r>
      <w:r>
        <w:rPr>
          <w:rFonts w:hint="eastAsia"/>
          <w:b/>
          <w:bCs/>
          <w:snapToGrid w:val="0"/>
          <w:color w:val="000000" w:themeColor="text1"/>
          <w14:textFill>
            <w14:solidFill>
              <w14:schemeClr w14:val="tx1"/>
            </w14:solidFill>
          </w14:textFill>
        </w:rPr>
        <w:t>.2</w:t>
      </w:r>
      <w:r>
        <w:rPr>
          <w:b/>
          <w:bCs/>
          <w:snapToGrid w:val="0"/>
          <w:color w:val="000000" w:themeColor="text1"/>
          <w14:textFill>
            <w14:solidFill>
              <w14:schemeClr w14:val="tx1"/>
            </w14:solidFill>
          </w14:textFill>
        </w:rPr>
        <w:t>-</w:t>
      </w:r>
      <w:r>
        <w:rPr>
          <w:rFonts w:hint="eastAsia"/>
          <w:b/>
          <w:bCs/>
          <w:snapToGrid w:val="0"/>
          <w:color w:val="000000" w:themeColor="text1"/>
          <w14:textFill>
            <w14:solidFill>
              <w14:schemeClr w14:val="tx1"/>
            </w14:solidFill>
          </w14:textFill>
        </w:rPr>
        <w:t xml:space="preserve">21 </w:t>
      </w:r>
      <w:r>
        <w:rPr>
          <w:b/>
          <w:bCs/>
          <w:snapToGrid w:val="0"/>
          <w:color w:val="000000" w:themeColor="text1"/>
          <w14:textFill>
            <w14:solidFill>
              <w14:schemeClr w14:val="tx1"/>
            </w14:solidFill>
          </w14:textFill>
        </w:rPr>
        <w:t>废水污染物排放信息表</w:t>
      </w:r>
    </w:p>
    <w:tbl>
      <w:tblPr>
        <w:tblStyle w:val="87"/>
        <w:tblW w:w="8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630"/>
        <w:gridCol w:w="2038"/>
        <w:gridCol w:w="1768"/>
        <w:gridCol w:w="2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24"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排放口编号</w:t>
            </w:r>
          </w:p>
        </w:tc>
        <w:tc>
          <w:tcPr>
            <w:tcW w:w="163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污染物种类</w:t>
            </w:r>
          </w:p>
        </w:tc>
        <w:tc>
          <w:tcPr>
            <w:tcW w:w="20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排放浓度/（mg/L）</w:t>
            </w:r>
          </w:p>
        </w:tc>
        <w:tc>
          <w:tcPr>
            <w:tcW w:w="1768" w:type="dxa"/>
            <w:tcBorders>
              <w:tl2br w:val="nil"/>
              <w:tr2bl w:val="nil"/>
            </w:tcBorders>
            <w:vAlign w:val="center"/>
          </w:tcPr>
          <w:p>
            <w:pPr>
              <w:ind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日排放量/（t/d）</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324" w:type="dxa"/>
            <w:vMerge w:val="restart"/>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DW001</w:t>
            </w:r>
          </w:p>
        </w:tc>
        <w:tc>
          <w:tcPr>
            <w:tcW w:w="163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COD</w:t>
            </w:r>
          </w:p>
        </w:tc>
        <w:tc>
          <w:tcPr>
            <w:tcW w:w="20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297</w:t>
            </w:r>
          </w:p>
        </w:tc>
        <w:tc>
          <w:tcPr>
            <w:tcW w:w="17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0.00057</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324" w:type="dxa"/>
            <w:vMerge w:val="continue"/>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163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BOD</w:t>
            </w:r>
            <w:r>
              <w:rPr>
                <w:rFonts w:ascii="Times New Roman" w:hAnsi="Times New Roman"/>
                <w:color w:val="000000" w:themeColor="text1"/>
                <w:kern w:val="0"/>
                <w:sz w:val="18"/>
                <w:szCs w:val="18"/>
                <w:vertAlign w:val="subscript"/>
                <w14:textFill>
                  <w14:solidFill>
                    <w14:schemeClr w14:val="tx1"/>
                  </w14:solidFill>
                </w14:textFill>
              </w:rPr>
              <w:t>5</w:t>
            </w:r>
          </w:p>
        </w:tc>
        <w:tc>
          <w:tcPr>
            <w:tcW w:w="20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182</w:t>
            </w:r>
          </w:p>
        </w:tc>
        <w:tc>
          <w:tcPr>
            <w:tcW w:w="17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0.00035</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324" w:type="dxa"/>
            <w:vMerge w:val="continue"/>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163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SS</w:t>
            </w:r>
          </w:p>
        </w:tc>
        <w:tc>
          <w:tcPr>
            <w:tcW w:w="20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100</w:t>
            </w:r>
          </w:p>
        </w:tc>
        <w:tc>
          <w:tcPr>
            <w:tcW w:w="1768"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0.00019</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24" w:type="dxa"/>
            <w:vMerge w:val="continue"/>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163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氨氮</w:t>
            </w:r>
          </w:p>
        </w:tc>
        <w:tc>
          <w:tcPr>
            <w:tcW w:w="20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30</w:t>
            </w:r>
          </w:p>
        </w:tc>
        <w:tc>
          <w:tcPr>
            <w:tcW w:w="176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0.0000</w:t>
            </w:r>
            <w:r>
              <w:rPr>
                <w:rFonts w:hint="eastAsia" w:ascii="Times New Roman" w:hAnsi="Times New Roman"/>
                <w:color w:val="000000" w:themeColor="text1"/>
                <w:kern w:val="0"/>
                <w:sz w:val="18"/>
                <w:szCs w:val="18"/>
                <w14:textFill>
                  <w14:solidFill>
                    <w14:schemeClr w14:val="tx1"/>
                  </w14:solidFill>
                </w14:textFill>
              </w:rPr>
              <w:t>56</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24" w:type="dxa"/>
            <w:vMerge w:val="continue"/>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163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总磷</w:t>
            </w:r>
          </w:p>
        </w:tc>
        <w:tc>
          <w:tcPr>
            <w:tcW w:w="20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76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0.00000</w:t>
            </w:r>
            <w:r>
              <w:rPr>
                <w:rFonts w:hint="eastAsia" w:ascii="Times New Roman" w:hAnsi="Times New Roman"/>
                <w:color w:val="000000" w:themeColor="text1"/>
                <w:kern w:val="0"/>
                <w:sz w:val="18"/>
                <w:szCs w:val="18"/>
                <w14:textFill>
                  <w14:solidFill>
                    <w14:schemeClr w14:val="tx1"/>
                  </w14:solidFill>
                </w14:textFill>
              </w:rPr>
              <w:t>56</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24" w:type="dxa"/>
            <w:vMerge w:val="restart"/>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全厂排放口合计</w:t>
            </w:r>
          </w:p>
        </w:tc>
        <w:tc>
          <w:tcPr>
            <w:tcW w:w="5436" w:type="dxa"/>
            <w:gridSpan w:val="3"/>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COD</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24" w:type="dxa"/>
            <w:vMerge w:val="continue"/>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5436" w:type="dxa"/>
            <w:gridSpan w:val="3"/>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BOD</w:t>
            </w:r>
            <w:r>
              <w:rPr>
                <w:rFonts w:ascii="Times New Roman" w:hAnsi="Times New Roman"/>
                <w:color w:val="000000" w:themeColor="text1"/>
                <w:kern w:val="0"/>
                <w:sz w:val="18"/>
                <w:szCs w:val="18"/>
                <w:vertAlign w:val="subscript"/>
                <w14:textFill>
                  <w14:solidFill>
                    <w14:schemeClr w14:val="tx1"/>
                  </w14:solidFill>
                </w14:textFill>
              </w:rPr>
              <w:t>5</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24" w:type="dxa"/>
            <w:vMerge w:val="continue"/>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5436" w:type="dxa"/>
            <w:gridSpan w:val="3"/>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SS</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24" w:type="dxa"/>
            <w:vMerge w:val="continue"/>
            <w:tcBorders>
              <w:tl2br w:val="nil"/>
              <w:tr2bl w:val="nil"/>
            </w:tcBorders>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5436" w:type="dxa"/>
            <w:gridSpan w:val="3"/>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氨氮</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324" w:type="dxa"/>
            <w:vMerge w:val="continue"/>
            <w:tcBorders>
              <w:tl2br w:val="nil"/>
              <w:tr2bl w:val="nil"/>
            </w:tcBorders>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p>
        </w:tc>
        <w:tc>
          <w:tcPr>
            <w:tcW w:w="5436" w:type="dxa"/>
            <w:gridSpan w:val="3"/>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总磷</w:t>
            </w:r>
          </w:p>
        </w:tc>
        <w:tc>
          <w:tcPr>
            <w:tcW w:w="2138"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0.0017</w:t>
            </w:r>
          </w:p>
        </w:tc>
      </w:tr>
    </w:tbl>
    <w:p>
      <w:pPr>
        <w:pStyle w:val="385"/>
        <w:numPr>
          <w:ilvl w:val="0"/>
          <w:numId w:val="35"/>
        </w:numPr>
        <w:adjustRightInd w:val="0"/>
        <w:snapToGrid w:val="0"/>
        <w:spacing w:line="520" w:lineRule="exact"/>
        <w:ind w:firstLine="480"/>
        <w:rPr>
          <w:rFonts w:cs="Times New Roman" w:eastAsiaTheme="minorEastAsia"/>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地表水环境影响评价结论</w:t>
      </w:r>
    </w:p>
    <w:p>
      <w:pPr>
        <w:pStyle w:val="152"/>
        <w:spacing w:after="0" w:line="520" w:lineRule="exact"/>
        <w:ind w:firstLine="480" w:firstLineChars="200"/>
        <w:rPr>
          <w:rFonts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本项目生活污水经厂区化粪池处理后排入园区污水管网进入三板湖污水处理厂处理后达到《城镇污水处理厂污染物排放标准》（GB18918-2002）规定一级A标准后排入长江，</w:t>
      </w:r>
      <w:r>
        <w:rPr>
          <w:rFonts w:cs="Times New Roman"/>
          <w:color w:val="000000" w:themeColor="text1"/>
          <w14:textFill>
            <w14:solidFill>
              <w14:schemeClr w14:val="tx1"/>
            </w14:solidFill>
          </w14:textFill>
        </w:rPr>
        <w:t>项目</w:t>
      </w:r>
      <w:r>
        <w:rPr>
          <w:rFonts w:hint="eastAsia" w:cs="Times New Roman"/>
          <w:color w:val="000000" w:themeColor="text1"/>
          <w14:textFill>
            <w14:solidFill>
              <w14:schemeClr w14:val="tx1"/>
            </w14:solidFill>
          </w14:textFill>
        </w:rPr>
        <w:t>废水排放</w:t>
      </w:r>
      <w:r>
        <w:rPr>
          <w:rFonts w:cs="Times New Roman"/>
          <w:color w:val="000000" w:themeColor="text1"/>
          <w14:textFill>
            <w14:solidFill>
              <w14:schemeClr w14:val="tx1"/>
            </w14:solidFill>
          </w14:textFill>
        </w:rPr>
        <w:t>对地表水</w:t>
      </w:r>
      <w:r>
        <w:rPr>
          <w:rFonts w:hint="eastAsia" w:cs="Times New Roman"/>
          <w:color w:val="000000" w:themeColor="text1"/>
          <w14:textFill>
            <w14:solidFill>
              <w14:schemeClr w14:val="tx1"/>
            </w14:solidFill>
          </w14:textFill>
        </w:rPr>
        <w:t>环境</w:t>
      </w:r>
      <w:r>
        <w:rPr>
          <w:rFonts w:cs="Times New Roman"/>
          <w:color w:val="000000" w:themeColor="text1"/>
          <w14:textFill>
            <w14:solidFill>
              <w14:schemeClr w14:val="tx1"/>
            </w14:solidFill>
          </w14:textFill>
        </w:rPr>
        <w:t>影响较小。</w:t>
      </w:r>
    </w:p>
    <w:p>
      <w:pPr>
        <w:pStyle w:val="385"/>
        <w:numPr>
          <w:ilvl w:val="0"/>
          <w:numId w:val="35"/>
        </w:numPr>
        <w:adjustRightInd w:val="0"/>
        <w:snapToGrid w:val="0"/>
        <w:spacing w:line="520" w:lineRule="exact"/>
        <w:ind w:firstLine="480"/>
        <w:rPr>
          <w:rFonts w:hAnsiTheme="minorEastAsia" w:eastAsiaTheme="minorEastAsia"/>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地表水环境影响评价自查表</w:t>
      </w:r>
    </w:p>
    <w:p>
      <w:pPr>
        <w:pStyle w:val="24"/>
        <w:spacing w:before="0" w:line="520" w:lineRule="exact"/>
        <w:ind w:firstLine="482" w:firstLineChars="200"/>
        <w:jc w:val="center"/>
        <w:rPr>
          <w:rFonts w:ascii="Times New Roman" w:cs="Times New Roman" w:hAnsiTheme="minorEastAsia" w:eastAsiaTheme="minorEastAsia"/>
          <w:b/>
          <w:color w:val="000000" w:themeColor="text1"/>
          <w:szCs w:val="24"/>
          <w14:textFill>
            <w14:solidFill>
              <w14:schemeClr w14:val="tx1"/>
            </w14:solidFill>
          </w14:textFill>
        </w:rPr>
      </w:pPr>
      <w:r>
        <w:rPr>
          <w:rFonts w:ascii="Times New Roman" w:cs="Times New Roman" w:hAnsiTheme="minorEastAsia" w:eastAsiaTheme="minorEastAsia"/>
          <w:b/>
          <w:color w:val="000000" w:themeColor="text1"/>
          <w:szCs w:val="24"/>
          <w14:textFill>
            <w14:solidFill>
              <w14:schemeClr w14:val="tx1"/>
            </w14:solidFill>
          </w14:textFill>
        </w:rPr>
        <w:t>表</w:t>
      </w:r>
      <w:r>
        <w:rPr>
          <w:rFonts w:hint="eastAsia" w:ascii="Times New Roman" w:cs="Times New Roman" w:hAnsiTheme="minorEastAsia" w:eastAsiaTheme="minorEastAsia"/>
          <w:b/>
          <w:color w:val="000000" w:themeColor="text1"/>
          <w:szCs w:val="24"/>
          <w:lang w:val="en-US" w:eastAsia="zh-CN"/>
          <w14:textFill>
            <w14:solidFill>
              <w14:schemeClr w14:val="tx1"/>
            </w14:solidFill>
          </w14:textFill>
        </w:rPr>
        <w:t>6</w:t>
      </w:r>
      <w:r>
        <w:rPr>
          <w:rFonts w:hint="eastAsia" w:ascii="Times New Roman" w:cs="Times New Roman" w:hAnsiTheme="minorEastAsia" w:eastAsiaTheme="minorEastAsia"/>
          <w:b/>
          <w:color w:val="000000" w:themeColor="text1"/>
          <w:szCs w:val="24"/>
          <w14:textFill>
            <w14:solidFill>
              <w14:schemeClr w14:val="tx1"/>
            </w14:solidFill>
          </w14:textFill>
        </w:rPr>
        <w:t>.2-22</w:t>
      </w:r>
      <w:r>
        <w:rPr>
          <w:rFonts w:ascii="Times New Roman" w:cs="Times New Roman" w:hAnsiTheme="minorEastAsia" w:eastAsiaTheme="minorEastAsia"/>
          <w:b/>
          <w:color w:val="000000" w:themeColor="text1"/>
          <w:szCs w:val="24"/>
          <w14:textFill>
            <w14:solidFill>
              <w14:schemeClr w14:val="tx1"/>
            </w14:solidFill>
          </w14:textFill>
        </w:rPr>
        <w:t xml:space="preserve">  建设项目水环境影响评价自查表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1422"/>
        <w:gridCol w:w="1618"/>
        <w:gridCol w:w="237"/>
        <w:gridCol w:w="267"/>
        <w:gridCol w:w="567"/>
        <w:gridCol w:w="263"/>
        <w:gridCol w:w="665"/>
        <w:gridCol w:w="16"/>
        <w:gridCol w:w="462"/>
        <w:gridCol w:w="11"/>
        <w:gridCol w:w="993"/>
        <w:gridCol w:w="283"/>
        <w:gridCol w:w="709"/>
        <w:gridCol w:w="8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4"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工作内容</w:t>
            </w:r>
          </w:p>
        </w:tc>
        <w:tc>
          <w:tcPr>
            <w:tcW w:w="6951" w:type="dxa"/>
            <w:gridSpan w:val="13"/>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影</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响</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识</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别</w:t>
            </w: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影响类型</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水污染影响型</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水文要素影响型</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水环境保护目标</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饮用水水源保护区</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；饮用水取水口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；涉水的自然保护区</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；重要湿地</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重点保护与珍稀水生生物的栖息地</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；重要水生生物的自然产卵场及索饵场、越冬场和洄游通道、天然渔场等渔业水体</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；涉水的风景名胜区</w:t>
            </w:r>
            <w:r>
              <w:rPr>
                <w:rFonts w:ascii="Times New Roman" w:hAnsi="Times New Roman" w:eastAsiaTheme="minorEastAsia"/>
                <w:color w:val="000000" w:themeColor="text1"/>
                <w:spacing w:val="-11"/>
                <w:sz w:val="18"/>
                <w:szCs w:val="18"/>
                <w14:textFill>
                  <w14:solidFill>
                    <w14:schemeClr w14:val="tx1"/>
                  </w14:solidFill>
                </w14:textFill>
              </w:rPr>
              <w:sym w:font="Wingdings 2" w:char="00A3"/>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影响途径</w:t>
            </w:r>
          </w:p>
        </w:tc>
        <w:tc>
          <w:tcPr>
            <w:tcW w:w="3617"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水污染影响型</w:t>
            </w:r>
          </w:p>
        </w:tc>
        <w:tc>
          <w:tcPr>
            <w:tcW w:w="3334"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3617" w:type="dxa"/>
            <w:gridSpan w:val="6"/>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直接排放</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；间接排放</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sym w:font="Wingdings 2" w:char="00A3"/>
            </w:r>
          </w:p>
        </w:tc>
        <w:tc>
          <w:tcPr>
            <w:tcW w:w="3334" w:type="dxa"/>
            <w:gridSpan w:val="7"/>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水温</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；径流</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；水域面积</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影响因子</w:t>
            </w:r>
          </w:p>
        </w:tc>
        <w:tc>
          <w:tcPr>
            <w:tcW w:w="3617" w:type="dxa"/>
            <w:gridSpan w:val="6"/>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持久性污染物</w:t>
            </w:r>
            <w:r>
              <w:rPr>
                <w:rFonts w:ascii="Times New Roman" w:hAnsi="Times New Roman" w:eastAsiaTheme="minorEastAsia"/>
                <w:color w:val="000000" w:themeColor="text1"/>
                <w:spacing w:val="-11"/>
                <w:sz w:val="18"/>
                <w:szCs w:val="18"/>
                <w14:textFill>
                  <w14:solidFill>
                    <w14:schemeClr w14:val="tx1"/>
                  </w14:solidFill>
                </w14:textFill>
              </w:rPr>
              <w:sym w:font="Wingdings 2" w:char="00A3"/>
            </w:r>
            <w:r>
              <w:rPr>
                <w:rFonts w:ascii="Times New Roman" w:hAnsiTheme="minorEastAsia" w:eastAsiaTheme="minorEastAsia"/>
                <w:color w:val="000000" w:themeColor="text1"/>
                <w:spacing w:val="-11"/>
                <w:sz w:val="18"/>
                <w:szCs w:val="18"/>
                <w14:textFill>
                  <w14:solidFill>
                    <w14:schemeClr w14:val="tx1"/>
                  </w14:solidFill>
                </w14:textFill>
              </w:rPr>
              <w:t>；有毒有害污染物</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；非持久性污染物</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pH</w:t>
            </w:r>
            <w:r>
              <w:rPr>
                <w:rFonts w:ascii="Times New Roman" w:hAnsiTheme="minorEastAsia" w:eastAsiaTheme="minorEastAsia"/>
                <w:color w:val="000000" w:themeColor="text1"/>
                <w:spacing w:val="-11"/>
                <w:sz w:val="18"/>
                <w:szCs w:val="18"/>
                <w14:textFill>
                  <w14:solidFill>
                    <w14:schemeClr w14:val="tx1"/>
                  </w14:solidFill>
                </w14:textFill>
              </w:rPr>
              <w:t>值</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；热污染</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；富营养化</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sym w:font="Wingdings 2" w:char="00A3"/>
            </w:r>
          </w:p>
        </w:tc>
        <w:tc>
          <w:tcPr>
            <w:tcW w:w="3334" w:type="dxa"/>
            <w:gridSpan w:val="7"/>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水温</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；水位（水深）</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；流速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；流量</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4" w:type="dxa"/>
            <w:gridSpan w:val="2"/>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评价等级</w:t>
            </w:r>
          </w:p>
        </w:tc>
        <w:tc>
          <w:tcPr>
            <w:tcW w:w="3617"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水污染影响型</w:t>
            </w:r>
          </w:p>
        </w:tc>
        <w:tc>
          <w:tcPr>
            <w:tcW w:w="3334"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4" w:type="dxa"/>
            <w:gridSpan w:val="2"/>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3617" w:type="dxa"/>
            <w:gridSpan w:val="6"/>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一级</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；二级</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；三级</w:t>
            </w:r>
            <w:r>
              <w:rPr>
                <w:rFonts w:ascii="Times New Roman" w:hAnsi="Times New Roman" w:eastAsiaTheme="minorEastAsia"/>
                <w:color w:val="000000" w:themeColor="text1"/>
                <w:spacing w:val="-11"/>
                <w:sz w:val="18"/>
                <w:szCs w:val="18"/>
                <w14:textFill>
                  <w14:solidFill>
                    <w14:schemeClr w14:val="tx1"/>
                  </w14:solidFill>
                </w14:textFill>
              </w:rPr>
              <w:t>A□</w:t>
            </w:r>
            <w:r>
              <w:rPr>
                <w:rFonts w:ascii="Times New Roman" w:hAnsiTheme="minorEastAsia" w:eastAsiaTheme="minorEastAsia"/>
                <w:color w:val="000000" w:themeColor="text1"/>
                <w:spacing w:val="-11"/>
                <w:sz w:val="18"/>
                <w:szCs w:val="18"/>
                <w14:textFill>
                  <w14:solidFill>
                    <w14:schemeClr w14:val="tx1"/>
                  </w14:solidFill>
                </w14:textFill>
              </w:rPr>
              <w:t>；三级</w:t>
            </w:r>
            <w:r>
              <w:rPr>
                <w:rFonts w:ascii="Times New Roman" w:hAnsi="Times New Roman" w:eastAsiaTheme="minorEastAsia"/>
                <w:color w:val="000000" w:themeColor="text1"/>
                <w:spacing w:val="-11"/>
                <w:sz w:val="18"/>
                <w:szCs w:val="18"/>
                <w14:textFill>
                  <w14:solidFill>
                    <w14:schemeClr w14:val="tx1"/>
                  </w14:solidFill>
                </w14:textFill>
              </w:rPr>
              <w:t>B</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p>
        </w:tc>
        <w:tc>
          <w:tcPr>
            <w:tcW w:w="3334" w:type="dxa"/>
            <w:gridSpan w:val="7"/>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一级</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；二级</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；三级</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现</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状</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调</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查</w:t>
            </w: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区域污染源</w:t>
            </w:r>
          </w:p>
        </w:tc>
        <w:tc>
          <w:tcPr>
            <w:tcW w:w="3617"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调查项目</w:t>
            </w:r>
          </w:p>
        </w:tc>
        <w:tc>
          <w:tcPr>
            <w:tcW w:w="3334"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2122" w:type="dxa"/>
            <w:gridSpan w:val="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已建</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；在建</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；拟建</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w:t>
            </w:r>
          </w:p>
        </w:tc>
        <w:tc>
          <w:tcPr>
            <w:tcW w:w="1495" w:type="dxa"/>
            <w:gridSpan w:val="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拟替代的污染源</w:t>
            </w:r>
            <w:r>
              <w:rPr>
                <w:rFonts w:ascii="Times New Roman" w:hAnsi="Times New Roman" w:eastAsiaTheme="minorEastAsia"/>
                <w:color w:val="000000" w:themeColor="text1"/>
                <w:spacing w:val="-11"/>
                <w:sz w:val="18"/>
                <w:szCs w:val="18"/>
                <w14:textFill>
                  <w14:solidFill>
                    <w14:schemeClr w14:val="tx1"/>
                  </w14:solidFill>
                </w14:textFill>
              </w:rPr>
              <w:t>□</w:t>
            </w:r>
          </w:p>
        </w:tc>
        <w:tc>
          <w:tcPr>
            <w:tcW w:w="3334"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排污许可证</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；环评</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；环保验收</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；既有实测</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；现场监测</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；入河排放口数据</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受影响水体水环境质量</w:t>
            </w:r>
          </w:p>
        </w:tc>
        <w:tc>
          <w:tcPr>
            <w:tcW w:w="3617"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调查时期</w:t>
            </w:r>
          </w:p>
        </w:tc>
        <w:tc>
          <w:tcPr>
            <w:tcW w:w="3334"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3617" w:type="dxa"/>
            <w:gridSpan w:val="6"/>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丰水期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；平水期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；枯水期</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；冰封期</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春季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；夏季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；秋季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；冬季</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p>
        </w:tc>
        <w:tc>
          <w:tcPr>
            <w:tcW w:w="3334" w:type="dxa"/>
            <w:gridSpan w:val="7"/>
            <w:vAlign w:val="center"/>
          </w:tcPr>
          <w:p>
            <w:pPr>
              <w:adjustRightInd w:val="0"/>
              <w:snapToGrid w:val="0"/>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生态环境保护主管部门</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；补充监测</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区域水资源开发利用状况</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未开发</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；开发量</w:t>
            </w:r>
            <w:r>
              <w:rPr>
                <w:rFonts w:ascii="Times New Roman" w:hAnsi="Times New Roman" w:eastAsiaTheme="minorEastAsia"/>
                <w:color w:val="000000" w:themeColor="text1"/>
                <w:spacing w:val="-11"/>
                <w:sz w:val="18"/>
                <w:szCs w:val="18"/>
                <w14:textFill>
                  <w14:solidFill>
                    <w14:schemeClr w14:val="tx1"/>
                  </w14:solidFill>
                </w14:textFill>
              </w:rPr>
              <w:t>40%</w:t>
            </w:r>
            <w:r>
              <w:rPr>
                <w:rFonts w:ascii="Times New Roman" w:hAnsiTheme="minorEastAsia" w:eastAsiaTheme="minorEastAsia"/>
                <w:color w:val="000000" w:themeColor="text1"/>
                <w:spacing w:val="-11"/>
                <w:sz w:val="18"/>
                <w:szCs w:val="18"/>
                <w14:textFill>
                  <w14:solidFill>
                    <w14:schemeClr w14:val="tx1"/>
                  </w14:solidFill>
                </w14:textFill>
              </w:rPr>
              <w:t>以下</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；开发量</w:t>
            </w:r>
            <w:r>
              <w:rPr>
                <w:rFonts w:ascii="Times New Roman" w:hAnsi="Times New Roman" w:eastAsiaTheme="minorEastAsia"/>
                <w:color w:val="000000" w:themeColor="text1"/>
                <w:spacing w:val="-11"/>
                <w:sz w:val="18"/>
                <w:szCs w:val="18"/>
                <w14:textFill>
                  <w14:solidFill>
                    <w14:schemeClr w14:val="tx1"/>
                  </w14:solidFill>
                </w14:textFill>
              </w:rPr>
              <w:t>40%</w:t>
            </w:r>
            <w:r>
              <w:rPr>
                <w:rFonts w:ascii="Times New Roman" w:hAnsiTheme="minorEastAsia" w:eastAsiaTheme="minorEastAsia"/>
                <w:color w:val="000000" w:themeColor="text1"/>
                <w:spacing w:val="-11"/>
                <w:sz w:val="18"/>
                <w:szCs w:val="18"/>
                <w14:textFill>
                  <w14:solidFill>
                    <w14:schemeClr w14:val="tx1"/>
                  </w14:solidFill>
                </w14:textFill>
              </w:rPr>
              <w:t>以上</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水文情势调查</w:t>
            </w:r>
          </w:p>
        </w:tc>
        <w:tc>
          <w:tcPr>
            <w:tcW w:w="3617"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调查时期</w:t>
            </w:r>
          </w:p>
        </w:tc>
        <w:tc>
          <w:tcPr>
            <w:tcW w:w="3334"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3617" w:type="dxa"/>
            <w:gridSpan w:val="6"/>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丰水期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；平水期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；枯水期</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；冰封期</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春季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；夏季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；秋季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；冬季</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p>
        </w:tc>
        <w:tc>
          <w:tcPr>
            <w:tcW w:w="3334" w:type="dxa"/>
            <w:gridSpan w:val="7"/>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水行政主管部门</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；补充监测</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补充监测</w:t>
            </w:r>
          </w:p>
        </w:tc>
        <w:tc>
          <w:tcPr>
            <w:tcW w:w="2689" w:type="dxa"/>
            <w:gridSpan w:val="4"/>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监测时期</w:t>
            </w:r>
          </w:p>
        </w:tc>
        <w:tc>
          <w:tcPr>
            <w:tcW w:w="2410"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监测因子</w:t>
            </w:r>
          </w:p>
        </w:tc>
        <w:tc>
          <w:tcPr>
            <w:tcW w:w="1852" w:type="dxa"/>
            <w:gridSpan w:val="3"/>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2689" w:type="dxa"/>
            <w:gridSpan w:val="4"/>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丰水期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；平水期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；枯水期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；冰封期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春季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；夏季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；秋季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；冬季</w:t>
            </w:r>
            <w:r>
              <w:rPr>
                <w:rFonts w:ascii="Times New Roman" w:hAnsi="Times New Roman" w:eastAsiaTheme="minorEastAsia"/>
                <w:color w:val="000000" w:themeColor="text1"/>
                <w:spacing w:val="-11"/>
                <w:sz w:val="18"/>
                <w:szCs w:val="18"/>
                <w14:textFill>
                  <w14:solidFill>
                    <w14:schemeClr w14:val="tx1"/>
                  </w14:solidFill>
                </w14:textFill>
              </w:rPr>
              <w:t>□</w:t>
            </w:r>
          </w:p>
        </w:tc>
        <w:tc>
          <w:tcPr>
            <w:tcW w:w="2410"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hint="eastAsia" w:ascii="Times New Roman" w:hAnsiTheme="minorEastAsia"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1852" w:type="dxa"/>
            <w:gridSpan w:val="3"/>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监测断面或点位个数（</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现</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状</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价</w:t>
            </w: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评价范围</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河流：长度（</w:t>
            </w:r>
            <w:r>
              <w:rPr>
                <w:rFonts w:hint="eastAsia" w:ascii="Times New Roman" w:hAnsi="Times New Roman" w:eastAsiaTheme="minorEastAsia"/>
                <w:color w:val="000000" w:themeColor="text1"/>
                <w:spacing w:val="-11"/>
                <w:sz w:val="18"/>
                <w:szCs w:val="18"/>
                <w14:textFill>
                  <w14:solidFill>
                    <w14:schemeClr w14:val="tx1"/>
                  </w14:solidFill>
                </w14:textFill>
              </w:rPr>
              <w:t>3</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km</w:t>
            </w:r>
            <w:r>
              <w:rPr>
                <w:rFonts w:ascii="Times New Roman" w:hAnsiTheme="minorEastAsia" w:eastAsiaTheme="minorEastAsia"/>
                <w:color w:val="000000" w:themeColor="text1"/>
                <w:spacing w:val="-11"/>
                <w:sz w:val="18"/>
                <w:szCs w:val="18"/>
                <w14:textFill>
                  <w14:solidFill>
                    <w14:schemeClr w14:val="tx1"/>
                  </w14:solidFill>
                </w14:textFill>
              </w:rPr>
              <w:t>；湖库、河口及近岸海域：面积（</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km</w:t>
            </w:r>
            <w:r>
              <w:rPr>
                <w:rFonts w:ascii="Times New Roman" w:hAnsi="Times New Roman" w:eastAsiaTheme="minorEastAsia"/>
                <w:color w:val="000000" w:themeColor="text1"/>
                <w:spacing w:val="-11"/>
                <w:sz w:val="18"/>
                <w:szCs w:val="18"/>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评价因子</w:t>
            </w:r>
          </w:p>
        </w:tc>
        <w:tc>
          <w:tcPr>
            <w:tcW w:w="6951" w:type="dxa"/>
            <w:gridSpan w:val="13"/>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pH</w:t>
            </w:r>
            <w:r>
              <w:rPr>
                <w:rFonts w:ascii="Times New Roman" w:hAnsiTheme="minorEastAsia" w:eastAsiaTheme="minorEastAsia"/>
                <w:color w:val="000000" w:themeColor="text1"/>
                <w:sz w:val="18"/>
                <w:szCs w:val="18"/>
                <w14:textFill>
                  <w14:solidFill>
                    <w14:schemeClr w14:val="tx1"/>
                  </w14:solidFill>
                </w14:textFill>
              </w:rPr>
              <w:t>值、</w:t>
            </w:r>
            <w:r>
              <w:rPr>
                <w:rFonts w:ascii="Times New Roman" w:hAnsi="Times New Roman" w:eastAsiaTheme="minorEastAsia"/>
                <w:color w:val="000000" w:themeColor="text1"/>
                <w:sz w:val="18"/>
                <w:szCs w:val="18"/>
                <w14:textFill>
                  <w14:solidFill>
                    <w14:schemeClr w14:val="tx1"/>
                  </w14:solidFill>
                </w14:textFill>
              </w:rPr>
              <w:t>COD</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BOD</w:t>
            </w:r>
            <w:r>
              <w:rPr>
                <w:rFonts w:ascii="Times New Roman" w:hAnsi="Times New Roman" w:eastAsiaTheme="minorEastAsia"/>
                <w:color w:val="000000" w:themeColor="text1"/>
                <w:sz w:val="18"/>
                <w:szCs w:val="18"/>
                <w:vertAlign w:val="subscript"/>
                <w14:textFill>
                  <w14:solidFill>
                    <w14:schemeClr w14:val="tx1"/>
                  </w14:solidFill>
                </w14:textFill>
              </w:rPr>
              <w:t>5</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NH</w:t>
            </w:r>
            <w:r>
              <w:rPr>
                <w:rFonts w:ascii="Times New Roman" w:hAnsi="Times New Roman" w:eastAsiaTheme="minorEastAsia"/>
                <w:color w:val="000000" w:themeColor="text1"/>
                <w:spacing w:val="-11"/>
                <w:sz w:val="18"/>
                <w:szCs w:val="18"/>
                <w:vertAlign w:val="subscript"/>
                <w14:textFill>
                  <w14:solidFill>
                    <w14:schemeClr w14:val="tx1"/>
                  </w14:solidFill>
                </w14:textFill>
              </w:rPr>
              <w:t>3</w:t>
            </w:r>
            <w:r>
              <w:rPr>
                <w:rFonts w:ascii="Times New Roman" w:hAnsi="Times New Roman" w:eastAsiaTheme="minorEastAsia"/>
                <w:color w:val="000000" w:themeColor="text1"/>
                <w:spacing w:val="-11"/>
                <w:sz w:val="18"/>
                <w:szCs w:val="18"/>
                <w14:textFill>
                  <w14:solidFill>
                    <w14:schemeClr w14:val="tx1"/>
                  </w14:solidFill>
                </w14:textFill>
              </w:rPr>
              <w:t>-N</w:t>
            </w:r>
            <w:r>
              <w:rPr>
                <w:rFonts w:ascii="Times New Roman" w:hAnsiTheme="minorEastAsia" w:eastAsiaTheme="minorEastAsia"/>
                <w:color w:val="000000" w:themeColor="text1"/>
                <w:sz w:val="18"/>
                <w:szCs w:val="18"/>
                <w14:textFill>
                  <w14:solidFill>
                    <w14:schemeClr w14:val="tx1"/>
                  </w14:solidFill>
                </w14:textFill>
              </w:rPr>
              <w:t>、</w:t>
            </w:r>
            <w:r>
              <w:rPr>
                <w:rFonts w:hint="eastAsia" w:ascii="Times New Roman" w:hAnsiTheme="minorEastAsia" w:eastAsiaTheme="minorEastAsia"/>
                <w:color w:val="000000" w:themeColor="text1"/>
                <w:sz w:val="18"/>
                <w:szCs w:val="18"/>
                <w14:textFill>
                  <w14:solidFill>
                    <w14:schemeClr w14:val="tx1"/>
                  </w14:solidFill>
                </w14:textFill>
              </w:rPr>
              <w:t>高锰酸钾指数、总氮、石油类</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TP</w:t>
            </w:r>
            <w:r>
              <w:rPr>
                <w:rFonts w:hint="eastAsia" w:ascii="Times New Roman" w:hAnsi="Times New Roman" w:eastAsiaTheme="minorEastAsia"/>
                <w:color w:val="000000" w:themeColor="text1"/>
                <w:spacing w:val="-1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氟化物</w:t>
            </w:r>
            <w:r>
              <w:rPr>
                <w:rFonts w:hint="eastAsia" w:ascii="Times New Roman" w:hAnsi="Times New Roman"/>
                <w:color w:val="000000" w:themeColor="text1"/>
                <w:sz w:val="18"/>
                <w:szCs w:val="18"/>
                <w14:textFill>
                  <w14:solidFill>
                    <w14:schemeClr w14:val="tx1"/>
                  </w14:solidFill>
                </w14:textFill>
              </w:rPr>
              <w:t>、硫化物、</w:t>
            </w:r>
            <w:r>
              <w:rPr>
                <w:rFonts w:ascii="Times New Roman" w:hAnsi="Times New Roman"/>
                <w:color w:val="000000" w:themeColor="text1"/>
                <w:sz w:val="18"/>
                <w:szCs w:val="18"/>
                <w14:textFill>
                  <w14:solidFill>
                    <w14:schemeClr w14:val="tx1"/>
                  </w14:solidFill>
                </w14:textFill>
              </w:rPr>
              <w:t>挥发酚</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六价铬</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氰化物</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铬</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镍</w:t>
            </w:r>
            <w:r>
              <w:rPr>
                <w:rFonts w:hint="eastAsia" w:ascii="Times New Roman" w:hAnsi="Times New Roman"/>
                <w:color w:val="000000" w:themeColor="text1"/>
                <w:sz w:val="18"/>
                <w:szCs w:val="18"/>
                <w14:textFill>
                  <w14:solidFill>
                    <w14:schemeClr w14:val="tx1"/>
                  </w14:solidFill>
                </w14:textFill>
              </w:rPr>
              <w:t>、铜、砷、银、粪大肠菌群、二氯甲烷</w:t>
            </w:r>
            <w:r>
              <w:rPr>
                <w:rFonts w:ascii="Times New Roman" w:hAnsiTheme="minorEastAsia"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评价标准</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河流、湖库、河口：</w:t>
            </w:r>
            <w:r>
              <w:rPr>
                <w:rFonts w:asciiTheme="minorEastAsia" w:hAnsiTheme="minorEastAsia" w:eastAsiaTheme="minorEastAsia"/>
                <w:color w:val="000000" w:themeColor="text1"/>
                <w:spacing w:val="-11"/>
                <w:sz w:val="18"/>
                <w:szCs w:val="18"/>
                <w14:textFill>
                  <w14:solidFill>
                    <w14:schemeClr w14:val="tx1"/>
                  </w14:solidFill>
                </w14:textFill>
              </w:rPr>
              <w:t>Ⅰ</w:t>
            </w:r>
            <w:r>
              <w:rPr>
                <w:rFonts w:ascii="Times New Roman" w:hAnsiTheme="minorEastAsia" w:eastAsiaTheme="minorEastAsia"/>
                <w:color w:val="000000" w:themeColor="text1"/>
                <w:spacing w:val="-11"/>
                <w:sz w:val="18"/>
                <w:szCs w:val="18"/>
                <w14:textFill>
                  <w14:solidFill>
                    <w14:schemeClr w14:val="tx1"/>
                  </w14:solidFill>
                </w14:textFill>
              </w:rPr>
              <w:t>类</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heme="minorEastAsia" w:hAnsiTheme="minorEastAsia" w:eastAsiaTheme="minorEastAsia"/>
                <w:color w:val="000000" w:themeColor="text1"/>
                <w:spacing w:val="-11"/>
                <w:sz w:val="18"/>
                <w:szCs w:val="18"/>
                <w14:textFill>
                  <w14:solidFill>
                    <w14:schemeClr w14:val="tx1"/>
                  </w14:solidFill>
                </w14:textFill>
              </w:rPr>
              <w:t>Ⅱ</w:t>
            </w:r>
            <w:r>
              <w:rPr>
                <w:rFonts w:ascii="Times New Roman" w:hAnsiTheme="minorEastAsia" w:eastAsiaTheme="minorEastAsia"/>
                <w:color w:val="000000" w:themeColor="text1"/>
                <w:spacing w:val="-11"/>
                <w:sz w:val="18"/>
                <w:szCs w:val="18"/>
                <w14:textFill>
                  <w14:solidFill>
                    <w14:schemeClr w14:val="tx1"/>
                  </w14:solidFill>
                </w14:textFill>
              </w:rPr>
              <w:t>类</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heme="minorEastAsia" w:hAnsiTheme="minorEastAsia" w:eastAsiaTheme="minorEastAsia"/>
                <w:color w:val="000000" w:themeColor="text1"/>
                <w:spacing w:val="-11"/>
                <w:sz w:val="18"/>
                <w:szCs w:val="18"/>
                <w14:textFill>
                  <w14:solidFill>
                    <w14:schemeClr w14:val="tx1"/>
                  </w14:solidFill>
                </w14:textFill>
              </w:rPr>
              <w:t>Ⅲ</w:t>
            </w:r>
            <w:r>
              <w:rPr>
                <w:rFonts w:ascii="Times New Roman" w:hAnsiTheme="minorEastAsia" w:eastAsiaTheme="minorEastAsia"/>
                <w:color w:val="000000" w:themeColor="text1"/>
                <w:spacing w:val="-11"/>
                <w:sz w:val="18"/>
                <w:szCs w:val="18"/>
                <w14:textFill>
                  <w14:solidFill>
                    <w14:schemeClr w14:val="tx1"/>
                  </w14:solidFill>
                </w14:textFill>
              </w:rPr>
              <w:t>类</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w:t>
            </w:r>
            <w:r>
              <w:rPr>
                <w:rFonts w:asciiTheme="minorEastAsia" w:hAnsiTheme="minorEastAsia" w:eastAsiaTheme="minorEastAsia"/>
                <w:color w:val="000000" w:themeColor="text1"/>
                <w:spacing w:val="-11"/>
                <w:sz w:val="18"/>
                <w:szCs w:val="18"/>
                <w14:textFill>
                  <w14:solidFill>
                    <w14:schemeClr w14:val="tx1"/>
                  </w14:solidFill>
                </w14:textFill>
              </w:rPr>
              <w:t>Ⅳ</w:t>
            </w:r>
            <w:r>
              <w:rPr>
                <w:rFonts w:ascii="Times New Roman" w:hAnsiTheme="minorEastAsia" w:eastAsiaTheme="minorEastAsia"/>
                <w:color w:val="000000" w:themeColor="text1"/>
                <w:spacing w:val="-11"/>
                <w:sz w:val="18"/>
                <w:szCs w:val="18"/>
                <w14:textFill>
                  <w14:solidFill>
                    <w14:schemeClr w14:val="tx1"/>
                  </w14:solidFill>
                </w14:textFill>
              </w:rPr>
              <w:t>类</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heme="minorEastAsia" w:hAnsiTheme="minorEastAsia" w:eastAsiaTheme="minorEastAsia"/>
                <w:color w:val="000000" w:themeColor="text1"/>
                <w:spacing w:val="-11"/>
                <w:sz w:val="18"/>
                <w:szCs w:val="18"/>
                <w14:textFill>
                  <w14:solidFill>
                    <w14:schemeClr w14:val="tx1"/>
                  </w14:solidFill>
                </w14:textFill>
              </w:rPr>
              <w:t>Ⅴ</w:t>
            </w:r>
            <w:r>
              <w:rPr>
                <w:rFonts w:ascii="Times New Roman" w:hAnsiTheme="minorEastAsia" w:eastAsiaTheme="minorEastAsia"/>
                <w:color w:val="000000" w:themeColor="text1"/>
                <w:spacing w:val="-11"/>
                <w:sz w:val="18"/>
                <w:szCs w:val="18"/>
                <w14:textFill>
                  <w14:solidFill>
                    <w14:schemeClr w14:val="tx1"/>
                  </w14:solidFill>
                </w14:textFill>
              </w:rPr>
              <w:t>类</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近岸海域：第一类</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；第二类</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；第三类</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；第四类</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规划年评价标准（</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评价时期</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丰水期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；平水期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；枯水期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；冰封期</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春季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；夏季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；秋季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；冬季</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评价结论</w:t>
            </w:r>
          </w:p>
        </w:tc>
        <w:tc>
          <w:tcPr>
            <w:tcW w:w="6091" w:type="dxa"/>
            <w:gridSpan w:val="12"/>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水环境功能区或水功能区、近岸海域环境功能区水质达标状况</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：达标</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；不达标</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水环境控制单元或断面水质达标状况</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：达标</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；不达标</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水环境保护目标质量状况</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：达标</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；不达标</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对照断面、控制断面等代表性断面的水质状况</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：达标</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；不达标</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底泥污染评价</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水资源与开发利用程度及其水文情势评价</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水环境质量回顾评价</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ascii="Times New Roman" w:hAnsi="Times New Roman" w:eastAsiaTheme="minorEastAsia"/>
                <w:color w:val="000000" w:themeColor="text1"/>
                <w:spacing w:val="-11"/>
                <w:sz w:val="18"/>
                <w:szCs w:val="18"/>
                <w14:textFill>
                  <w14:solidFill>
                    <w14:schemeClr w14:val="tx1"/>
                  </w14:solidFill>
                </w14:textFill>
              </w:rPr>
              <w:t>□</w:t>
            </w:r>
          </w:p>
        </w:tc>
        <w:tc>
          <w:tcPr>
            <w:tcW w:w="860"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达标区</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不达标区</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影</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响</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预</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测</w:t>
            </w: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预测范围</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河流：长度（</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km</w:t>
            </w:r>
            <w:r>
              <w:rPr>
                <w:rFonts w:ascii="Times New Roman" w:hAnsiTheme="minorEastAsia" w:eastAsiaTheme="minorEastAsia"/>
                <w:color w:val="000000" w:themeColor="text1"/>
                <w:spacing w:val="-11"/>
                <w:sz w:val="18"/>
                <w:szCs w:val="18"/>
                <w14:textFill>
                  <w14:solidFill>
                    <w14:schemeClr w14:val="tx1"/>
                  </w14:solidFill>
                </w14:textFill>
              </w:rPr>
              <w:t>；湖库、河口及近岸海域：面积（</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km</w:t>
            </w:r>
            <w:r>
              <w:rPr>
                <w:rFonts w:ascii="Times New Roman" w:hAnsi="Times New Roman" w:eastAsiaTheme="minorEastAsia"/>
                <w:color w:val="000000" w:themeColor="text1"/>
                <w:spacing w:val="-11"/>
                <w:sz w:val="18"/>
                <w:szCs w:val="18"/>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预测因子</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预测时期</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丰水期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；平水期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；枯水期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；冰封期</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春季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；夏季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；秋季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；冬季</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设计水文条件</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预测情景</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建设期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；生产运行期</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；服务期满后</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正常工况</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；非正常工况</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污染控制和减缓措施方案</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区（流）域环境质量改善目标要求情景</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预测方法</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数值解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：解析解</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导则推荐模式</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影</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响</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价</w:t>
            </w: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水污染控制和水环境影响减缓措施有效性评价</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区（流）域水环境质量改善目标</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；替代削减源</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水环境影响评价</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排放口混合区外满足水环境管理要求</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水环境功能区或水功能区、近岸海域环境功能区水质达标</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满足水环境保护目标水域水环境质量要求</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水环境控制单元或断面水质达标</w:t>
            </w:r>
            <w:r>
              <w:rPr>
                <w:rFonts w:ascii="Times New Roman" w:hAnsi="Times New Roman" w:eastAsiaTheme="minorEastAsia"/>
                <w:color w:val="000000" w:themeColor="text1"/>
                <w:spacing w:val="-11"/>
                <w:sz w:val="18"/>
                <w:szCs w:val="18"/>
                <w14:textFill>
                  <w14:solidFill>
                    <w14:schemeClr w14:val="tx1"/>
                  </w14:solidFill>
                </w14:textFill>
              </w:rPr>
              <w:t>□</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满足重点水污染物排放总量控制指标要求，重点行业建设项目，主要污染物排放满足等量或减量替代要求</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满足区（流）域水环境质量改善目标要求</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水文要素影响型建设项目同时应包括水文情势变化评价、主要水文特征值影响评价、生态流量符合性评价</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对于新设或调整入河（湖库、近岸海域）排放口的建设项目，应包括排放口设置的环境合理性评价</w:t>
            </w:r>
            <w:r>
              <w:rPr>
                <w:rFonts w:ascii="Times New Roman" w:hAnsi="Times New Roman" w:eastAsiaTheme="minorEastAsia"/>
                <w:color w:val="000000" w:themeColor="text1"/>
                <w:spacing w:val="-11"/>
                <w:sz w:val="18"/>
                <w:szCs w:val="18"/>
                <w14:textFill>
                  <w14:solidFill>
                    <w14:schemeClr w14:val="tx1"/>
                  </w14:solidFill>
                </w14:textFill>
              </w:rPr>
              <w:t>□</w:t>
            </w:r>
            <w:r>
              <w:rPr>
                <w:rFonts w:hint="eastAsia" w:ascii="Times New Roman" w:hAnsi="Times New Roman" w:eastAsiaTheme="minorEastAsia"/>
                <w:color w:val="000000" w:themeColor="text1"/>
                <w:spacing w:val="-11"/>
                <w:sz w:val="18"/>
                <w:szCs w:val="18"/>
                <w14:textFill>
                  <w14:solidFill>
                    <w14:schemeClr w14:val="tx1"/>
                  </w14:solidFill>
                </w14:textFill>
              </w:rPr>
              <w:t xml:space="preserve"> </w:t>
            </w:r>
            <w:r>
              <w:rPr>
                <w:rFonts w:ascii="Times New Roman" w:hAnsiTheme="minorEastAsia" w:eastAsiaTheme="minorEastAsia"/>
                <w:color w:val="000000" w:themeColor="text1"/>
                <w:spacing w:val="-11"/>
                <w:sz w:val="18"/>
                <w:szCs w:val="18"/>
                <w14:textFill>
                  <w14:solidFill>
                    <w14:schemeClr w14:val="tx1"/>
                  </w14:solidFill>
                </w14:textFill>
              </w:rPr>
              <w:t>满足生态保护红线、水环境质量底线、资源利用上线和环境准入清单管理要求</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污染源排放量核算</w:t>
            </w:r>
          </w:p>
        </w:tc>
        <w:tc>
          <w:tcPr>
            <w:tcW w:w="3633"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COD</w:t>
            </w:r>
          </w:p>
        </w:tc>
        <w:tc>
          <w:tcPr>
            <w:tcW w:w="3318" w:type="dxa"/>
            <w:gridSpan w:val="6"/>
            <w:vAlign w:val="center"/>
          </w:tcPr>
          <w:p>
            <w:pPr>
              <w:adjustRightInd w:val="0"/>
              <w:snapToGrid w:val="0"/>
              <w:ind w:firstLine="90" w:firstLineChars="50"/>
              <w:jc w:val="center"/>
              <w:rPr>
                <w:rFonts w:ascii="Times New Roman" w:hAnsi="Times New Roman" w:eastAsiaTheme="minorEastAsia"/>
                <w:color w:val="000000" w:themeColor="text1"/>
                <w:spacing w:val="-1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0.171</w:t>
            </w:r>
            <w:r>
              <w:rPr>
                <w:rFonts w:ascii="Times New Roman" w:hAnsi="Times New Roman" w:eastAsiaTheme="minorEastAsia"/>
                <w:color w:val="000000" w:themeColor="text1"/>
                <w:sz w:val="18"/>
                <w:szCs w:val="18"/>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3633"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NH</w:t>
            </w:r>
            <w:r>
              <w:rPr>
                <w:rFonts w:ascii="Times New Roman" w:hAnsi="Times New Roman" w:eastAsiaTheme="minorEastAsia"/>
                <w:color w:val="000000" w:themeColor="text1"/>
                <w:sz w:val="18"/>
                <w:szCs w:val="18"/>
                <w:vertAlign w:val="subscript"/>
                <w14:textFill>
                  <w14:solidFill>
                    <w14:schemeClr w14:val="tx1"/>
                  </w14:solidFill>
                </w14:textFill>
              </w:rPr>
              <w:t>3</w:t>
            </w:r>
            <w:r>
              <w:rPr>
                <w:rFonts w:ascii="Times New Roman" w:hAnsi="Times New Roman" w:eastAsiaTheme="minorEastAsia"/>
                <w:color w:val="000000" w:themeColor="text1"/>
                <w:sz w:val="18"/>
                <w:szCs w:val="18"/>
                <w14:textFill>
                  <w14:solidFill>
                    <w14:schemeClr w14:val="tx1"/>
                  </w14:solidFill>
                </w14:textFill>
              </w:rPr>
              <w:t>-N</w:t>
            </w:r>
          </w:p>
        </w:tc>
        <w:tc>
          <w:tcPr>
            <w:tcW w:w="3318" w:type="dxa"/>
            <w:gridSpan w:val="6"/>
            <w:vAlign w:val="center"/>
          </w:tcPr>
          <w:p>
            <w:pPr>
              <w:adjustRightInd w:val="0"/>
              <w:snapToGrid w:val="0"/>
              <w:ind w:firstLine="90" w:firstLineChars="50"/>
              <w:jc w:val="center"/>
              <w:rPr>
                <w:rFonts w:ascii="Times New Roman" w:hAnsi="Times New Roman" w:eastAsiaTheme="minorEastAsia"/>
                <w:color w:val="000000" w:themeColor="text1"/>
                <w:spacing w:val="-1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0.017</w:t>
            </w:r>
            <w:r>
              <w:rPr>
                <w:rFonts w:ascii="Times New Roman" w:hAnsi="Times New Roman" w:eastAsiaTheme="minorEastAsia"/>
                <w:color w:val="000000" w:themeColor="text1"/>
                <w:sz w:val="18"/>
                <w:szCs w:val="18"/>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3633" w:type="dxa"/>
            <w:gridSpan w:val="7"/>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TP</w:t>
            </w:r>
          </w:p>
        </w:tc>
        <w:tc>
          <w:tcPr>
            <w:tcW w:w="3318" w:type="dxa"/>
            <w:gridSpan w:val="6"/>
            <w:vAlign w:val="center"/>
          </w:tcPr>
          <w:p>
            <w:pPr>
              <w:adjustRightInd w:val="0"/>
              <w:snapToGrid w:val="0"/>
              <w:ind w:firstLine="90" w:firstLineChars="50"/>
              <w:jc w:val="center"/>
              <w:rPr>
                <w:rFonts w:ascii="Times New Roman" w:hAnsi="Times New Roman" w:eastAsiaTheme="minorEastAsia"/>
                <w:color w:val="000000" w:themeColor="text1"/>
                <w:spacing w:val="-1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0.0017</w:t>
            </w:r>
            <w:r>
              <w:rPr>
                <w:rFonts w:ascii="Times New Roman" w:hAnsi="Times New Roman" w:eastAsiaTheme="minorEastAsia"/>
                <w:color w:val="000000" w:themeColor="text1"/>
                <w:sz w:val="18"/>
                <w:szCs w:val="18"/>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替代源排放情况</w:t>
            </w:r>
          </w:p>
        </w:tc>
        <w:tc>
          <w:tcPr>
            <w:tcW w:w="1618"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污染源名称</w:t>
            </w:r>
          </w:p>
        </w:tc>
        <w:tc>
          <w:tcPr>
            <w:tcW w:w="1334" w:type="dxa"/>
            <w:gridSpan w:val="4"/>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排污许可证编号</w:t>
            </w:r>
          </w:p>
        </w:tc>
        <w:tc>
          <w:tcPr>
            <w:tcW w:w="1154" w:type="dxa"/>
            <w:gridSpan w:val="4"/>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污染物名称</w:t>
            </w:r>
          </w:p>
        </w:tc>
        <w:tc>
          <w:tcPr>
            <w:tcW w:w="1276"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排放量</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t/a</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1569"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排放浓度</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mg/L</w:t>
            </w:r>
            <w:r>
              <w:rPr>
                <w:rFonts w:ascii="Times New Roman" w:hAnsiTheme="minorEastAsia"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618"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1334" w:type="dxa"/>
            <w:gridSpan w:val="4"/>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1154" w:type="dxa"/>
            <w:gridSpan w:val="4"/>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1276"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1569"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生态流量确定</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生态流量：一般水期（）</w:t>
            </w:r>
            <w:r>
              <w:rPr>
                <w:rFonts w:ascii="Times New Roman" w:hAnsi="Times New Roman" w:eastAsiaTheme="minorEastAsia"/>
                <w:color w:val="000000" w:themeColor="text1"/>
                <w:spacing w:val="-11"/>
                <w:sz w:val="18"/>
                <w:szCs w:val="18"/>
                <w14:textFill>
                  <w14:solidFill>
                    <w14:schemeClr w14:val="tx1"/>
                  </w14:solidFill>
                </w14:textFill>
              </w:rPr>
              <w:t>m</w:t>
            </w:r>
            <w:r>
              <w:rPr>
                <w:rFonts w:ascii="Times New Roman" w:hAnsi="Times New Roman" w:eastAsiaTheme="minorEastAsia"/>
                <w:color w:val="000000" w:themeColor="text1"/>
                <w:spacing w:val="-11"/>
                <w:sz w:val="18"/>
                <w:szCs w:val="18"/>
                <w:vertAlign w:val="superscript"/>
                <w14:textFill>
                  <w14:solidFill>
                    <w14:schemeClr w14:val="tx1"/>
                  </w14:solidFill>
                </w14:textFill>
              </w:rPr>
              <w:t>3</w:t>
            </w:r>
            <w:r>
              <w:rPr>
                <w:rFonts w:ascii="Times New Roman" w:hAnsi="Times New Roman" w:eastAsiaTheme="minorEastAsia"/>
                <w:color w:val="000000" w:themeColor="text1"/>
                <w:spacing w:val="-11"/>
                <w:sz w:val="18"/>
                <w:szCs w:val="18"/>
                <w14:textFill>
                  <w14:solidFill>
                    <w14:schemeClr w14:val="tx1"/>
                  </w14:solidFill>
                </w14:textFill>
              </w:rPr>
              <w:t>/s</w:t>
            </w:r>
            <w:r>
              <w:rPr>
                <w:rFonts w:ascii="Times New Roman" w:hAnsiTheme="minorEastAsia" w:eastAsiaTheme="minorEastAsia"/>
                <w:color w:val="000000" w:themeColor="text1"/>
                <w:spacing w:val="-11"/>
                <w:sz w:val="18"/>
                <w:szCs w:val="18"/>
                <w14:textFill>
                  <w14:solidFill>
                    <w14:schemeClr w14:val="tx1"/>
                  </w14:solidFill>
                </w14:textFill>
              </w:rPr>
              <w:t>；鱼类繁殖期（）</w:t>
            </w:r>
            <w:r>
              <w:rPr>
                <w:rFonts w:ascii="Times New Roman" w:hAnsi="Times New Roman" w:eastAsiaTheme="minorEastAsia"/>
                <w:color w:val="000000" w:themeColor="text1"/>
                <w:spacing w:val="-11"/>
                <w:sz w:val="18"/>
                <w:szCs w:val="18"/>
                <w14:textFill>
                  <w14:solidFill>
                    <w14:schemeClr w14:val="tx1"/>
                  </w14:solidFill>
                </w14:textFill>
              </w:rPr>
              <w:t>m</w:t>
            </w:r>
            <w:r>
              <w:rPr>
                <w:rFonts w:ascii="Times New Roman" w:hAnsi="Times New Roman" w:eastAsiaTheme="minorEastAsia"/>
                <w:color w:val="000000" w:themeColor="text1"/>
                <w:spacing w:val="-11"/>
                <w:sz w:val="18"/>
                <w:szCs w:val="18"/>
                <w:vertAlign w:val="superscript"/>
                <w14:textFill>
                  <w14:solidFill>
                    <w14:schemeClr w14:val="tx1"/>
                  </w14:solidFill>
                </w14:textFill>
              </w:rPr>
              <w:t>3</w:t>
            </w:r>
            <w:r>
              <w:rPr>
                <w:rFonts w:ascii="Times New Roman" w:hAnsi="Times New Roman" w:eastAsiaTheme="minorEastAsia"/>
                <w:color w:val="000000" w:themeColor="text1"/>
                <w:spacing w:val="-11"/>
                <w:sz w:val="18"/>
                <w:szCs w:val="18"/>
                <w14:textFill>
                  <w14:solidFill>
                    <w14:schemeClr w14:val="tx1"/>
                  </w14:solidFill>
                </w14:textFill>
              </w:rPr>
              <w:t>/s</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m</w:t>
            </w:r>
            <w:r>
              <w:rPr>
                <w:rFonts w:ascii="Times New Roman" w:hAnsi="Times New Roman" w:eastAsiaTheme="minorEastAsia"/>
                <w:color w:val="000000" w:themeColor="text1"/>
                <w:spacing w:val="-11"/>
                <w:sz w:val="18"/>
                <w:szCs w:val="18"/>
                <w:vertAlign w:val="superscript"/>
                <w14:textFill>
                  <w14:solidFill>
                    <w14:schemeClr w14:val="tx1"/>
                  </w14:solidFill>
                </w14:textFill>
              </w:rPr>
              <w:t>3</w:t>
            </w:r>
            <w:r>
              <w:rPr>
                <w:rFonts w:ascii="Times New Roman" w:hAnsi="Times New Roman" w:eastAsiaTheme="minorEastAsia"/>
                <w:color w:val="000000" w:themeColor="text1"/>
                <w:spacing w:val="-11"/>
                <w:sz w:val="18"/>
                <w:szCs w:val="18"/>
                <w14:textFill>
                  <w14:solidFill>
                    <w14:schemeClr w14:val="tx1"/>
                  </w14:solidFill>
                </w14:textFill>
              </w:rPr>
              <w:t>/s</w:t>
            </w:r>
          </w:p>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生态水位：一般水期（）</w:t>
            </w:r>
            <w:r>
              <w:rPr>
                <w:rFonts w:ascii="Times New Roman" w:hAnsi="Times New Roman" w:eastAsiaTheme="minorEastAsia"/>
                <w:color w:val="000000" w:themeColor="text1"/>
                <w:spacing w:val="-11"/>
                <w:sz w:val="18"/>
                <w:szCs w:val="18"/>
                <w14:textFill>
                  <w14:solidFill>
                    <w14:schemeClr w14:val="tx1"/>
                  </w14:solidFill>
                </w14:textFill>
              </w:rPr>
              <w:t>m</w:t>
            </w:r>
            <w:r>
              <w:rPr>
                <w:rFonts w:ascii="Times New Roman" w:hAnsiTheme="minorEastAsia" w:eastAsiaTheme="minorEastAsia"/>
                <w:color w:val="000000" w:themeColor="text1"/>
                <w:spacing w:val="-11"/>
                <w:sz w:val="18"/>
                <w:szCs w:val="18"/>
                <w14:textFill>
                  <w14:solidFill>
                    <w14:schemeClr w14:val="tx1"/>
                  </w14:solidFill>
                </w14:textFill>
              </w:rPr>
              <w:t>；鱼类繁殖期（）</w:t>
            </w:r>
            <w:r>
              <w:rPr>
                <w:rFonts w:ascii="Times New Roman" w:hAnsi="Times New Roman" w:eastAsiaTheme="minorEastAsia"/>
                <w:color w:val="000000" w:themeColor="text1"/>
                <w:spacing w:val="-11"/>
                <w:sz w:val="18"/>
                <w:szCs w:val="18"/>
                <w14:textFill>
                  <w14:solidFill>
                    <w14:schemeClr w14:val="tx1"/>
                  </w14:solidFill>
                </w14:textFill>
              </w:rPr>
              <w:t>m</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防</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治</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措</w:t>
            </w:r>
          </w:p>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施</w:t>
            </w: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环保措施</w:t>
            </w:r>
          </w:p>
        </w:tc>
        <w:tc>
          <w:tcPr>
            <w:tcW w:w="6951" w:type="dxa"/>
            <w:gridSpan w:val="13"/>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污水处理设施</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；水文减缓设施</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；生态流量保障设施</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；区域削减</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；依托其他工程措施</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；其他</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restart"/>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监测计划</w:t>
            </w:r>
          </w:p>
        </w:tc>
        <w:tc>
          <w:tcPr>
            <w:tcW w:w="1855" w:type="dxa"/>
            <w:gridSpan w:val="2"/>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p>
        </w:tc>
        <w:tc>
          <w:tcPr>
            <w:tcW w:w="2240"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环境质量</w:t>
            </w:r>
          </w:p>
        </w:tc>
        <w:tc>
          <w:tcPr>
            <w:tcW w:w="2856" w:type="dxa"/>
            <w:gridSpan w:val="5"/>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855"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监测方式</w:t>
            </w:r>
          </w:p>
        </w:tc>
        <w:tc>
          <w:tcPr>
            <w:tcW w:w="2240"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手动</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；自动</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；无监测</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p>
        </w:tc>
        <w:tc>
          <w:tcPr>
            <w:tcW w:w="2856" w:type="dxa"/>
            <w:gridSpan w:val="5"/>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手动</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；自动</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；无监测</w:t>
            </w:r>
            <w:r>
              <w:rPr>
                <w:rFonts w:ascii="Times New Roman" w:hAnsi="Times New Roman" w:eastAsiaTheme="minorEastAsia"/>
                <w:color w:val="000000" w:themeColor="text1"/>
                <w:spacing w:val="-11"/>
                <w:sz w:val="18"/>
                <w:szCs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855"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监测点位</w:t>
            </w:r>
          </w:p>
        </w:tc>
        <w:tc>
          <w:tcPr>
            <w:tcW w:w="2240"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2856" w:type="dxa"/>
            <w:gridSpan w:val="5"/>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（污水总排</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855"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监测因子</w:t>
            </w:r>
          </w:p>
        </w:tc>
        <w:tc>
          <w:tcPr>
            <w:tcW w:w="2240" w:type="dxa"/>
            <w:gridSpan w:val="6"/>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p>
        </w:tc>
        <w:tc>
          <w:tcPr>
            <w:tcW w:w="2856" w:type="dxa"/>
            <w:gridSpan w:val="5"/>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lang w:val="en-GB"/>
                <w14:textFill>
                  <w14:solidFill>
                    <w14:schemeClr w14:val="tx1"/>
                  </w14:solidFill>
                </w14:textFill>
              </w:rPr>
              <w:t>pH</w:t>
            </w:r>
            <w:r>
              <w:rPr>
                <w:rFonts w:ascii="Times New Roman" w:hAnsiTheme="minorEastAsia" w:eastAsiaTheme="minorEastAsia"/>
                <w:color w:val="000000" w:themeColor="text1"/>
                <w:spacing w:val="-11"/>
                <w:sz w:val="18"/>
                <w:szCs w:val="18"/>
                <w:lang w:val="en-GB"/>
                <w14:textFill>
                  <w14:solidFill>
                    <w14:schemeClr w14:val="tx1"/>
                  </w14:solidFill>
                </w14:textFill>
              </w:rPr>
              <w:t>、</w:t>
            </w:r>
            <w:r>
              <w:rPr>
                <w:rFonts w:ascii="Times New Roman" w:hAnsi="Times New Roman" w:eastAsiaTheme="minorEastAsia"/>
                <w:color w:val="000000" w:themeColor="text1"/>
                <w:spacing w:val="-11"/>
                <w:sz w:val="18"/>
                <w:szCs w:val="18"/>
                <w:lang w:val="en-GB"/>
                <w14:textFill>
                  <w14:solidFill>
                    <w14:schemeClr w14:val="tx1"/>
                  </w14:solidFill>
                </w14:textFill>
              </w:rPr>
              <w:t>COD</w:t>
            </w:r>
            <w:r>
              <w:rPr>
                <w:rFonts w:ascii="Times New Roman" w:hAnsiTheme="minorEastAsia" w:eastAsiaTheme="minorEastAsia"/>
                <w:color w:val="000000" w:themeColor="text1"/>
                <w:spacing w:val="-11"/>
                <w:sz w:val="18"/>
                <w:szCs w:val="18"/>
                <w:lang w:val="en-GB"/>
                <w14:textFill>
                  <w14:solidFill>
                    <w14:schemeClr w14:val="tx1"/>
                  </w14:solidFill>
                </w14:textFill>
              </w:rPr>
              <w:t>、</w:t>
            </w:r>
            <w:r>
              <w:rPr>
                <w:rFonts w:ascii="Times New Roman" w:hAnsi="Times New Roman" w:eastAsiaTheme="minorEastAsia"/>
                <w:color w:val="000000" w:themeColor="text1"/>
                <w:spacing w:val="-11"/>
                <w:sz w:val="18"/>
                <w:szCs w:val="18"/>
                <w:lang w:val="en-GB"/>
                <w14:textFill>
                  <w14:solidFill>
                    <w14:schemeClr w14:val="tx1"/>
                  </w14:solidFill>
                </w14:textFill>
              </w:rPr>
              <w:t>BOD</w:t>
            </w:r>
            <w:r>
              <w:rPr>
                <w:rFonts w:ascii="Times New Roman" w:hAnsi="Times New Roman" w:eastAsiaTheme="minorEastAsia"/>
                <w:color w:val="000000" w:themeColor="text1"/>
                <w:spacing w:val="-11"/>
                <w:sz w:val="18"/>
                <w:szCs w:val="18"/>
                <w:vertAlign w:val="subscript"/>
                <w:lang w:val="en-GB"/>
                <w14:textFill>
                  <w14:solidFill>
                    <w14:schemeClr w14:val="tx1"/>
                  </w14:solidFill>
                </w14:textFill>
              </w:rPr>
              <w:t>5</w:t>
            </w:r>
            <w:r>
              <w:rPr>
                <w:rFonts w:ascii="Times New Roman" w:hAnsiTheme="minorEastAsia" w:eastAsiaTheme="minorEastAsia"/>
                <w:color w:val="000000" w:themeColor="text1"/>
                <w:spacing w:val="-11"/>
                <w:sz w:val="18"/>
                <w:szCs w:val="18"/>
                <w:lang w:val="en-GB"/>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NH</w:t>
            </w:r>
            <w:r>
              <w:rPr>
                <w:rFonts w:ascii="Times New Roman" w:hAnsi="Times New Roman" w:eastAsiaTheme="minorEastAsia"/>
                <w:color w:val="000000" w:themeColor="text1"/>
                <w:spacing w:val="-11"/>
                <w:sz w:val="18"/>
                <w:szCs w:val="18"/>
                <w:vertAlign w:val="subscript"/>
                <w14:textFill>
                  <w14:solidFill>
                    <w14:schemeClr w14:val="tx1"/>
                  </w14:solidFill>
                </w14:textFill>
              </w:rPr>
              <w:t>3</w:t>
            </w:r>
            <w:r>
              <w:rPr>
                <w:rFonts w:ascii="Times New Roman" w:hAnsi="Times New Roman" w:eastAsiaTheme="minorEastAsia"/>
                <w:color w:val="000000" w:themeColor="text1"/>
                <w:spacing w:val="-11"/>
                <w:sz w:val="18"/>
                <w:szCs w:val="18"/>
                <w14:textFill>
                  <w14:solidFill>
                    <w14:schemeClr w14:val="tx1"/>
                  </w14:solidFill>
                </w14:textFill>
              </w:rPr>
              <w:t>-N</w:t>
            </w:r>
            <w:r>
              <w:rPr>
                <w:rFonts w:ascii="Times New Roman" w:hAnsiTheme="minorEastAsia" w:eastAsiaTheme="minorEastAsia"/>
                <w:color w:val="000000" w:themeColor="text1"/>
                <w:spacing w:val="-11"/>
                <w:sz w:val="18"/>
                <w:szCs w:val="18"/>
                <w:lang w:val="en-GB"/>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TP</w:t>
            </w:r>
            <w:r>
              <w:rPr>
                <w:rFonts w:ascii="Times New Roman" w:hAnsiTheme="minorEastAsia" w:eastAsiaTheme="minorEastAsia"/>
                <w:color w:val="000000" w:themeColor="text1"/>
                <w:spacing w:val="-11"/>
                <w:sz w:val="18"/>
                <w:szCs w:val="18"/>
                <w:lang w:val="en-GB"/>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SS</w:t>
            </w:r>
            <w:r>
              <w:rPr>
                <w:rFonts w:ascii="Times New Roman" w:hAnsiTheme="minorEastAsia"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p>
        </w:tc>
        <w:tc>
          <w:tcPr>
            <w:tcW w:w="1422" w:type="dxa"/>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污染物排放清单</w:t>
            </w:r>
          </w:p>
        </w:tc>
        <w:tc>
          <w:tcPr>
            <w:tcW w:w="6951" w:type="dxa"/>
            <w:gridSpan w:val="13"/>
            <w:vAlign w:val="center"/>
          </w:tcPr>
          <w:p>
            <w:pPr>
              <w:adjustRightInd w:val="0"/>
              <w:snapToGrid w:val="0"/>
              <w:jc w:val="left"/>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imes New Roman" w:eastAsiaTheme="minorEastAsia"/>
                <w:color w:val="000000" w:themeColor="text1"/>
                <w:spacing w:val="-11"/>
                <w:sz w:val="18"/>
                <w:szCs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4" w:type="dxa"/>
            <w:gridSpan w:val="2"/>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评价结论</w:t>
            </w:r>
          </w:p>
        </w:tc>
        <w:tc>
          <w:tcPr>
            <w:tcW w:w="6951" w:type="dxa"/>
            <w:gridSpan w:val="13"/>
            <w:vAlign w:val="center"/>
          </w:tcPr>
          <w:p>
            <w:pPr>
              <w:adjustRightInd w:val="0"/>
              <w:snapToGrid w:val="0"/>
              <w:jc w:val="center"/>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可以接受</w:t>
            </w:r>
            <w:r>
              <w:rPr>
                <w:rFonts w:ascii="Times New Roman" w:hAnsi="Times New Roman" w:eastAsiaTheme="minorEastAsia"/>
                <w:color w:val="000000" w:themeColor="text1"/>
                <w:spacing w:val="-11"/>
                <w:sz w:val="18"/>
                <w:szCs w:val="18"/>
                <w14:textFill>
                  <w14:solidFill>
                    <w14:schemeClr w14:val="tx1"/>
                  </w14:solidFill>
                </w14:textFill>
              </w:rPr>
              <w:sym w:font="Wingdings 2" w:char="0052"/>
            </w:r>
            <w:r>
              <w:rPr>
                <w:rFonts w:ascii="Times New Roman" w:hAnsiTheme="minorEastAsia" w:eastAsiaTheme="minorEastAsia"/>
                <w:color w:val="000000" w:themeColor="text1"/>
                <w:spacing w:val="-11"/>
                <w:sz w:val="18"/>
                <w:szCs w:val="18"/>
                <w14:textFill>
                  <w14:solidFill>
                    <w14:schemeClr w14:val="tx1"/>
                  </w14:solidFill>
                </w14:textFill>
              </w:rPr>
              <w:t>；不可以接受</w:t>
            </w:r>
            <w:r>
              <w:rPr>
                <w:rFonts w:ascii="Times New Roman" w:hAnsi="Times New Roman" w:eastAsiaTheme="minorEastAsia"/>
                <w:color w:val="000000" w:themeColor="text1"/>
                <w:spacing w:val="-1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5" w:type="dxa"/>
            <w:gridSpan w:val="15"/>
            <w:vAlign w:val="center"/>
          </w:tcPr>
          <w:p>
            <w:pPr>
              <w:adjustRightInd w:val="0"/>
              <w:snapToGrid w:val="0"/>
              <w:rPr>
                <w:rFonts w:ascii="Times New Roman" w:hAnsi="Times New Roman" w:eastAsiaTheme="minorEastAsia"/>
                <w:color w:val="000000" w:themeColor="text1"/>
                <w:spacing w:val="-11"/>
                <w:sz w:val="18"/>
                <w:szCs w:val="18"/>
                <w14:textFill>
                  <w14:solidFill>
                    <w14:schemeClr w14:val="tx1"/>
                  </w14:solidFill>
                </w14:textFill>
              </w:rPr>
            </w:pPr>
            <w:r>
              <w:rPr>
                <w:rFonts w:ascii="Times New Roman" w:hAnsiTheme="minorEastAsia" w:eastAsiaTheme="minorEastAsia"/>
                <w:color w:val="000000" w:themeColor="text1"/>
                <w:spacing w:val="-11"/>
                <w:sz w:val="18"/>
                <w:szCs w:val="18"/>
                <w14:textFill>
                  <w14:solidFill>
                    <w14:schemeClr w14:val="tx1"/>
                  </w14:solidFill>
                </w14:textFill>
              </w:rPr>
              <w:t>注：</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为勾选项，可</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为内容填写项；</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备注</w:t>
            </w:r>
            <w:r>
              <w:rPr>
                <w:rFonts w:ascii="Times New Roman" w:hAnsi="Times New Roman" w:eastAsiaTheme="minorEastAsia"/>
                <w:color w:val="000000" w:themeColor="text1"/>
                <w:spacing w:val="-11"/>
                <w:sz w:val="18"/>
                <w:szCs w:val="18"/>
                <w14:textFill>
                  <w14:solidFill>
                    <w14:schemeClr w14:val="tx1"/>
                  </w14:solidFill>
                </w14:textFill>
              </w:rPr>
              <w:t>”</w:t>
            </w:r>
            <w:r>
              <w:rPr>
                <w:rFonts w:ascii="Times New Roman" w:hAnsiTheme="minorEastAsia" w:eastAsiaTheme="minorEastAsia"/>
                <w:color w:val="000000" w:themeColor="text1"/>
                <w:spacing w:val="-11"/>
                <w:sz w:val="18"/>
                <w:szCs w:val="18"/>
                <w14:textFill>
                  <w14:solidFill>
                    <w14:schemeClr w14:val="tx1"/>
                  </w14:solidFill>
                </w14:textFill>
              </w:rPr>
              <w:t>为其他补充内容。</w:t>
            </w:r>
          </w:p>
        </w:tc>
      </w:tr>
    </w:tbl>
    <w:p>
      <w:pPr>
        <w:pStyle w:val="380"/>
        <w:adjustRightInd w:val="0"/>
        <w:snapToGrid w:val="0"/>
        <w:spacing w:before="48" w:beforeLines="20" w:after="48" w:afterLines="20" w:line="520" w:lineRule="exact"/>
        <w:ind w:firstLine="0" w:firstLineChars="0"/>
        <w:jc w:val="left"/>
        <w:outlineLvl w:val="2"/>
        <w:rPr>
          <w:rFonts w:hint="eastAsia" w:ascii="Times New Roman" w:hAnsi="Times New Roman" w:eastAsia="黑体"/>
          <w:b/>
          <w:color w:val="000000" w:themeColor="text1"/>
          <w:sz w:val="28"/>
          <w:szCs w:val="28"/>
          <w:lang w:val="en-US" w:eastAsia="zh-CN"/>
          <w14:textFill>
            <w14:solidFill>
              <w14:schemeClr w14:val="tx1"/>
            </w14:solidFill>
          </w14:textFill>
        </w:rPr>
      </w:pPr>
      <w:bookmarkStart w:id="432" w:name="_Toc8772"/>
      <w:bookmarkStart w:id="433" w:name="_Toc4970"/>
      <w:r>
        <w:rPr>
          <w:rFonts w:hint="eastAsia" w:ascii="Times New Roman" w:hAnsi="Times New Roman" w:eastAsia="黑体"/>
          <w:b/>
          <w:color w:val="000000" w:themeColor="text1"/>
          <w:sz w:val="28"/>
          <w:szCs w:val="28"/>
          <w:lang w:val="en-US" w:eastAsia="zh-CN"/>
          <w14:textFill>
            <w14:solidFill>
              <w14:schemeClr w14:val="tx1"/>
            </w14:solidFill>
          </w14:textFill>
        </w:rPr>
        <w:t>6.2.4地下水环境影响预测与评价</w:t>
      </w:r>
      <w:bookmarkEnd w:id="432"/>
      <w:bookmarkEnd w:id="433"/>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34" w:name="_Toc28318"/>
      <w:bookmarkStart w:id="435" w:name="_Toc25824"/>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.2.4.1区域水文地质情况</w:t>
      </w:r>
      <w:bookmarkEnd w:id="434"/>
      <w:bookmarkEnd w:id="435"/>
    </w:p>
    <w:p>
      <w:pPr>
        <w:pStyle w:val="380"/>
        <w:numPr>
          <w:ilvl w:val="0"/>
          <w:numId w:val="0"/>
        </w:numPr>
        <w:adjustRightInd w:val="0"/>
        <w:snapToGrid w:val="0"/>
        <w:spacing w:before="48" w:beforeLines="20" w:after="48" w:afterLines="20" w:line="520" w:lineRule="exact"/>
        <w:ind w:firstLine="480" w:firstLineChars="200"/>
        <w:jc w:val="left"/>
        <w:outlineLvl w:val="2"/>
        <w:rPr>
          <w:rFonts w:ascii="宋体" w:hAnsi="宋体" w:cs="宋体"/>
          <w:bCs/>
          <w:color w:val="000000" w:themeColor="text1"/>
          <w:sz w:val="24"/>
          <w:szCs w:val="24"/>
          <w14:textFill>
            <w14:solidFill>
              <w14:schemeClr w14:val="tx1"/>
            </w14:solidFill>
          </w14:textFill>
        </w:rPr>
      </w:pPr>
      <w:bookmarkStart w:id="436" w:name="_Toc11603"/>
      <w:bookmarkStart w:id="437" w:name="_Toc19187"/>
      <w:r>
        <w:rPr>
          <w:rFonts w:hint="default"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cs="Times New Roman"/>
          <w:bCs/>
          <w:color w:val="000000" w:themeColor="text1"/>
          <w:sz w:val="24"/>
          <w:szCs w:val="24"/>
          <w14:textFill>
            <w14:solidFill>
              <w14:schemeClr w14:val="tx1"/>
            </w14:solidFill>
          </w14:textFill>
        </w:rPr>
        <w:t>区域地质构造</w:t>
      </w:r>
      <w:bookmarkEnd w:id="436"/>
      <w:bookmarkEnd w:id="437"/>
    </w:p>
    <w:p>
      <w:pPr>
        <w:pStyle w:val="51"/>
        <w:spacing w:line="498" w:lineRule="exact"/>
        <w:ind w:firstLine="480" w:firstLineChars="200"/>
        <w:rPr>
          <w:rFonts w:ascii="宋体" w:hAnsi="宋体" w:eastAsia="宋体" w:cs="宋体"/>
          <w:bCs/>
          <w:color w:val="000000" w:themeColor="text1"/>
          <w:sz w:val="24"/>
          <w:szCs w:val="24"/>
          <w14:textFill>
            <w14:solidFill>
              <w14:schemeClr w14:val="tx1"/>
            </w14:solidFill>
          </w14:textFill>
        </w:rPr>
      </w:pPr>
      <w:r>
        <w:rPr>
          <w:rFonts w:ascii="Times New Roman" w:cs="Times New Roman" w:hAnsiTheme="minorEastAsia" w:eastAsiaTheme="minorEastAsia"/>
          <w:color w:val="000000" w:themeColor="text1"/>
          <w:sz w:val="24"/>
          <w14:textFill>
            <w14:solidFill>
              <w14:schemeClr w14:val="tx1"/>
            </w14:solidFill>
          </w14:textFill>
        </w:rPr>
        <w:t>拟建场区在区域地质构造上，处于扬子准地台、上扬子台坪鄂中褶断区的西部、黄陵断穹东面。区域性断裂构造主要有：香溪镇南～五峰渔洋关以南逾十公里的北北西走向的仙女山断裂（带）、秭归九畹溪～龙马溪的近南北走向的九湾溪断裂、宜都红花套～秭归天阳坪的北西西走向的天阳坪断裂、黄陵断穹北部的北西～北西西走向的雾渡河断裂，以及秭归龙会观～保康县城北西面的北北东～北东向的新华断裂等。</w:t>
      </w:r>
    </w:p>
    <w:p>
      <w:pPr>
        <w:pStyle w:val="51"/>
        <w:spacing w:line="498" w:lineRule="exact"/>
        <w:ind w:firstLine="480" w:firstLineChars="200"/>
        <w:rPr>
          <w:rFonts w:ascii="Times New Roman" w:eastAsia="宋体" w:cs="Times New Roman"/>
          <w:color w:val="000000" w:themeColor="text1"/>
          <w:sz w:val="24"/>
          <w:szCs w:val="24"/>
          <w14:textFill>
            <w14:solidFill>
              <w14:schemeClr w14:val="tx1"/>
            </w14:solidFill>
          </w14:textFill>
        </w:rPr>
      </w:pPr>
      <w:r>
        <w:rPr>
          <w:rFonts w:ascii="Times New Roman" w:eastAsia="宋体" w:cs="Times New Roman"/>
          <w:color w:val="000000" w:themeColor="text1"/>
          <w:sz w:val="24"/>
          <w:szCs w:val="24"/>
          <w14:textFill>
            <w14:solidFill>
              <w14:schemeClr w14:val="tx1"/>
            </w14:solidFill>
          </w14:textFill>
        </w:rPr>
        <w:t>位于本区的黄陵背斜、东北面的远安断裂带、西面的九畹溪断裂带、南面的天阳坪断裂带，在挽近期都有过不同程度的活动。这些活动性断裂的长度由30～大于120公里不等。垂直滑动速度为0.05～0.11mm/y；它们在挽近期的构造活动，无论是其强度或升降幅度，均具继承性的特点。第四纪以来，在鄂西山区范围，主要表现为间歇性、不均匀性和强烈上升的“掀斜性”（西部快，东部慢）与部分断裂的再活动。区内地震活动较活跃，但以弱震为主。</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2、地下水类型及埋藏条件</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根据场地各岩土层的水理性质，赋水性能及地下水的埋藏条件，并结合区域性水文地质勘察资料，可将本场地地下水划分为上层滞水和基岩裂隙水两种类型。根据场地地层的岩土性质，将场地内各土层含隔水性划分如下：第①层结构松散为强透水孔隙含水层，第②层为相对隔水层，第③层为中等风化灰岩为微透水层。</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3、地下水补、迳、排条件及水位动态变化规律</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上层滞水：上层滞水主要赋存于第①层素填土中，水量较小，主要接受大气降水的补给，丰水期水位较高，枯水期水位较低。上层滞水的迳流条件较为复杂，其特点是流径短，无明显方向性，主要受微地貌控制，由地势高处向地势低处渗流。上层滞水的排泄方式：一是通过地面或植物蒸发排泄，二是就近向附近地表水体侧向渗流排泄。勘察期间，先采用干钻法测得初见水位，终孔24h后，仅在局部原始地形较低处的钻孔中采用测绳测得稳定上层滞水水位，其埋深为1.00～9.60m，标高81.58～72.33m 。</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基岩裂隙水主要赋存于第③层中等风化灰岩中，主要接受远源大气降水的侧向渗流补给，水量甚微-无，勘察期间未测得稳定基岩裂隙水水位。</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调查评价区水文地质图见图</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.2-</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tabs>
          <w:tab w:val="left" w:pos="916"/>
        </w:tabs>
        <w:spacing w:before="151"/>
        <w:ind w:left="4"/>
        <w:jc w:val="center"/>
        <w:rPr>
          <w:rFonts w:ascii="Times New Roman" w:hAnsi="Times New Roman"/>
          <w:b/>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anchor distT="0" distB="0" distL="0" distR="0" simplePos="0" relativeHeight="251659264" behindDoc="0" locked="0" layoutInCell="1" allowOverlap="1">
            <wp:simplePos x="0" y="0"/>
            <wp:positionH relativeFrom="page">
              <wp:posOffset>890905</wp:posOffset>
            </wp:positionH>
            <wp:positionV relativeFrom="paragraph">
              <wp:posOffset>34290</wp:posOffset>
            </wp:positionV>
            <wp:extent cx="5779770" cy="5685790"/>
            <wp:effectExtent l="0" t="0" r="11430" b="1016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27" cstate="print"/>
                    <a:stretch>
                      <a:fillRect/>
                    </a:stretch>
                  </pic:blipFill>
                  <pic:spPr>
                    <a:xfrm>
                      <a:off x="0" y="0"/>
                      <a:ext cx="5780085" cy="5686044"/>
                    </a:xfrm>
                    <a:prstGeom prst="rect">
                      <a:avLst/>
                    </a:prstGeom>
                  </pic:spPr>
                </pic:pic>
              </a:graphicData>
            </a:graphic>
          </wp:anchor>
        </w:drawing>
      </w:r>
      <w:r>
        <w:rPr>
          <w:rFonts w:ascii="Times New Roman" w:hAnsi="Times New Roman"/>
          <w:b/>
          <w:color w:val="000000" w:themeColor="text1"/>
          <w:sz w:val="24"/>
          <w:szCs w:val="24"/>
          <w14:textFill>
            <w14:solidFill>
              <w14:schemeClr w14:val="tx1"/>
            </w14:solidFill>
          </w14:textFill>
        </w:rPr>
        <w:t>图</w:t>
      </w:r>
      <w:r>
        <w:rPr>
          <w:rFonts w:ascii="Times New Roman" w:hAnsi="Times New Roman"/>
          <w:b/>
          <w:color w:val="000000" w:themeColor="text1"/>
          <w:spacing w:val="-52"/>
          <w:sz w:val="24"/>
          <w:szCs w:val="24"/>
          <w14:textFill>
            <w14:solidFill>
              <w14:schemeClr w14:val="tx1"/>
            </w14:solidFill>
          </w14:textFill>
        </w:rPr>
        <w:t xml:space="preserve"> </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区域</w:t>
      </w:r>
      <w:r>
        <w:rPr>
          <w:rFonts w:ascii="Times New Roman" w:hAnsi="Times New Roman"/>
          <w:b/>
          <w:color w:val="000000" w:themeColor="text1"/>
          <w:spacing w:val="-54"/>
          <w:sz w:val="24"/>
          <w:szCs w:val="24"/>
          <w14:textFill>
            <w14:solidFill>
              <w14:schemeClr w14:val="tx1"/>
            </w14:solidFill>
          </w14:textFill>
        </w:rPr>
        <w:t xml:space="preserve"> </w:t>
      </w:r>
      <w:r>
        <w:rPr>
          <w:rFonts w:ascii="Times New Roman" w:hAnsi="Times New Roman"/>
          <w:b/>
          <w:color w:val="000000" w:themeColor="text1"/>
          <w:sz w:val="24"/>
          <w:szCs w:val="24"/>
          <w14:textFill>
            <w14:solidFill>
              <w14:schemeClr w14:val="tx1"/>
            </w14:solidFill>
          </w14:textFill>
        </w:rPr>
        <w:t>1：50000水文地质图</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38" w:name="_Toc19859"/>
      <w:bookmarkStart w:id="439" w:name="_Toc3285"/>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.2.4.2区域地下水开发利用现状</w:t>
      </w:r>
      <w:bookmarkEnd w:id="438"/>
      <w:bookmarkEnd w:id="439"/>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本次现场调查期间，宜昌化工园宜都园区企业及居民均供应自来水。根据调查资料，调查区域内基本不开采地下水资源，周边无集中式饮用水保护区。</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40" w:name="_Toc16570"/>
      <w:bookmarkStart w:id="441" w:name="_Toc8323"/>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.2.4.3项目地下水环境影响因素分析</w:t>
      </w:r>
      <w:bookmarkEnd w:id="440"/>
      <w:bookmarkEnd w:id="441"/>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（1）废水对地下水水质影响分析</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地下水的污染主要是污染物通过土层垂直下渗首先经过表土，再进入包气带，在包气带污染可以得到一定程度的净化，有机污染物可以通过生物作用降解，不能被净化或固定的污染物随入渗水进入地下水层。</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本项目对地下水的污染途径主要有：</w:t>
      </w:r>
    </w:p>
    <w:p>
      <w:pPr>
        <w:pStyle w:val="51"/>
        <w:numPr>
          <w:ilvl w:val="0"/>
          <w:numId w:val="36"/>
        </w:numPr>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通过生产车间及地面渗入地下；</w:t>
      </w:r>
    </w:p>
    <w:p>
      <w:pPr>
        <w:pStyle w:val="51"/>
        <w:numPr>
          <w:ilvl w:val="0"/>
          <w:numId w:val="36"/>
        </w:numPr>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通过厂内下水管网渗入地下；</w:t>
      </w:r>
    </w:p>
    <w:p>
      <w:pPr>
        <w:pStyle w:val="51"/>
        <w:numPr>
          <w:ilvl w:val="0"/>
          <w:numId w:val="36"/>
        </w:numPr>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通过降雨将污染物带入地下；</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根据前述工程分析可知，生活污水经过厂区化粪池预处理达到三板湖污水处理厂接管标准要求后接入三板湖污水处理厂处理达标后排入长江。污水管线如果没有严密的防渗措施容易产生污水下渗，对周围浅层地下水产生污染。因此，本项目生活污水输送管网以及废水处理设施所在地地基采用钢砼加固处理，底板采用防渗防塌处理，以防止废水渗入地下水；项目生产车间地面、污水管道、污水处理站地面及各池体均做防渗处理；厂区及车间地面进行硬化等。在采取以上措施的情况下，本项目不会对地下水水质产生影响。</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（2）固体废物对地下水水质影响</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固体废物贮存、运输中若管理不当，尤其是遇到水则渗滤液产生较多，固体废物中大量污染物转移到渗滤液中，泄露进入地表水体和土壤、地下水中，将对地表水体和地下水、土壤造成污染。</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项目产生的危险废物暂存在危废暂存间存放，危险废物暂存间需严格按照《危险废物贮存污染控制标准》（GB18597-2001）要求建设，并采取防风、防雨、防渗、防晒等设计措施；本项目产生的其它一般固废尽量密闭堆放，防止雨季降水淋溶造成对土壤和地下水污染，一般固废贮存设施应满足《一般工业固体废物贮存和填埋污染控制标准》（GB18599-2020）相关规定，做到以上措施，本项目固废临时储存不会对地下水造成影响。</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（3）危险化学品泄漏对地下水水质影响</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本项目罐区储存有氟硅酸、废酸（15%氟硅酸+2%氢氟酸）等危险化学品。如果发生储罐泄露会对地下水和土壤造成影响。本项目罐区均设计有牢固的钢筋混凝土基础， 地面采取防腐、防渗、防漏的“三防”处理。因此按要求对罐区做好防渗防腐处理后，正常状况下，危险化学品不会渗漏到土壤污染地下水。</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51"/>
        <w:spacing w:line="498" w:lineRule="exact"/>
        <w:ind w:firstLine="0"/>
        <w:rPr>
          <w:rFonts w:ascii="Times New Roman" w:cs="Times New Roman" w:hAnsiTheme="minorEastAsia" w:eastAsiaTheme="minorEastAsia"/>
          <w:color w:val="000000" w:themeColor="text1"/>
          <w:sz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42" w:name="_Toc32684"/>
      <w:bookmarkStart w:id="443" w:name="_Toc27009"/>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.2.4.4运营期正常状况下地下水环境影响预测评价</w:t>
      </w:r>
      <w:bookmarkEnd w:id="442"/>
      <w:bookmarkEnd w:id="443"/>
    </w:p>
    <w:p>
      <w:pPr>
        <w:pStyle w:val="380"/>
        <w:adjustRightInd w:val="0"/>
        <w:snapToGrid w:val="0"/>
        <w:spacing w:before="48" w:beforeLines="20" w:after="48" w:afterLines="20" w:line="520" w:lineRule="exact"/>
        <w:ind w:firstLine="480"/>
        <w:jc w:val="left"/>
        <w:outlineLvl w:val="2"/>
        <w:rPr>
          <w:rFonts w:ascii="宋体" w:hAnsi="宋体" w:cs="宋体"/>
          <w:bCs/>
          <w:color w:val="000000" w:themeColor="text1"/>
          <w:sz w:val="24"/>
          <w:szCs w:val="24"/>
          <w14:textFill>
            <w14:solidFill>
              <w14:schemeClr w14:val="tx1"/>
            </w14:solidFill>
          </w14:textFill>
        </w:rPr>
      </w:pPr>
      <w:bookmarkStart w:id="444" w:name="_Toc24834"/>
      <w:bookmarkStart w:id="445" w:name="_Toc3629"/>
      <w:r>
        <w:rPr>
          <w:rFonts w:hint="eastAsia" w:ascii="宋体" w:hAnsi="宋体" w:cs="宋体"/>
          <w:bCs/>
          <w:color w:val="000000" w:themeColor="text1"/>
          <w:sz w:val="24"/>
          <w:szCs w:val="24"/>
          <w14:textFill>
            <w14:solidFill>
              <w14:schemeClr w14:val="tx1"/>
            </w14:solidFill>
          </w14:textFill>
        </w:rPr>
        <w:t>按照项目设计资料，本项目运营期主要的地下水污染源包括车间尾气吸收装置区、生产装置区、罐区、污水处理设施池体、污水收集管沟、管线、危废暂存间等。上述区域均按相应的标准采取了防渗措施，因此，正常情况下项目区域不会有废水或危险化学品物料发生泄漏至地下水的情景发生，不会对地下水环境造成影响。本次模拟预测情景主要针对物料或废水在事故工况下泄漏情况设定。</w:t>
      </w:r>
      <w:bookmarkEnd w:id="444"/>
      <w:bookmarkEnd w:id="445"/>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46" w:name="_Toc6201"/>
      <w:bookmarkStart w:id="447" w:name="_Toc23137"/>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.2.4.5运营期非正常状况下地下水环境影响预测评价</w:t>
      </w:r>
      <w:bookmarkEnd w:id="446"/>
      <w:bookmarkEnd w:id="447"/>
    </w:p>
    <w:p>
      <w:pPr>
        <w:pStyle w:val="380"/>
        <w:adjustRightInd w:val="0"/>
        <w:snapToGrid w:val="0"/>
        <w:spacing w:before="48" w:beforeLines="20" w:after="48" w:afterLines="20" w:line="520" w:lineRule="exact"/>
        <w:ind w:firstLine="480"/>
        <w:jc w:val="left"/>
        <w:outlineLvl w:val="2"/>
        <w:rPr>
          <w:rFonts w:ascii="宋体" w:hAnsi="宋体" w:cs="宋体"/>
          <w:bCs/>
          <w:color w:val="000000" w:themeColor="text1"/>
          <w:sz w:val="24"/>
          <w:szCs w:val="24"/>
          <w14:textFill>
            <w14:solidFill>
              <w14:schemeClr w14:val="tx1"/>
            </w14:solidFill>
          </w14:textFill>
        </w:rPr>
      </w:pPr>
      <w:bookmarkStart w:id="448" w:name="_Toc6616"/>
      <w:bookmarkStart w:id="449" w:name="_Toc3696"/>
      <w:r>
        <w:rPr>
          <w:rFonts w:hint="eastAsia" w:ascii="宋体" w:hAnsi="宋体" w:cs="宋体"/>
          <w:bCs/>
          <w:color w:val="000000" w:themeColor="text1"/>
          <w:sz w:val="24"/>
          <w:szCs w:val="24"/>
          <w14:textFill>
            <w14:solidFill>
              <w14:schemeClr w14:val="tx1"/>
            </w14:solidFill>
          </w14:textFill>
        </w:rPr>
        <w:t>非正常工况下，若出现设施故障、管道破裂、污水收集池、危废暂存间防渗层损坏开裂等现象，物料将对地下水造成点源污染，污染物可能下渗至孔隙潜水及承压层中， 从而在含水层中运移。</w:t>
      </w:r>
      <w:bookmarkEnd w:id="448"/>
      <w:bookmarkEnd w:id="449"/>
    </w:p>
    <w:p>
      <w:pPr>
        <w:pStyle w:val="380"/>
        <w:numPr>
          <w:ilvl w:val="0"/>
          <w:numId w:val="37"/>
        </w:numPr>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14:textFill>
            <w14:solidFill>
              <w14:schemeClr w14:val="tx1"/>
            </w14:solidFill>
          </w14:textFill>
        </w:rPr>
      </w:pPr>
      <w:bookmarkStart w:id="450" w:name="_Toc13410"/>
      <w:bookmarkStart w:id="451" w:name="_Toc23921"/>
      <w:r>
        <w:rPr>
          <w:color w:val="000000" w:themeColor="text1"/>
          <w:sz w:val="24"/>
          <w14:textFill>
            <w14:solidFill>
              <w14:schemeClr w14:val="tx1"/>
            </w14:solidFill>
          </w14:textFill>
        </w:rPr>
        <w:t>地下水环境影响预测模型</w:t>
      </w:r>
      <w:bookmarkEnd w:id="450"/>
      <w:bookmarkEnd w:id="451"/>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14:textFill>
            <w14:solidFill>
              <w14:schemeClr w14:val="tx1"/>
            </w14:solidFill>
          </w14:textFill>
        </w:rPr>
      </w:pPr>
      <w:bookmarkStart w:id="452" w:name="_Toc1796"/>
      <w:bookmarkStart w:id="453" w:name="_Toc20310"/>
      <w:r>
        <w:rPr>
          <w:rFonts w:hint="eastAsia" w:ascii="Times New Roman" w:hAnsiTheme="minorEastAsia" w:eastAsiaTheme="minorEastAsia"/>
          <w:color w:val="000000" w:themeColor="text1"/>
          <w:sz w:val="24"/>
          <w14:textFill>
            <w14:solidFill>
              <w14:schemeClr w14:val="tx1"/>
            </w14:solidFill>
          </w14:textFill>
        </w:rPr>
        <w:t>（1）数学模型</w:t>
      </w:r>
      <w:bookmarkEnd w:id="452"/>
      <w:bookmarkEnd w:id="453"/>
    </w:p>
    <w:p>
      <w:pPr>
        <w:pStyle w:val="380"/>
        <w:adjustRightInd w:val="0"/>
        <w:snapToGrid w:val="0"/>
        <w:spacing w:before="48" w:beforeLines="20" w:after="48" w:afterLines="20" w:line="520" w:lineRule="exact"/>
        <w:ind w:firstLine="480"/>
        <w:jc w:val="left"/>
        <w:outlineLvl w:val="2"/>
        <w:rPr>
          <w:rFonts w:ascii="Times New Roman" w:hAnsi="Times New Roman" w:eastAsia="黑体"/>
          <w:b/>
          <w:color w:val="000000" w:themeColor="text1"/>
          <w:sz w:val="24"/>
          <w:szCs w:val="24"/>
          <w14:textFill>
            <w14:solidFill>
              <w14:schemeClr w14:val="tx1"/>
            </w14:solidFill>
          </w14:textFill>
        </w:rPr>
      </w:pPr>
      <w:bookmarkStart w:id="454" w:name="_Toc26381"/>
      <w:bookmarkStart w:id="455" w:name="_Toc15262"/>
      <w:r>
        <w:rPr>
          <w:rFonts w:hint="eastAsia" w:ascii="宋体" w:hAnsi="宋体" w:cs="宋体"/>
          <w:bCs/>
          <w:color w:val="000000" w:themeColor="text1"/>
          <w:sz w:val="24"/>
          <w:szCs w:val="24"/>
          <w14:textFill>
            <w14:solidFill>
              <w14:schemeClr w14:val="tx1"/>
            </w14:solidFill>
          </w14:textFill>
        </w:rPr>
        <w:t>通过对水文地质概念模型的分析，建立评价区的一维稳定流一维水动力弥散问题预测模型。污染物的运移公式采用一维半无限长多孔介质柱体，一端为定浓度：</w:t>
      </w:r>
      <w:bookmarkEnd w:id="454"/>
      <w:bookmarkEnd w:id="455"/>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7936" behindDoc="0" locked="0" layoutInCell="1" allowOverlap="1">
            <wp:simplePos x="0" y="0"/>
            <wp:positionH relativeFrom="column">
              <wp:posOffset>1285875</wp:posOffset>
            </wp:positionH>
            <wp:positionV relativeFrom="paragraph">
              <wp:posOffset>111760</wp:posOffset>
            </wp:positionV>
            <wp:extent cx="2943860" cy="662305"/>
            <wp:effectExtent l="0" t="0" r="8890" b="4445"/>
            <wp:wrapNone/>
            <wp:docPr id="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pic:cNvPicPr>
                      <a:picLocks noChangeAspect="1" noChangeArrowheads="1"/>
                    </pic:cNvPicPr>
                  </pic:nvPicPr>
                  <pic:blipFill>
                    <a:blip r:embed="rId28" cstate="print"/>
                    <a:srcRect/>
                    <a:stretch>
                      <a:fillRect/>
                    </a:stretch>
                  </pic:blipFill>
                  <pic:spPr>
                    <a:xfrm>
                      <a:off x="0" y="0"/>
                      <a:ext cx="2945604" cy="663234"/>
                    </a:xfrm>
                    <a:prstGeom prst="rect">
                      <a:avLst/>
                    </a:prstGeom>
                    <a:noFill/>
                    <a:ln w="9525">
                      <a:noFill/>
                      <a:miter lim="800000"/>
                      <a:headEnd/>
                      <a:tailEnd/>
                    </a:ln>
                  </pic:spPr>
                </pic:pic>
              </a:graphicData>
            </a:graphic>
          </wp:anchor>
        </w:drawing>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326"/>
        <w:ind w:firstLine="480"/>
        <w:rPr>
          <w:color w:val="000000" w:themeColor="text1"/>
          <w14:textFill>
            <w14:solidFill>
              <w14:schemeClr w14:val="tx1"/>
            </w14:solidFill>
          </w14:textFill>
        </w:rPr>
      </w:pPr>
    </w:p>
    <w:p>
      <w:pPr>
        <w:pStyle w:val="326"/>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式中：x—预测点距污染源强的距离，m；</w:t>
      </w:r>
    </w:p>
    <w:p>
      <w:pPr>
        <w:pStyle w:val="326"/>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i/>
          <w:color w:val="000000" w:themeColor="text1"/>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预测时间，d；</w:t>
      </w:r>
    </w:p>
    <w:p>
      <w:pPr>
        <w:pStyle w:val="326"/>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C—t时刻x处的污染物浓度，mg/</w:t>
      </w:r>
      <w:r>
        <w:rPr>
          <w:rFonts w:hint="eastAsia" w:ascii="Times New Roman" w:hAnsi="Times New Roman" w:cs="Times New Roman"/>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w:t>
      </w:r>
    </w:p>
    <w:p>
      <w:pPr>
        <w:pStyle w:val="326"/>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w:t>
      </w:r>
      <w:r>
        <w:rPr>
          <w:rFonts w:ascii="Times New Roman" w:hAnsi="Times New Roman" w:cs="Times New Roman"/>
          <w:color w:val="000000" w:themeColor="text1"/>
          <w:vertAlign w:val="subscript"/>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—地下水污染源强浓度，mg</w:t>
      </w:r>
      <w:r>
        <w:rPr>
          <w:rFonts w:hint="eastAsia" w:ascii="Times New Roman" w:hAnsi="Times New Roman" w:cs="Times New Roman"/>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w:t>
      </w:r>
    </w:p>
    <w:p>
      <w:pPr>
        <w:pStyle w:val="326"/>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u—水流速度，m/d；</w:t>
      </w:r>
    </w:p>
    <w:p>
      <w:pPr>
        <w:pStyle w:val="326"/>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w:t>
      </w:r>
      <w:r>
        <w:rPr>
          <w:rFonts w:ascii="Times New Roman" w:hAnsi="Times New Roman" w:cs="Times New Roman"/>
          <w:color w:val="000000" w:themeColor="text1"/>
          <w:vertAlign w:val="subscript"/>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—纵向弥散系数，m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/d；</w:t>
      </w:r>
    </w:p>
    <w:p>
      <w:pPr>
        <w:pStyle w:val="435"/>
        <w:ind w:firstLine="480"/>
        <w:rPr>
          <w:color w:val="000000" w:themeColor="text1"/>
          <w14:textFill>
            <w14:solidFill>
              <w14:schemeClr w14:val="tx1"/>
            </w14:solidFill>
          </w14:textFill>
        </w:rPr>
      </w:pPr>
      <w:r>
        <w:rPr>
          <w:color w:val="000000" w:themeColor="text1"/>
          <w14:textFill>
            <w14:solidFill>
              <w14:schemeClr w14:val="tx1"/>
            </w14:solidFill>
          </w14:textFill>
        </w:rPr>
        <w:t>erfc()—余误差函数。</w:t>
      </w:r>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14:textFill>
            <w14:solidFill>
              <w14:schemeClr w14:val="tx1"/>
            </w14:solidFill>
          </w14:textFill>
        </w:rPr>
      </w:pPr>
      <w:bookmarkStart w:id="456" w:name="_Toc28375"/>
      <w:bookmarkStart w:id="457" w:name="_Toc17244"/>
      <w:r>
        <w:rPr>
          <w:rFonts w:hint="eastAsia" w:ascii="Times New Roman" w:hAnsiTheme="minorEastAsia" w:eastAsiaTheme="minorEastAsia"/>
          <w:color w:val="000000" w:themeColor="text1"/>
          <w:sz w:val="24"/>
          <w14:textFill>
            <w14:solidFill>
              <w14:schemeClr w14:val="tx1"/>
            </w14:solidFill>
          </w14:textFill>
        </w:rPr>
        <w:t>（2）预测因子</w:t>
      </w:r>
      <w:bookmarkEnd w:id="456"/>
      <w:bookmarkEnd w:id="457"/>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ascii="Times New Roman" w:eastAsia="宋体" w:cs="Times New Roman"/>
          <w:color w:val="000000" w:themeColor="text1"/>
          <w:sz w:val="24"/>
          <w:szCs w:val="24"/>
          <w14:textFill>
            <w14:solidFill>
              <w14:schemeClr w14:val="tx1"/>
            </w14:solidFill>
          </w14:textFill>
        </w:rPr>
        <w:t>根据工程分析，拟建项目生产过程中产生的废水主要成分为SS、COD、BOD</w:t>
      </w:r>
      <w:r>
        <w:rPr>
          <w:rFonts w:ascii="Times New Roman" w:eastAsia="宋体" w:cs="Times New Roman"/>
          <w:color w:val="000000" w:themeColor="text1"/>
          <w:sz w:val="24"/>
          <w:szCs w:val="24"/>
          <w:vertAlign w:val="subscript"/>
          <w14:textFill>
            <w14:solidFill>
              <w14:schemeClr w14:val="tx1"/>
            </w14:solidFill>
          </w14:textFill>
        </w:rPr>
        <w:t>5</w:t>
      </w:r>
      <w:r>
        <w:rPr>
          <w:rFonts w:ascii="Times New Roman" w:eastAsia="宋体" w:cs="Times New Roman"/>
          <w:color w:val="000000" w:themeColor="text1"/>
          <w:sz w:val="24"/>
          <w:szCs w:val="24"/>
          <w14:textFill>
            <w14:solidFill>
              <w14:schemeClr w14:val="tx1"/>
            </w14:solidFill>
          </w14:textFill>
        </w:rPr>
        <w:t>、氨氮</w:t>
      </w:r>
      <w:r>
        <w:rPr>
          <w:rFonts w:hint="eastAsia" w:ascii="Times New Roman" w:cs="Times New Roman" w:hAnsiTheme="minorEastAsia" w:eastAsiaTheme="minorEastAsia"/>
          <w:color w:val="000000" w:themeColor="text1"/>
          <w:sz w:val="24"/>
          <w14:textFill>
            <w14:solidFill>
              <w14:schemeClr w14:val="tx1"/>
            </w14:solidFill>
          </w14:textFill>
        </w:rPr>
        <w:t>、氟化物等。对各因子采用标准指数法进行排序，并结合本项目的工程特点，选取COD</w:t>
      </w:r>
      <w:r>
        <w:rPr>
          <w:rFonts w:hint="eastAsia" w:ascii="Times New Roman" w:cs="Times New Roman" w:hAnsiTheme="minorEastAsia" w:eastAsiaTheme="minorEastAsia"/>
          <w:color w:val="000000" w:themeColor="text1"/>
          <w:sz w:val="24"/>
          <w:vertAlign w:val="subscript"/>
          <w14:textFill>
            <w14:solidFill>
              <w14:schemeClr w14:val="tx1"/>
            </w14:solidFill>
          </w14:textFill>
        </w:rPr>
        <w:t>Mn</w:t>
      </w:r>
      <w:r>
        <w:rPr>
          <w:rFonts w:hint="eastAsia" w:ascii="Times New Roman" w:cs="Times New Roman" w:hAnsiTheme="minorEastAsia" w:eastAsiaTheme="minorEastAsia"/>
          <w:color w:val="000000" w:themeColor="text1"/>
          <w:sz w:val="24"/>
          <w14:textFill>
            <w14:solidFill>
              <w14:schemeClr w14:val="tx1"/>
            </w14:solidFill>
          </w14:textFill>
        </w:rPr>
        <w:t>、氟化物作为预测因子。</w:t>
      </w:r>
    </w:p>
    <w:p>
      <w:pPr>
        <w:pStyle w:val="380"/>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14:textFill>
            <w14:solidFill>
              <w14:schemeClr w14:val="tx1"/>
            </w14:solidFill>
          </w14:textFill>
        </w:rPr>
      </w:pPr>
      <w:bookmarkStart w:id="458" w:name="_Toc20352"/>
      <w:bookmarkStart w:id="459" w:name="_Toc3279"/>
      <w:r>
        <w:rPr>
          <w:rFonts w:hint="eastAsia" w:ascii="Times New Roman" w:hAnsiTheme="minorEastAsia" w:eastAsiaTheme="minorEastAsia"/>
          <w:color w:val="000000" w:themeColor="text1"/>
          <w:sz w:val="24"/>
          <w14:textFill>
            <w14:solidFill>
              <w14:schemeClr w14:val="tx1"/>
            </w14:solidFill>
          </w14:textFill>
        </w:rPr>
        <w:t>（3）模型参数</w:t>
      </w:r>
      <w:bookmarkEnd w:id="458"/>
      <w:bookmarkEnd w:id="459"/>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根据调查区水文地质条件，以及调查区水文地质勘察成果，并参考同类项目的经验参数，最后确定本次预测评价溶质运移参数。</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①渗透系数</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本项目渗透系数取值参数见表</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.2-23。</w:t>
      </w:r>
    </w:p>
    <w:p>
      <w:pPr>
        <w:tabs>
          <w:tab w:val="left" w:pos="856"/>
        </w:tabs>
        <w:spacing w:before="222" w:after="42"/>
        <w:ind w:right="18"/>
        <w:jc w:val="center"/>
        <w:rPr>
          <w:b/>
          <w:color w:val="000000" w:themeColor="text1"/>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23</w:t>
      </w:r>
      <w:r>
        <w:rPr>
          <w:rFonts w:ascii="Times New Roman" w:hAnsi="Times New Roman" w:eastAsia="Times New Roman"/>
          <w:b/>
          <w:color w:val="000000" w:themeColor="text1"/>
          <w:sz w:val="24"/>
          <w:szCs w:val="24"/>
          <w14:textFill>
            <w14:solidFill>
              <w14:schemeClr w14:val="tx1"/>
            </w14:solidFill>
          </w14:textFill>
        </w:rPr>
        <w:tab/>
      </w:r>
      <w:r>
        <w:rPr>
          <w:rFonts w:ascii="Times New Roman" w:hAnsi="Times New Roman"/>
          <w:b/>
          <w:color w:val="000000" w:themeColor="text1"/>
          <w:sz w:val="24"/>
          <w:szCs w:val="24"/>
          <w14:textFill>
            <w14:solidFill>
              <w14:schemeClr w14:val="tx1"/>
            </w14:solidFill>
          </w14:textFill>
        </w:rPr>
        <w:t>地基土的渗透性指标参数建议值</w:t>
      </w:r>
    </w:p>
    <w:tbl>
      <w:tblPr>
        <w:tblStyle w:val="87"/>
        <w:tblW w:w="9059" w:type="dxa"/>
        <w:tblInd w:w="12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20"/>
        <w:gridCol w:w="3020"/>
        <w:gridCol w:w="30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02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岩土层名称</w:t>
            </w:r>
          </w:p>
        </w:tc>
        <w:tc>
          <w:tcPr>
            <w:tcW w:w="3020"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渗透性等级</w:t>
            </w:r>
          </w:p>
        </w:tc>
        <w:tc>
          <w:tcPr>
            <w:tcW w:w="3019" w:type="dxa"/>
            <w:tcBorders>
              <w:tl2br w:val="nil"/>
              <w:tr2bl w:val="nil"/>
            </w:tcBorders>
            <w:vAlign w:val="center"/>
          </w:tcPr>
          <w:p>
            <w:pPr>
              <w:ind w:left="-107" w:leftChars="-51" w:right="-107" w:rightChars="-51"/>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渗透系数K（cm/s）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3020" w:type="dxa"/>
            <w:tcBorders>
              <w:tl2br w:val="nil"/>
              <w:tr2bl w:val="nil"/>
            </w:tcBorders>
          </w:tcPr>
          <w:p>
            <w:pPr>
              <w:pStyle w:val="383"/>
              <w:spacing w:before="55"/>
              <w:ind w:left="591" w:right="581"/>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①素填土</w:t>
            </w:r>
          </w:p>
        </w:tc>
        <w:tc>
          <w:tcPr>
            <w:tcW w:w="3020" w:type="dxa"/>
            <w:tcBorders>
              <w:tl2br w:val="nil"/>
              <w:tr2bl w:val="nil"/>
            </w:tcBorders>
          </w:tcPr>
          <w:p>
            <w:pPr>
              <w:pStyle w:val="383"/>
              <w:spacing w:before="55"/>
              <w:ind w:left="1048" w:right="104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中等透水</w:t>
            </w:r>
          </w:p>
        </w:tc>
        <w:tc>
          <w:tcPr>
            <w:tcW w:w="3019" w:type="dxa"/>
            <w:tcBorders>
              <w:tl2br w:val="nil"/>
              <w:tr2bl w:val="nil"/>
            </w:tcBorders>
          </w:tcPr>
          <w:p>
            <w:pPr>
              <w:pStyle w:val="383"/>
              <w:spacing w:before="67"/>
              <w:ind w:left="668" w:right="65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7.0×10</w:t>
            </w:r>
            <w:r>
              <w:rPr>
                <w:rFonts w:ascii="Times New Roman" w:hAnsi="Times New Roman" w:cs="Times New Roman"/>
                <w:color w:val="000000" w:themeColor="text1"/>
                <w:position w:val="6"/>
                <w:sz w:val="18"/>
                <w:szCs w:val="18"/>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3020" w:type="dxa"/>
            <w:tcBorders>
              <w:tl2br w:val="nil"/>
              <w:tr2bl w:val="nil"/>
            </w:tcBorders>
          </w:tcPr>
          <w:p>
            <w:pPr>
              <w:pStyle w:val="383"/>
              <w:spacing w:before="55"/>
              <w:ind w:left="591" w:right="58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②粉质黏土</w:t>
            </w:r>
          </w:p>
        </w:tc>
        <w:tc>
          <w:tcPr>
            <w:tcW w:w="3020" w:type="dxa"/>
            <w:tcBorders>
              <w:tl2br w:val="nil"/>
              <w:tr2bl w:val="nil"/>
            </w:tcBorders>
          </w:tcPr>
          <w:p>
            <w:pPr>
              <w:pStyle w:val="383"/>
              <w:spacing w:before="55"/>
              <w:ind w:left="1050" w:right="104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弱透水</w:t>
            </w:r>
          </w:p>
        </w:tc>
        <w:tc>
          <w:tcPr>
            <w:tcW w:w="3019" w:type="dxa"/>
            <w:tcBorders>
              <w:tl2br w:val="nil"/>
              <w:tr2bl w:val="nil"/>
            </w:tcBorders>
          </w:tcPr>
          <w:p>
            <w:pPr>
              <w:pStyle w:val="383"/>
              <w:spacing w:before="65"/>
              <w:ind w:left="668" w:right="65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8.0×10</w:t>
            </w:r>
            <w:r>
              <w:rPr>
                <w:rFonts w:ascii="Times New Roman" w:hAnsi="Times New Roman" w:cs="Times New Roman"/>
                <w:color w:val="000000" w:themeColor="text1"/>
                <w:position w:val="6"/>
                <w:sz w:val="18"/>
                <w:szCs w:val="18"/>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3020" w:type="dxa"/>
            <w:tcBorders>
              <w:tl2br w:val="nil"/>
              <w:tr2bl w:val="nil"/>
            </w:tcBorders>
          </w:tcPr>
          <w:p>
            <w:pPr>
              <w:pStyle w:val="383"/>
              <w:spacing w:before="56"/>
              <w:ind w:left="591" w:right="58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③粉质黏土</w:t>
            </w:r>
          </w:p>
        </w:tc>
        <w:tc>
          <w:tcPr>
            <w:tcW w:w="3020" w:type="dxa"/>
            <w:tcBorders>
              <w:tl2br w:val="nil"/>
              <w:tr2bl w:val="nil"/>
            </w:tcBorders>
          </w:tcPr>
          <w:p>
            <w:pPr>
              <w:pStyle w:val="383"/>
              <w:spacing w:before="56"/>
              <w:ind w:left="1050" w:right="104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微透水</w:t>
            </w:r>
          </w:p>
        </w:tc>
        <w:tc>
          <w:tcPr>
            <w:tcW w:w="3019" w:type="dxa"/>
            <w:tcBorders>
              <w:tl2br w:val="nil"/>
              <w:tr2bl w:val="nil"/>
            </w:tcBorders>
          </w:tcPr>
          <w:p>
            <w:pPr>
              <w:pStyle w:val="383"/>
              <w:spacing w:before="65"/>
              <w:ind w:left="668" w:right="65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5.0×10</w:t>
            </w:r>
            <w:r>
              <w:rPr>
                <w:rFonts w:ascii="Times New Roman" w:hAnsi="Times New Roman" w:cs="Times New Roman"/>
                <w:color w:val="000000" w:themeColor="text1"/>
                <w:position w:val="6"/>
                <w:sz w:val="18"/>
                <w:szCs w:val="18"/>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7" w:hRule="atLeast"/>
        </w:trPr>
        <w:tc>
          <w:tcPr>
            <w:tcW w:w="3020" w:type="dxa"/>
            <w:tcBorders>
              <w:tl2br w:val="nil"/>
              <w:tr2bl w:val="nil"/>
            </w:tcBorders>
          </w:tcPr>
          <w:p>
            <w:pPr>
              <w:pStyle w:val="383"/>
              <w:spacing w:before="55"/>
              <w:ind w:left="591" w:right="58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④卵石</w:t>
            </w:r>
          </w:p>
        </w:tc>
        <w:tc>
          <w:tcPr>
            <w:tcW w:w="3020" w:type="dxa"/>
            <w:tcBorders>
              <w:tl2br w:val="nil"/>
              <w:tr2bl w:val="nil"/>
            </w:tcBorders>
          </w:tcPr>
          <w:p>
            <w:pPr>
              <w:pStyle w:val="383"/>
              <w:spacing w:before="54"/>
              <w:ind w:left="1048" w:right="104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中等透水</w:t>
            </w:r>
          </w:p>
        </w:tc>
        <w:tc>
          <w:tcPr>
            <w:tcW w:w="3019" w:type="dxa"/>
            <w:tcBorders>
              <w:tl2br w:val="nil"/>
              <w:tr2bl w:val="nil"/>
            </w:tcBorders>
          </w:tcPr>
          <w:p>
            <w:pPr>
              <w:pStyle w:val="383"/>
              <w:spacing w:before="66"/>
              <w:ind w:left="668" w:right="65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2.0×10</w:t>
            </w:r>
            <w:r>
              <w:rPr>
                <w:rFonts w:ascii="Times New Roman" w:hAnsi="Times New Roman" w:cs="Times New Roman"/>
                <w:color w:val="000000" w:themeColor="text1"/>
                <w:position w:val="6"/>
                <w:sz w:val="18"/>
                <w:szCs w:val="18"/>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1" w:hRule="atLeast"/>
        </w:trPr>
        <w:tc>
          <w:tcPr>
            <w:tcW w:w="3020" w:type="dxa"/>
            <w:tcBorders>
              <w:tl2br w:val="nil"/>
              <w:tr2bl w:val="nil"/>
            </w:tcBorders>
          </w:tcPr>
          <w:p>
            <w:pPr>
              <w:pStyle w:val="383"/>
              <w:spacing w:before="55"/>
              <w:ind w:left="591" w:right="58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⑤-1强风化泥质粉砂岩</w:t>
            </w:r>
          </w:p>
        </w:tc>
        <w:tc>
          <w:tcPr>
            <w:tcW w:w="3020" w:type="dxa"/>
            <w:tcBorders>
              <w:tl2br w:val="nil"/>
              <w:tr2bl w:val="nil"/>
            </w:tcBorders>
          </w:tcPr>
          <w:p>
            <w:pPr>
              <w:pStyle w:val="383"/>
              <w:spacing w:before="54"/>
              <w:ind w:left="1048" w:right="104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极微透水</w:t>
            </w:r>
          </w:p>
        </w:tc>
        <w:tc>
          <w:tcPr>
            <w:tcW w:w="3019" w:type="dxa"/>
            <w:tcBorders>
              <w:tl2br w:val="nil"/>
              <w:tr2bl w:val="nil"/>
            </w:tcBorders>
          </w:tcPr>
          <w:p>
            <w:pPr>
              <w:pStyle w:val="383"/>
              <w:spacing w:before="66"/>
              <w:ind w:left="668" w:right="65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5.0×10</w:t>
            </w:r>
            <w:r>
              <w:rPr>
                <w:rFonts w:ascii="Times New Roman" w:hAnsi="Times New Roman" w:cs="Times New Roman"/>
                <w:color w:val="000000" w:themeColor="text1"/>
                <w:position w:val="6"/>
                <w:sz w:val="18"/>
                <w:szCs w:val="18"/>
                <w14:textFill>
                  <w14:solidFill>
                    <w14:schemeClr w14:val="tx1"/>
                  </w14:solidFill>
                </w14:textFill>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6" w:hRule="atLeast"/>
        </w:trPr>
        <w:tc>
          <w:tcPr>
            <w:tcW w:w="3020" w:type="dxa"/>
            <w:tcBorders>
              <w:tl2br w:val="nil"/>
              <w:tr2bl w:val="nil"/>
            </w:tcBorders>
          </w:tcPr>
          <w:p>
            <w:pPr>
              <w:pStyle w:val="383"/>
              <w:spacing w:before="55"/>
              <w:ind w:left="591" w:right="58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⑤-2中风化泥质粉砂岩</w:t>
            </w:r>
          </w:p>
        </w:tc>
        <w:tc>
          <w:tcPr>
            <w:tcW w:w="3020" w:type="dxa"/>
            <w:tcBorders>
              <w:tl2br w:val="nil"/>
              <w:tr2bl w:val="nil"/>
            </w:tcBorders>
          </w:tcPr>
          <w:p>
            <w:pPr>
              <w:pStyle w:val="383"/>
              <w:spacing w:before="55"/>
              <w:ind w:left="1048" w:right="104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极微透水</w:t>
            </w:r>
          </w:p>
        </w:tc>
        <w:tc>
          <w:tcPr>
            <w:tcW w:w="3019" w:type="dxa"/>
            <w:tcBorders>
              <w:tl2br w:val="nil"/>
              <w:tr2bl w:val="nil"/>
            </w:tcBorders>
          </w:tcPr>
          <w:p>
            <w:pPr>
              <w:pStyle w:val="383"/>
              <w:spacing w:before="66"/>
              <w:ind w:left="668" w:right="659"/>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2.0×10</w:t>
            </w:r>
            <w:r>
              <w:rPr>
                <w:rFonts w:ascii="Times New Roman" w:hAnsi="Times New Roman" w:cs="Times New Roman"/>
                <w:color w:val="000000" w:themeColor="text1"/>
                <w:position w:val="6"/>
                <w:sz w:val="18"/>
                <w:szCs w:val="18"/>
                <w14:textFill>
                  <w14:solidFill>
                    <w14:schemeClr w14:val="tx1"/>
                  </w14:solidFill>
                </w14:textFill>
              </w:rPr>
              <w:t>-8</w:t>
            </w:r>
          </w:p>
        </w:tc>
      </w:tr>
    </w:tbl>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根据上表对本项目区的垂直渗透系数取平均值及水力坡度见表</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.2-24。</w:t>
      </w:r>
    </w:p>
    <w:p>
      <w:pPr>
        <w:pStyle w:val="51"/>
        <w:spacing w:line="498" w:lineRule="exact"/>
        <w:ind w:firstLine="482" w:firstLineChars="200"/>
        <w:jc w:val="center"/>
        <w:rPr>
          <w:rFonts w:ascii="Times New Roman" w:cs="Times New Roman" w:hAnsiTheme="minorEastAsia" w:eastAsiaTheme="minorEastAsia"/>
          <w:b/>
          <w:bCs/>
          <w:color w:val="000000" w:themeColor="text1"/>
          <w:sz w:val="24"/>
          <w14:textFill>
            <w14:solidFill>
              <w14:schemeClr w14:val="tx1"/>
            </w14:solidFill>
          </w14:textFill>
        </w:rPr>
      </w:pPr>
      <w:r>
        <w:rPr>
          <w:rFonts w:hint="eastAsia" w:ascii="Times New Roman" w:cs="Times New Roman" w:hAnsiTheme="minorEastAsia" w:eastAsiaTheme="minorEastAsia"/>
          <w:b/>
          <w:bCs/>
          <w:color w:val="000000" w:themeColor="text1"/>
          <w:sz w:val="24"/>
          <w14:textFill>
            <w14:solidFill>
              <w14:schemeClr w14:val="tx1"/>
            </w14:solidFill>
          </w14:textFill>
        </w:rPr>
        <w:t>表</w:t>
      </w:r>
      <w:r>
        <w:rPr>
          <w:rFonts w:hint="eastAsia" w:ascii="Times New Roman" w:cs="Times New Roman" w:hAnsiTheme="minorEastAsia" w:eastAsiaTheme="minorEastAsia"/>
          <w:b/>
          <w:bCs/>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b/>
          <w:bCs/>
          <w:color w:val="000000" w:themeColor="text1"/>
          <w:sz w:val="24"/>
          <w14:textFill>
            <w14:solidFill>
              <w14:schemeClr w14:val="tx1"/>
            </w14:solidFill>
          </w14:textFill>
        </w:rPr>
        <w:t>.2-24</w:t>
      </w:r>
      <w:r>
        <w:rPr>
          <w:rFonts w:hint="eastAsia" w:ascii="Times New Roman" w:cs="Times New Roman" w:hAnsiTheme="minorEastAsia" w:eastAsiaTheme="minorEastAsia"/>
          <w:b/>
          <w:bCs/>
          <w:color w:val="000000" w:themeColor="text1"/>
          <w:sz w:val="24"/>
          <w14:textFill>
            <w14:solidFill>
              <w14:schemeClr w14:val="tx1"/>
            </w14:solidFill>
          </w14:textFill>
        </w:rPr>
        <w:tab/>
      </w:r>
      <w:r>
        <w:rPr>
          <w:rFonts w:hint="eastAsia" w:ascii="Times New Roman" w:cs="Times New Roman" w:hAnsiTheme="minorEastAsia" w:eastAsiaTheme="minorEastAsia"/>
          <w:b/>
          <w:bCs/>
          <w:color w:val="000000" w:themeColor="text1"/>
          <w:sz w:val="24"/>
          <w14:textFill>
            <w14:solidFill>
              <w14:schemeClr w14:val="tx1"/>
            </w14:solidFill>
          </w14:textFill>
        </w:rPr>
        <w:t>渗透系数及水力坡度</w:t>
      </w:r>
    </w:p>
    <w:tbl>
      <w:tblPr>
        <w:tblStyle w:val="87"/>
        <w:tblW w:w="8978"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3"/>
        <w:gridCol w:w="3016"/>
        <w:gridCol w:w="37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203" w:type="dxa"/>
            <w:tcBorders>
              <w:top w:val="single" w:color="000000" w:sz="12" w:space="0"/>
              <w:left w:val="single" w:color="000000" w:sz="12" w:space="0"/>
              <w:bottom w:val="single" w:color="000000" w:sz="4" w:space="0"/>
              <w:right w:val="single" w:color="000000" w:sz="4" w:space="0"/>
            </w:tcBorders>
          </w:tcPr>
          <w:p>
            <w:pPr>
              <w:pStyle w:val="383"/>
              <w:spacing w:before="55"/>
              <w:ind w:left="10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项目</w:t>
            </w:r>
          </w:p>
        </w:tc>
        <w:tc>
          <w:tcPr>
            <w:tcW w:w="3016" w:type="dxa"/>
            <w:tcBorders>
              <w:top w:val="single" w:color="000000" w:sz="12" w:space="0"/>
              <w:left w:val="single" w:color="000000" w:sz="4" w:space="0"/>
              <w:bottom w:val="single" w:color="000000" w:sz="4" w:space="0"/>
              <w:right w:val="single" w:color="000000" w:sz="4" w:space="0"/>
            </w:tcBorders>
          </w:tcPr>
          <w:p>
            <w:pPr>
              <w:pStyle w:val="383"/>
              <w:spacing w:before="55"/>
              <w:ind w:left="10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渗透系数(cm/s)</w:t>
            </w:r>
          </w:p>
        </w:tc>
        <w:tc>
          <w:tcPr>
            <w:tcW w:w="3759" w:type="dxa"/>
            <w:tcBorders>
              <w:top w:val="single" w:color="000000" w:sz="12" w:space="0"/>
              <w:left w:val="single" w:color="000000" w:sz="4" w:space="0"/>
              <w:bottom w:val="single" w:color="000000" w:sz="4" w:space="0"/>
              <w:right w:val="single" w:color="000000" w:sz="12" w:space="0"/>
            </w:tcBorders>
          </w:tcPr>
          <w:p>
            <w:pPr>
              <w:pStyle w:val="383"/>
              <w:spacing w:before="55"/>
              <w:ind w:left="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水力坡度（‰）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203" w:type="dxa"/>
            <w:tcBorders>
              <w:top w:val="single" w:color="000000" w:sz="4" w:space="0"/>
              <w:left w:val="single" w:color="000000" w:sz="12" w:space="0"/>
              <w:bottom w:val="single" w:color="000000" w:sz="12" w:space="0"/>
              <w:right w:val="single" w:color="000000" w:sz="4" w:space="0"/>
            </w:tcBorders>
          </w:tcPr>
          <w:p>
            <w:pPr>
              <w:pStyle w:val="383"/>
              <w:spacing w:before="54"/>
              <w:ind w:left="10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项目区含水层</w:t>
            </w:r>
          </w:p>
        </w:tc>
        <w:tc>
          <w:tcPr>
            <w:tcW w:w="3016" w:type="dxa"/>
            <w:tcBorders>
              <w:top w:val="single" w:color="000000" w:sz="4" w:space="0"/>
              <w:left w:val="single" w:color="000000" w:sz="4" w:space="0"/>
              <w:bottom w:val="single" w:color="000000" w:sz="12" w:space="0"/>
              <w:right w:val="single" w:color="000000" w:sz="4" w:space="0"/>
            </w:tcBorders>
          </w:tcPr>
          <w:p>
            <w:pPr>
              <w:pStyle w:val="383"/>
              <w:spacing w:before="66"/>
              <w:ind w:left="108"/>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4.64×10</w:t>
            </w:r>
            <w:r>
              <w:rPr>
                <w:rFonts w:ascii="Times New Roman" w:hAnsi="Times New Roman" w:cs="Times New Roman"/>
                <w:color w:val="000000" w:themeColor="text1"/>
                <w:position w:val="6"/>
                <w:sz w:val="18"/>
                <w:szCs w:val="18"/>
                <w14:textFill>
                  <w14:solidFill>
                    <w14:schemeClr w14:val="tx1"/>
                  </w14:solidFill>
                </w14:textFill>
              </w:rPr>
              <w:t>-4</w:t>
            </w:r>
          </w:p>
        </w:tc>
        <w:tc>
          <w:tcPr>
            <w:tcW w:w="3759" w:type="dxa"/>
            <w:tcBorders>
              <w:top w:val="single" w:color="000000" w:sz="4" w:space="0"/>
              <w:left w:val="single" w:color="000000" w:sz="4" w:space="0"/>
              <w:bottom w:val="single" w:color="000000" w:sz="12" w:space="0"/>
              <w:right w:val="single" w:color="000000" w:sz="12" w:space="0"/>
            </w:tcBorders>
          </w:tcPr>
          <w:p>
            <w:pPr>
              <w:pStyle w:val="383"/>
              <w:spacing w:before="66"/>
              <w:ind w:left="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w:t>
            </w:r>
          </w:p>
        </w:tc>
      </w:tr>
    </w:tbl>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②隙度的确定</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区域的土壤孔隙度平均值为0.448。</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③弥散度的确定</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含水层弥散度类比取值见表</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.2-25。</w:t>
      </w:r>
    </w:p>
    <w:p>
      <w:pPr>
        <w:pStyle w:val="51"/>
        <w:spacing w:line="498" w:lineRule="exact"/>
        <w:ind w:firstLine="3132" w:firstLineChars="1300"/>
        <w:rPr>
          <w:rFonts w:ascii="Times New Roman" w:cs="Times New Roman" w:hAnsiTheme="minorEastAsia" w:eastAsiaTheme="minorEastAsia"/>
          <w:b/>
          <w:bCs/>
          <w:color w:val="000000" w:themeColor="text1"/>
          <w:sz w:val="24"/>
          <w14:textFill>
            <w14:solidFill>
              <w14:schemeClr w14:val="tx1"/>
            </w14:solidFill>
          </w14:textFill>
        </w:rPr>
      </w:pPr>
      <w:r>
        <w:rPr>
          <w:rFonts w:hint="eastAsia" w:ascii="Times New Roman" w:cs="Times New Roman" w:hAnsiTheme="minorEastAsia" w:eastAsiaTheme="minorEastAsia"/>
          <w:b/>
          <w:bCs/>
          <w:color w:val="000000" w:themeColor="text1"/>
          <w:sz w:val="24"/>
          <w14:textFill>
            <w14:solidFill>
              <w14:schemeClr w14:val="tx1"/>
            </w14:solidFill>
          </w14:textFill>
        </w:rPr>
        <w:t>表</w:t>
      </w:r>
      <w:r>
        <w:rPr>
          <w:rFonts w:hint="eastAsia" w:ascii="Times New Roman" w:cs="Times New Roman" w:hAnsiTheme="minorEastAsia" w:eastAsiaTheme="minorEastAsia"/>
          <w:b/>
          <w:bCs/>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b/>
          <w:bCs/>
          <w:color w:val="000000" w:themeColor="text1"/>
          <w:sz w:val="24"/>
          <w14:textFill>
            <w14:solidFill>
              <w14:schemeClr w14:val="tx1"/>
            </w14:solidFill>
          </w14:textFill>
        </w:rPr>
        <w:t>.2-25 含水层弥散度类比取值表</w:t>
      </w:r>
    </w:p>
    <w:tbl>
      <w:tblPr>
        <w:tblStyle w:val="87"/>
        <w:tblW w:w="9019"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0"/>
        <w:gridCol w:w="2210"/>
        <w:gridCol w:w="1793"/>
        <w:gridCol w:w="23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700" w:type="dxa"/>
            <w:tcBorders>
              <w:top w:val="single" w:color="000000" w:sz="12" w:space="0"/>
              <w:left w:val="single" w:color="000000" w:sz="12" w:space="0"/>
              <w:bottom w:val="single" w:color="000000" w:sz="4" w:space="0"/>
              <w:right w:val="single" w:color="000000" w:sz="4" w:space="0"/>
            </w:tcBorders>
          </w:tcPr>
          <w:p>
            <w:pPr>
              <w:pStyle w:val="383"/>
              <w:spacing w:before="26"/>
              <w:ind w:left="494" w:right="49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粒径变化范围（mm）</w:t>
            </w:r>
          </w:p>
        </w:tc>
        <w:tc>
          <w:tcPr>
            <w:tcW w:w="2210" w:type="dxa"/>
            <w:tcBorders>
              <w:top w:val="single" w:color="000000" w:sz="12" w:space="0"/>
              <w:left w:val="single" w:color="000000" w:sz="4" w:space="0"/>
              <w:bottom w:val="single" w:color="000000" w:sz="4" w:space="0"/>
              <w:right w:val="single" w:color="000000" w:sz="4" w:space="0"/>
            </w:tcBorders>
          </w:tcPr>
          <w:p>
            <w:pPr>
              <w:pStyle w:val="383"/>
              <w:spacing w:before="26"/>
              <w:ind w:left="406" w:right="404"/>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均匀度系数</w:t>
            </w:r>
          </w:p>
        </w:tc>
        <w:tc>
          <w:tcPr>
            <w:tcW w:w="1793" w:type="dxa"/>
            <w:tcBorders>
              <w:top w:val="single" w:color="000000" w:sz="12" w:space="0"/>
              <w:left w:val="single" w:color="000000" w:sz="4" w:space="0"/>
              <w:bottom w:val="single" w:color="000000" w:sz="4" w:space="0"/>
              <w:right w:val="single" w:color="000000" w:sz="4" w:space="0"/>
            </w:tcBorders>
          </w:tcPr>
          <w:p>
            <w:pPr>
              <w:pStyle w:val="383"/>
              <w:spacing w:before="26"/>
              <w:ind w:left="406" w:right="40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指数m</w:t>
            </w:r>
          </w:p>
        </w:tc>
        <w:tc>
          <w:tcPr>
            <w:tcW w:w="2316" w:type="dxa"/>
            <w:tcBorders>
              <w:top w:val="single" w:color="000000" w:sz="12" w:space="0"/>
              <w:left w:val="single" w:color="000000" w:sz="4" w:space="0"/>
              <w:bottom w:val="single" w:color="000000" w:sz="4" w:space="0"/>
              <w:right w:val="single" w:color="000000" w:sz="12" w:space="0"/>
            </w:tcBorders>
          </w:tcPr>
          <w:p>
            <w:pPr>
              <w:pStyle w:val="383"/>
              <w:spacing w:before="26"/>
              <w:ind w:left="506" w:right="505"/>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弥散度 a（m）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7"/>
              <w:ind w:left="494" w:right="49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0.4-0.7</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7"/>
              <w:ind w:left="406" w:right="40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1.55</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7"/>
              <w:ind w:left="406" w:right="4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1.09</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7"/>
              <w:ind w:left="506" w:right="49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8"/>
              <w:ind w:left="494" w:right="49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0.5-1.5</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8"/>
              <w:ind w:left="406" w:right="403"/>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1.85</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8"/>
              <w:ind w:left="406" w:right="40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8"/>
              <w:ind w:left="506" w:right="49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7"/>
              <w:ind w:left="494" w:right="49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7"/>
              <w:ind w:left="406" w:right="40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1.6</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7"/>
              <w:ind w:left="406" w:right="402"/>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7"/>
              <w:ind w:left="506" w:right="49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9"/>
              <w:ind w:left="494" w:right="49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2-3</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9"/>
              <w:ind w:left="406" w:right="40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9"/>
              <w:ind w:left="406" w:right="4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1.09</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9"/>
              <w:ind w:left="506" w:right="49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5"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8"/>
              <w:ind w:left="494" w:right="49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5-7</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8"/>
              <w:ind w:left="406" w:right="401"/>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8"/>
              <w:ind w:left="406" w:right="4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1.09</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8"/>
              <w:ind w:left="506" w:right="499"/>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5"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7"/>
              <w:ind w:right="1180"/>
              <w:jc w:val="righ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0.5-2</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7"/>
              <w:ind w:left="831"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7"/>
              <w:ind w:left="406" w:right="4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1.08</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7"/>
              <w:ind w:right="967"/>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3.11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8"/>
              <w:ind w:right="1180"/>
              <w:jc w:val="righ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0.2-5</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8"/>
              <w:ind w:left="831"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8"/>
              <w:ind w:left="406" w:right="4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1.08</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8"/>
              <w:ind w:right="967"/>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8.30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2700" w:type="dxa"/>
            <w:tcBorders>
              <w:top w:val="single" w:color="000000" w:sz="4" w:space="0"/>
              <w:left w:val="single" w:color="000000" w:sz="12" w:space="0"/>
              <w:bottom w:val="single" w:color="000000" w:sz="4" w:space="0"/>
              <w:right w:val="single" w:color="000000" w:sz="4" w:space="0"/>
            </w:tcBorders>
          </w:tcPr>
          <w:p>
            <w:pPr>
              <w:pStyle w:val="383"/>
              <w:spacing w:before="37"/>
              <w:ind w:right="1135"/>
              <w:jc w:val="righ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0.1-10</w:t>
            </w:r>
          </w:p>
        </w:tc>
        <w:tc>
          <w:tcPr>
            <w:tcW w:w="2210" w:type="dxa"/>
            <w:tcBorders>
              <w:top w:val="single" w:color="000000" w:sz="4" w:space="0"/>
              <w:left w:val="single" w:color="000000" w:sz="4" w:space="0"/>
              <w:bottom w:val="single" w:color="000000" w:sz="4" w:space="0"/>
              <w:right w:val="single" w:color="000000" w:sz="4" w:space="0"/>
            </w:tcBorders>
          </w:tcPr>
          <w:p>
            <w:pPr>
              <w:pStyle w:val="383"/>
              <w:spacing w:before="37"/>
              <w:ind w:left="78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w:t>
            </w:r>
          </w:p>
        </w:tc>
        <w:tc>
          <w:tcPr>
            <w:tcW w:w="1793" w:type="dxa"/>
            <w:tcBorders>
              <w:top w:val="single" w:color="000000" w:sz="4" w:space="0"/>
              <w:left w:val="single" w:color="000000" w:sz="4" w:space="0"/>
              <w:bottom w:val="single" w:color="000000" w:sz="4" w:space="0"/>
              <w:right w:val="single" w:color="000000" w:sz="4" w:space="0"/>
            </w:tcBorders>
          </w:tcPr>
          <w:p>
            <w:pPr>
              <w:pStyle w:val="383"/>
              <w:spacing w:before="37"/>
              <w:ind w:left="406" w:right="4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1.07</w:t>
            </w:r>
          </w:p>
        </w:tc>
        <w:tc>
          <w:tcPr>
            <w:tcW w:w="2316" w:type="dxa"/>
            <w:tcBorders>
              <w:top w:val="single" w:color="000000" w:sz="4" w:space="0"/>
              <w:left w:val="single" w:color="000000" w:sz="4" w:space="0"/>
              <w:bottom w:val="single" w:color="000000" w:sz="4" w:space="0"/>
              <w:right w:val="single" w:color="000000" w:sz="12" w:space="0"/>
            </w:tcBorders>
          </w:tcPr>
          <w:p>
            <w:pPr>
              <w:pStyle w:val="383"/>
              <w:spacing w:before="37"/>
              <w:ind w:right="967"/>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16.3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2700" w:type="dxa"/>
            <w:tcBorders>
              <w:top w:val="single" w:color="000000" w:sz="4" w:space="0"/>
              <w:left w:val="single" w:color="000000" w:sz="12" w:space="0"/>
              <w:bottom w:val="single" w:color="000000" w:sz="12" w:space="0"/>
              <w:right w:val="single" w:color="000000" w:sz="4" w:space="0"/>
            </w:tcBorders>
          </w:tcPr>
          <w:p>
            <w:pPr>
              <w:pStyle w:val="383"/>
              <w:spacing w:before="39"/>
              <w:ind w:right="1089"/>
              <w:jc w:val="righ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0.05-20</w:t>
            </w:r>
          </w:p>
        </w:tc>
        <w:tc>
          <w:tcPr>
            <w:tcW w:w="2210" w:type="dxa"/>
            <w:tcBorders>
              <w:top w:val="single" w:color="000000" w:sz="4" w:space="0"/>
              <w:left w:val="single" w:color="000000" w:sz="4" w:space="0"/>
              <w:bottom w:val="single" w:color="000000" w:sz="12" w:space="0"/>
              <w:right w:val="single" w:color="000000" w:sz="4" w:space="0"/>
            </w:tcBorders>
          </w:tcPr>
          <w:p>
            <w:pPr>
              <w:pStyle w:val="383"/>
              <w:spacing w:before="39"/>
              <w:ind w:left="786" w:firstLine="180" w:firstLineChars="1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20</w:t>
            </w:r>
          </w:p>
        </w:tc>
        <w:tc>
          <w:tcPr>
            <w:tcW w:w="1793" w:type="dxa"/>
            <w:tcBorders>
              <w:top w:val="single" w:color="000000" w:sz="4" w:space="0"/>
              <w:left w:val="single" w:color="000000" w:sz="4" w:space="0"/>
              <w:bottom w:val="single" w:color="000000" w:sz="12" w:space="0"/>
              <w:right w:val="single" w:color="000000" w:sz="4" w:space="0"/>
            </w:tcBorders>
          </w:tcPr>
          <w:p>
            <w:pPr>
              <w:pStyle w:val="383"/>
              <w:spacing w:before="39"/>
              <w:ind w:left="406" w:right="400"/>
              <w:jc w:val="center"/>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1.07</w:t>
            </w:r>
          </w:p>
        </w:tc>
        <w:tc>
          <w:tcPr>
            <w:tcW w:w="2316" w:type="dxa"/>
            <w:tcBorders>
              <w:top w:val="single" w:color="000000" w:sz="4" w:space="0"/>
              <w:left w:val="single" w:color="000000" w:sz="4" w:space="0"/>
              <w:bottom w:val="single" w:color="000000" w:sz="12" w:space="0"/>
              <w:right w:val="single" w:color="000000" w:sz="12" w:space="0"/>
            </w:tcBorders>
          </w:tcPr>
          <w:p>
            <w:pPr>
              <w:pStyle w:val="383"/>
              <w:spacing w:before="39"/>
              <w:ind w:right="967"/>
              <w:jc w:val="center"/>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 xml:space="preserve">           </w:t>
            </w:r>
            <w:r>
              <w:rPr>
                <w:rFonts w:ascii="Times New Roman" w:hAnsi="Times New Roman" w:cs="Times New Roman"/>
                <w:color w:val="000000" w:themeColor="text1"/>
                <w:sz w:val="18"/>
                <w14:textFill>
                  <w14:solidFill>
                    <w14:schemeClr w14:val="tx1"/>
                  </w14:solidFill>
                </w14:textFill>
              </w:rPr>
              <w:t>70.7</w:t>
            </w:r>
          </w:p>
        </w:tc>
      </w:tr>
    </w:tbl>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其一维稳定流动一维水动力弥散问题污染物运移示意图见图</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2</w:t>
      </w:r>
      <w:r>
        <w:rPr>
          <w:rFonts w:hint="eastAsia" w:ascii="Times New Roman" w:cs="Times New Roman" w:hAnsiTheme="minorEastAsia" w:eastAsiaTheme="minorEastAsia"/>
          <w:color w:val="000000" w:themeColor="text1"/>
          <w:sz w:val="24"/>
          <w14:textFill>
            <w14:solidFill>
              <w14:schemeClr w14:val="tx1"/>
            </w14:solidFill>
          </w14:textFill>
        </w:rPr>
        <w:t>-</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7</w:t>
      </w:r>
      <w:r>
        <w:rPr>
          <w:rFonts w:hint="eastAsia" w:ascii="Times New Roman" w:cs="Times New Roman" w:hAnsiTheme="minorEastAsia" w:eastAsiaTheme="minorEastAsia"/>
          <w:color w:val="000000" w:themeColor="text1"/>
          <w:sz w:val="24"/>
          <w14:textFill>
            <w14:solidFill>
              <w14:schemeClr w14:val="tx1"/>
            </w14:solidFill>
          </w14:textFill>
        </w:rPr>
        <w:t>。</w:t>
      </w:r>
    </w:p>
    <w:p>
      <w:pPr>
        <w:pStyle w:val="51"/>
        <w:spacing w:line="498" w:lineRule="exact"/>
        <w:ind w:firstLine="600" w:firstLineChars="200"/>
        <w:rPr>
          <w:rFonts w:ascii="Times New Roman" w:cs="Times New Roman" w:hAnsiTheme="minorEastAsia"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8960" behindDoc="0" locked="0" layoutInCell="1" allowOverlap="1">
            <wp:simplePos x="0" y="0"/>
            <wp:positionH relativeFrom="page">
              <wp:posOffset>1491615</wp:posOffset>
            </wp:positionH>
            <wp:positionV relativeFrom="paragraph">
              <wp:posOffset>20320</wp:posOffset>
            </wp:positionV>
            <wp:extent cx="4581525" cy="2200275"/>
            <wp:effectExtent l="0" t="0" r="9525" b="9525"/>
            <wp:wrapNone/>
            <wp:docPr id="1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a:picLocks noChangeAspect="1"/>
                    </pic:cNvPicPr>
                  </pic:nvPicPr>
                  <pic:blipFill>
                    <a:blip r:embed="rId29" cstate="print"/>
                    <a:stretch>
                      <a:fillRect/>
                    </a:stretch>
                  </pic:blipFill>
                  <pic:spPr>
                    <a:xfrm>
                      <a:off x="0" y="0"/>
                      <a:ext cx="4581525" cy="2200275"/>
                    </a:xfrm>
                    <a:prstGeom prst="rect">
                      <a:avLst/>
                    </a:prstGeom>
                  </pic:spPr>
                </pic:pic>
              </a:graphicData>
            </a:graphic>
          </wp:anchor>
        </w:drawing>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tabs>
          <w:tab w:val="left" w:pos="859"/>
        </w:tabs>
        <w:ind w:right="9"/>
        <w:jc w:val="center"/>
        <w:rPr>
          <w:rFonts w:ascii="Times New Roman" w:hAnsiTheme="minorEastAsia" w:eastAsiaTheme="minorEastAsia"/>
          <w:color w:val="000000" w:themeColor="text1"/>
          <w:sz w:val="24"/>
          <w14:textFill>
            <w14:solidFill>
              <w14:schemeClr w14:val="tx1"/>
            </w14:solidFill>
          </w14:textFill>
        </w:rPr>
      </w:pPr>
      <w:r>
        <w:rPr>
          <w:b/>
          <w:color w:val="000000" w:themeColor="text1"/>
          <w:sz w:val="24"/>
          <w:szCs w:val="24"/>
          <w14:textFill>
            <w14:solidFill>
              <w14:schemeClr w14:val="tx1"/>
            </w14:solidFill>
          </w14:textFill>
        </w:rPr>
        <w:t>图</w:t>
      </w:r>
      <w:r>
        <w:rPr>
          <w:rFonts w:hint="eastAsia" w:ascii="Times New Roman"/>
          <w:b/>
          <w:color w:val="000000" w:themeColor="text1"/>
          <w:sz w:val="24"/>
          <w:szCs w:val="24"/>
          <w:lang w:val="en-US" w:eastAsia="zh-CN"/>
          <w14:textFill>
            <w14:solidFill>
              <w14:schemeClr w14:val="tx1"/>
            </w14:solidFill>
          </w14:textFill>
        </w:rPr>
        <w:t>6</w:t>
      </w:r>
      <w:r>
        <w:rPr>
          <w:rFonts w:ascii="Times New Roman" w:eastAsia="Times New Roman"/>
          <w:b/>
          <w:color w:val="000000" w:themeColor="text1"/>
          <w:sz w:val="24"/>
          <w:szCs w:val="24"/>
          <w14:textFill>
            <w14:solidFill>
              <w14:schemeClr w14:val="tx1"/>
            </w14:solidFill>
          </w14:textFill>
        </w:rPr>
        <w:t>.</w:t>
      </w:r>
      <w:r>
        <w:rPr>
          <w:rFonts w:hint="eastAsia" w:ascii="Times New Roman"/>
          <w:b/>
          <w:color w:val="000000" w:themeColor="text1"/>
          <w:sz w:val="24"/>
          <w:szCs w:val="24"/>
          <w14:textFill>
            <w14:solidFill>
              <w14:schemeClr w14:val="tx1"/>
            </w14:solidFill>
          </w14:textFill>
        </w:rPr>
        <w:t>2</w:t>
      </w:r>
      <w:r>
        <w:rPr>
          <w:rFonts w:ascii="Times New Roman" w:eastAsia="Times New Roman"/>
          <w:b/>
          <w:color w:val="000000" w:themeColor="text1"/>
          <w:sz w:val="24"/>
          <w:szCs w:val="24"/>
          <w14:textFill>
            <w14:solidFill>
              <w14:schemeClr w14:val="tx1"/>
            </w14:solidFill>
          </w14:textFill>
        </w:rPr>
        <w:t>-</w:t>
      </w:r>
      <w:r>
        <w:rPr>
          <w:rFonts w:hint="eastAsia" w:ascii="Times New Roman"/>
          <w:b/>
          <w:color w:val="000000" w:themeColor="text1"/>
          <w:sz w:val="24"/>
          <w:szCs w:val="24"/>
          <w:lang w:val="en-US" w:eastAsia="zh-CN"/>
          <w14:textFill>
            <w14:solidFill>
              <w14:schemeClr w14:val="tx1"/>
            </w14:solidFill>
          </w14:textFill>
        </w:rPr>
        <w:t>7</w:t>
      </w:r>
      <w:r>
        <w:rPr>
          <w:rFonts w:ascii="Times New Roman" w:eastAsia="Times New Roman"/>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t>一维稳定流动一维水动力弥散问题污染物运移示意图</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④水流速度</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地下水实际流速和弥散系数的确定按下列方法取得：</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bookmarkStart w:id="460" w:name="U＝K×I/n；DL＝aL×Um；DT＝aT×Um"/>
      <w:bookmarkEnd w:id="460"/>
      <w:r>
        <w:rPr>
          <w:rFonts w:hint="eastAsia" w:ascii="Times New Roman" w:cs="Times New Roman" w:hAnsiTheme="minorEastAsia" w:eastAsiaTheme="minorEastAsia"/>
          <w:color w:val="000000" w:themeColor="text1"/>
          <w:sz w:val="24"/>
          <w14:textFill>
            <w14:solidFill>
              <w14:schemeClr w14:val="tx1"/>
            </w14:solidFill>
          </w14:textFill>
        </w:rPr>
        <w:t>U＝K×I/n；DL＝aL×Um；D</w:t>
      </w:r>
      <w:r>
        <w:rPr>
          <w:rFonts w:hint="eastAsia" w:ascii="Times New Roman" w:cs="Times New Roman" w:hAnsiTheme="minorEastAsia" w:eastAsiaTheme="minorEastAsia"/>
          <w:color w:val="000000" w:themeColor="text1"/>
          <w:sz w:val="24"/>
          <w:vertAlign w:val="subscript"/>
          <w14:textFill>
            <w14:solidFill>
              <w14:schemeClr w14:val="tx1"/>
            </w14:solidFill>
          </w14:textFill>
        </w:rPr>
        <w:t>T</w:t>
      </w:r>
      <w:r>
        <w:rPr>
          <w:rFonts w:hint="eastAsia" w:ascii="Times New Roman" w:cs="Times New Roman" w:hAnsiTheme="minorEastAsia" w:eastAsiaTheme="minorEastAsia"/>
          <w:color w:val="000000" w:themeColor="text1"/>
          <w:sz w:val="24"/>
          <w14:textFill>
            <w14:solidFill>
              <w14:schemeClr w14:val="tx1"/>
            </w14:solidFill>
          </w14:textFill>
        </w:rPr>
        <w:t>＝aT×Um</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其中：U—地下水实际流速，m/d；</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K—渗透系数，m/d；</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I—水力坡度；</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 xml:space="preserve">n—孔隙度； </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m—指数；</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DL—纵向弥散系数，m</w:t>
      </w:r>
      <w:r>
        <w:rPr>
          <w:rFonts w:hint="eastAsia" w:ascii="Times New Roman" w:cs="Times New Roman" w:hAnsiTheme="minorEastAsia" w:eastAsiaTheme="minorEastAsia"/>
          <w:color w:val="000000" w:themeColor="text1"/>
          <w:sz w:val="24"/>
          <w:vertAlign w:val="superscript"/>
          <w14:textFill>
            <w14:solidFill>
              <w14:schemeClr w14:val="tx1"/>
            </w14:solidFill>
          </w14:textFill>
        </w:rPr>
        <w:t>2</w:t>
      </w:r>
      <w:r>
        <w:rPr>
          <w:rFonts w:hint="eastAsia" w:ascii="Times New Roman" w:cs="Times New Roman" w:hAnsiTheme="minorEastAsia" w:eastAsiaTheme="minorEastAsia"/>
          <w:color w:val="000000" w:themeColor="text1"/>
          <w:sz w:val="24"/>
          <w14:textFill>
            <w14:solidFill>
              <w14:schemeClr w14:val="tx1"/>
            </w14:solidFill>
          </w14:textFill>
        </w:rPr>
        <w:t>/d；</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DT—横向弥散系数，m</w:t>
      </w:r>
      <w:r>
        <w:rPr>
          <w:rFonts w:hint="eastAsia" w:ascii="Times New Roman" w:cs="Times New Roman" w:hAnsiTheme="minorEastAsia" w:eastAsiaTheme="minorEastAsia"/>
          <w:color w:val="000000" w:themeColor="text1"/>
          <w:sz w:val="24"/>
          <w:vertAlign w:val="superscript"/>
          <w14:textFill>
            <w14:solidFill>
              <w14:schemeClr w14:val="tx1"/>
            </w14:solidFill>
          </w14:textFill>
        </w:rPr>
        <w:t>2</w:t>
      </w:r>
      <w:r>
        <w:rPr>
          <w:rFonts w:hint="eastAsia" w:ascii="Times New Roman" w:cs="Times New Roman" w:hAnsiTheme="minorEastAsia" w:eastAsiaTheme="minorEastAsia"/>
          <w:color w:val="000000" w:themeColor="text1"/>
          <w:sz w:val="24"/>
          <w14:textFill>
            <w14:solidFill>
              <w14:schemeClr w14:val="tx1"/>
            </w14:solidFill>
          </w14:textFill>
        </w:rPr>
        <w:t>/d；</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 xml:space="preserve">aL—纵向弥散度； </w:t>
      </w:r>
    </w:p>
    <w:p>
      <w:pPr>
        <w:pStyle w:val="51"/>
        <w:spacing w:line="498" w:lineRule="exact"/>
        <w:ind w:firstLine="1200" w:firstLineChars="5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aT—横向弥散度。</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⑤计算时参数取值统计</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计算时渗透系数、水力坡度、水流速度、纵向弥散度、纵向弥散系数统计见表</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.2-26。</w:t>
      </w:r>
    </w:p>
    <w:p>
      <w:pPr>
        <w:pStyle w:val="51"/>
        <w:spacing w:line="498" w:lineRule="exact"/>
        <w:ind w:firstLine="3132" w:firstLineChars="1300"/>
        <w:rPr>
          <w:rFonts w:ascii="Times New Roman" w:cs="Times New Roman" w:hAnsiTheme="minorEastAsia" w:eastAsiaTheme="minorEastAsia"/>
          <w:b/>
          <w:bCs/>
          <w:color w:val="000000" w:themeColor="text1"/>
          <w:sz w:val="24"/>
          <w14:textFill>
            <w14:solidFill>
              <w14:schemeClr w14:val="tx1"/>
            </w14:solidFill>
          </w14:textFill>
        </w:rPr>
      </w:pPr>
      <w:r>
        <w:rPr>
          <w:rFonts w:hint="eastAsia" w:ascii="Times New Roman" w:cs="Times New Roman" w:hAnsiTheme="minorEastAsia" w:eastAsiaTheme="minorEastAsia"/>
          <w:b/>
          <w:bCs/>
          <w:color w:val="000000" w:themeColor="text1"/>
          <w:sz w:val="24"/>
          <w14:textFill>
            <w14:solidFill>
              <w14:schemeClr w14:val="tx1"/>
            </w14:solidFill>
          </w14:textFill>
        </w:rPr>
        <w:t>表</w:t>
      </w:r>
      <w:r>
        <w:rPr>
          <w:rFonts w:hint="eastAsia" w:ascii="Times New Roman" w:cs="Times New Roman" w:hAnsiTheme="minorEastAsia" w:eastAsiaTheme="minorEastAsia"/>
          <w:b/>
          <w:bCs/>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b/>
          <w:bCs/>
          <w:color w:val="000000" w:themeColor="text1"/>
          <w:sz w:val="24"/>
          <w14:textFill>
            <w14:solidFill>
              <w14:schemeClr w14:val="tx1"/>
            </w14:solidFill>
          </w14:textFill>
        </w:rPr>
        <w:t>.2-26</w:t>
      </w:r>
      <w:r>
        <w:rPr>
          <w:rFonts w:hint="eastAsia" w:ascii="Times New Roman" w:cs="Times New Roman" w:hAnsiTheme="minorEastAsia" w:eastAsiaTheme="minorEastAsia"/>
          <w:b/>
          <w:bCs/>
          <w:color w:val="000000" w:themeColor="text1"/>
          <w:sz w:val="24"/>
          <w14:textFill>
            <w14:solidFill>
              <w14:schemeClr w14:val="tx1"/>
            </w14:solidFill>
          </w14:textFill>
        </w:rPr>
        <w:tab/>
      </w:r>
      <w:r>
        <w:rPr>
          <w:rFonts w:hint="eastAsia" w:ascii="Times New Roman" w:cs="Times New Roman" w:hAnsiTheme="minorEastAsia" w:eastAsiaTheme="minorEastAsia"/>
          <w:b/>
          <w:bCs/>
          <w:color w:val="000000" w:themeColor="text1"/>
          <w:sz w:val="24"/>
          <w14:textFill>
            <w14:solidFill>
              <w14:schemeClr w14:val="tx1"/>
            </w14:solidFill>
          </w14:textFill>
        </w:rPr>
        <w:t>计算参数一览表</w:t>
      </w:r>
    </w:p>
    <w:tbl>
      <w:tblPr>
        <w:tblStyle w:val="87"/>
        <w:tblW w:w="8718" w:type="dxa"/>
        <w:tblInd w:w="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9"/>
        <w:gridCol w:w="1159"/>
        <w:gridCol w:w="1739"/>
        <w:gridCol w:w="1739"/>
        <w:gridCol w:w="22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39" w:type="dxa"/>
            <w:tcBorders>
              <w:top w:val="single" w:color="000000" w:sz="12" w:space="0"/>
              <w:left w:val="single" w:color="000000" w:sz="12" w:space="0"/>
              <w:bottom w:val="single" w:color="000000" w:sz="4" w:space="0"/>
              <w:right w:val="single" w:color="000000" w:sz="4" w:space="0"/>
            </w:tcBorders>
          </w:tcPr>
          <w:p>
            <w:pPr>
              <w:pStyle w:val="383"/>
              <w:spacing w:before="54"/>
              <w:ind w:left="180" w:right="173"/>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渗透系数 K(cm/s)</w:t>
            </w:r>
          </w:p>
        </w:tc>
        <w:tc>
          <w:tcPr>
            <w:tcW w:w="1159" w:type="dxa"/>
            <w:tcBorders>
              <w:top w:val="single" w:color="000000" w:sz="12" w:space="0"/>
              <w:left w:val="single" w:color="000000" w:sz="4" w:space="0"/>
              <w:bottom w:val="single" w:color="000000" w:sz="4" w:space="0"/>
              <w:right w:val="single" w:color="000000" w:sz="4" w:space="0"/>
            </w:tcBorders>
          </w:tcPr>
          <w:p>
            <w:pPr>
              <w:pStyle w:val="383"/>
              <w:spacing w:before="54"/>
              <w:ind w:left="79" w:right="75"/>
              <w:jc w:val="center"/>
              <w:rPr>
                <w:rFonts w:ascii="Times New Roman" w:hAnsi="Times New Roman" w:cs="Times New Roman"/>
                <w:color w:val="000000" w:themeColor="text1"/>
                <w:sz w:val="18"/>
                <w:szCs w:val="18"/>
                <w14:textFill>
                  <w14:solidFill>
                    <w14:schemeClr w14:val="tx1"/>
                  </w14:solidFill>
                </w14:textFill>
              </w:rPr>
            </w:pPr>
            <w:bookmarkStart w:id="461" w:name="水力坡度I"/>
            <w:bookmarkEnd w:id="461"/>
            <w:r>
              <w:rPr>
                <w:rFonts w:ascii="Times New Roman" w:hAnsi="Times New Roman" w:cs="Times New Roman"/>
                <w:color w:val="000000" w:themeColor="text1"/>
                <w:sz w:val="18"/>
                <w:szCs w:val="18"/>
                <w14:textFill>
                  <w14:solidFill>
                    <w14:schemeClr w14:val="tx1"/>
                  </w14:solidFill>
                </w14:textFill>
              </w:rPr>
              <w:t>水力坡度 I</w:t>
            </w:r>
          </w:p>
        </w:tc>
        <w:tc>
          <w:tcPr>
            <w:tcW w:w="1739" w:type="dxa"/>
            <w:tcBorders>
              <w:top w:val="single" w:color="000000" w:sz="12" w:space="0"/>
              <w:left w:val="single" w:color="000000" w:sz="4" w:space="0"/>
              <w:bottom w:val="single" w:color="000000" w:sz="4" w:space="0"/>
              <w:right w:val="single" w:color="000000" w:sz="4" w:space="0"/>
            </w:tcBorders>
          </w:tcPr>
          <w:p>
            <w:pPr>
              <w:pStyle w:val="383"/>
              <w:spacing w:before="54"/>
              <w:ind w:left="110" w:right="104"/>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纵向弥散度 aL(m)</w:t>
            </w:r>
          </w:p>
        </w:tc>
        <w:tc>
          <w:tcPr>
            <w:tcW w:w="1739" w:type="dxa"/>
            <w:tcBorders>
              <w:top w:val="single" w:color="000000" w:sz="12" w:space="0"/>
              <w:left w:val="single" w:color="000000" w:sz="4" w:space="0"/>
              <w:bottom w:val="single" w:color="000000" w:sz="4" w:space="0"/>
              <w:right w:val="single" w:color="000000" w:sz="4" w:space="0"/>
            </w:tcBorders>
          </w:tcPr>
          <w:p>
            <w:pPr>
              <w:pStyle w:val="383"/>
              <w:spacing w:before="54"/>
              <w:ind w:left="110" w:right="105"/>
              <w:jc w:val="center"/>
              <w:rPr>
                <w:rFonts w:ascii="Times New Roman" w:hAnsi="Times New Roman" w:cs="Times New Roman"/>
                <w:color w:val="000000" w:themeColor="text1"/>
                <w:sz w:val="18"/>
                <w:szCs w:val="18"/>
                <w14:textFill>
                  <w14:solidFill>
                    <w14:schemeClr w14:val="tx1"/>
                  </w14:solidFill>
                </w14:textFill>
              </w:rPr>
            </w:pPr>
            <w:bookmarkStart w:id="462" w:name="水流速度u(m/d)"/>
            <w:bookmarkEnd w:id="462"/>
            <w:r>
              <w:rPr>
                <w:rFonts w:ascii="Times New Roman" w:hAnsi="Times New Roman" w:cs="Times New Roman"/>
                <w:color w:val="000000" w:themeColor="text1"/>
                <w:sz w:val="18"/>
                <w:szCs w:val="18"/>
                <w14:textFill>
                  <w14:solidFill>
                    <w14:schemeClr w14:val="tx1"/>
                  </w14:solidFill>
                </w14:textFill>
              </w:rPr>
              <w:t>水流速度 u(m/d)</w:t>
            </w:r>
          </w:p>
        </w:tc>
        <w:tc>
          <w:tcPr>
            <w:tcW w:w="2242" w:type="dxa"/>
            <w:tcBorders>
              <w:top w:val="single" w:color="000000" w:sz="12" w:space="0"/>
              <w:left w:val="single" w:color="000000" w:sz="4" w:space="0"/>
              <w:bottom w:val="single" w:color="000000" w:sz="4" w:space="0"/>
              <w:right w:val="single" w:color="000000" w:sz="12" w:space="0"/>
            </w:tcBorders>
          </w:tcPr>
          <w:p>
            <w:pPr>
              <w:pStyle w:val="383"/>
              <w:spacing w:before="54"/>
              <w:ind w:left="190" w:right="182"/>
              <w:jc w:val="center"/>
              <w:rPr>
                <w:rFonts w:ascii="Times New Roman" w:hAnsi="Times New Roman" w:cs="Times New Roman"/>
                <w:color w:val="000000" w:themeColor="text1"/>
                <w:sz w:val="18"/>
                <w:szCs w:val="18"/>
                <w14:textFill>
                  <w14:solidFill>
                    <w14:schemeClr w14:val="tx1"/>
                  </w14:solidFill>
                </w14:textFill>
              </w:rPr>
            </w:pPr>
            <w:bookmarkStart w:id="463" w:name="纵向弥散系数DL(m2/d)"/>
            <w:bookmarkEnd w:id="463"/>
            <w:r>
              <w:rPr>
                <w:rFonts w:ascii="Times New Roman" w:hAnsi="Times New Roman" w:cs="Times New Roman"/>
                <w:color w:val="000000" w:themeColor="text1"/>
                <w:sz w:val="18"/>
                <w:szCs w:val="18"/>
                <w14:textFill>
                  <w14:solidFill>
                    <w14:schemeClr w14:val="tx1"/>
                  </w14:solidFill>
                </w14:textFill>
              </w:rPr>
              <w:t>纵向弥散系数DL(m</w:t>
            </w:r>
            <w:r>
              <w:rPr>
                <w:rFonts w:ascii="Times New Roman" w:hAnsi="Times New Roman" w:cs="Times New Roman"/>
                <w:color w:val="000000" w:themeColor="text1"/>
                <w:position w:val="6"/>
                <w:sz w:val="18"/>
                <w:szCs w:val="18"/>
                <w:vertAlign w:val="super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39" w:type="dxa"/>
            <w:tcBorders>
              <w:top w:val="single" w:color="000000" w:sz="4" w:space="0"/>
              <w:left w:val="single" w:color="000000" w:sz="12" w:space="0"/>
              <w:bottom w:val="single" w:color="000000" w:sz="12" w:space="0"/>
              <w:right w:val="single" w:color="000000" w:sz="4" w:space="0"/>
            </w:tcBorders>
          </w:tcPr>
          <w:p>
            <w:pPr>
              <w:pStyle w:val="383"/>
              <w:spacing w:before="55"/>
              <w:ind w:left="175" w:right="173"/>
              <w:jc w:val="center"/>
              <w:rPr>
                <w:rFonts w:ascii="Times New Roman" w:hAnsi="Times New Roman" w:cs="Times New Roman"/>
                <w:color w:val="000000" w:themeColor="text1"/>
                <w:sz w:val="18"/>
                <w:szCs w:val="18"/>
                <w14:textFill>
                  <w14:solidFill>
                    <w14:schemeClr w14:val="tx1"/>
                  </w14:solidFill>
                </w14:textFill>
              </w:rPr>
            </w:pPr>
            <w:bookmarkStart w:id="464" w:name="4.64×10-4"/>
            <w:bookmarkEnd w:id="464"/>
            <w:r>
              <w:rPr>
                <w:rFonts w:ascii="Times New Roman" w:hAnsi="Times New Roman" w:cs="Times New Roman"/>
                <w:color w:val="000000" w:themeColor="text1"/>
                <w:sz w:val="18"/>
                <w:szCs w:val="18"/>
                <w14:textFill>
                  <w14:solidFill>
                    <w14:schemeClr w14:val="tx1"/>
                  </w14:solidFill>
                </w14:textFill>
              </w:rPr>
              <w:t>4.64×10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6"/>
                <w:szCs w:val="16"/>
                <w14:textFill>
                  <w14:solidFill>
                    <w14:schemeClr w14:val="tx1"/>
                  </w14:solidFill>
                </w14:textFill>
              </w:rPr>
              <w:t>4</w:t>
            </w:r>
          </w:p>
        </w:tc>
        <w:tc>
          <w:tcPr>
            <w:tcW w:w="1159" w:type="dxa"/>
            <w:tcBorders>
              <w:top w:val="single" w:color="000000" w:sz="4" w:space="0"/>
              <w:left w:val="single" w:color="000000" w:sz="4" w:space="0"/>
              <w:bottom w:val="single" w:color="000000" w:sz="12" w:space="0"/>
              <w:right w:val="single" w:color="000000" w:sz="4" w:space="0"/>
            </w:tcBorders>
          </w:tcPr>
          <w:p>
            <w:pPr>
              <w:pStyle w:val="383"/>
              <w:spacing w:before="65"/>
              <w:ind w:left="79" w:right="76"/>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0.0002</w:t>
            </w:r>
          </w:p>
        </w:tc>
        <w:tc>
          <w:tcPr>
            <w:tcW w:w="1739" w:type="dxa"/>
            <w:tcBorders>
              <w:top w:val="single" w:color="000000" w:sz="4" w:space="0"/>
              <w:left w:val="single" w:color="000000" w:sz="4" w:space="0"/>
              <w:bottom w:val="single" w:color="000000" w:sz="12" w:space="0"/>
              <w:right w:val="single" w:color="000000" w:sz="4" w:space="0"/>
            </w:tcBorders>
          </w:tcPr>
          <w:p>
            <w:pPr>
              <w:pStyle w:val="383"/>
              <w:spacing w:before="65"/>
              <w:ind w:left="110" w:right="105"/>
              <w:jc w:val="center"/>
              <w:rPr>
                <w:rFonts w:ascii="Times New Roman" w:hAnsi="Times New Roman" w:cs="Times New Roman"/>
                <w:color w:val="000000" w:themeColor="text1"/>
                <w:sz w:val="18"/>
                <w:szCs w:val="18"/>
                <w14:textFill>
                  <w14:solidFill>
                    <w14:schemeClr w14:val="tx1"/>
                  </w14:solidFill>
                </w14:textFill>
              </w:rPr>
            </w:pPr>
            <w:bookmarkStart w:id="465" w:name="16.3"/>
            <w:bookmarkEnd w:id="465"/>
            <w:r>
              <w:rPr>
                <w:rFonts w:ascii="Times New Roman" w:hAnsi="Times New Roman" w:cs="Times New Roman"/>
                <w:color w:val="000000" w:themeColor="text1"/>
                <w:sz w:val="18"/>
                <w:szCs w:val="18"/>
                <w14:textFill>
                  <w14:solidFill>
                    <w14:schemeClr w14:val="tx1"/>
                  </w14:solidFill>
                </w14:textFill>
              </w:rPr>
              <w:t>16.3</w:t>
            </w:r>
          </w:p>
        </w:tc>
        <w:tc>
          <w:tcPr>
            <w:tcW w:w="1739" w:type="dxa"/>
            <w:tcBorders>
              <w:top w:val="single" w:color="000000" w:sz="4" w:space="0"/>
              <w:left w:val="single" w:color="000000" w:sz="4" w:space="0"/>
              <w:bottom w:val="single" w:color="000000" w:sz="12" w:space="0"/>
              <w:right w:val="single" w:color="000000" w:sz="4" w:space="0"/>
            </w:tcBorders>
          </w:tcPr>
          <w:p>
            <w:pPr>
              <w:pStyle w:val="383"/>
              <w:spacing w:before="65"/>
              <w:ind w:left="110" w:right="105"/>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6"/>
                <w:szCs w:val="16"/>
                <w14:textFill>
                  <w14:solidFill>
                    <w14:schemeClr w14:val="tx1"/>
                  </w14:solidFill>
                </w14:textFill>
              </w:rPr>
              <w:t>4</w:t>
            </w:r>
          </w:p>
        </w:tc>
        <w:tc>
          <w:tcPr>
            <w:tcW w:w="2242" w:type="dxa"/>
            <w:tcBorders>
              <w:top w:val="single" w:color="000000" w:sz="4" w:space="0"/>
              <w:left w:val="single" w:color="000000" w:sz="4" w:space="0"/>
              <w:bottom w:val="single" w:color="000000" w:sz="12" w:space="0"/>
              <w:right w:val="single" w:color="000000" w:sz="12" w:space="0"/>
            </w:tcBorders>
          </w:tcPr>
          <w:p>
            <w:pPr>
              <w:pStyle w:val="383"/>
              <w:spacing w:before="65"/>
              <w:ind w:left="187" w:right="182"/>
              <w:jc w:val="center"/>
              <w:rPr>
                <w:rFonts w:ascii="Times New Roman" w:hAnsi="Times New Roman" w:cs="Times New Roman"/>
                <w:color w:val="000000" w:themeColor="text1"/>
                <w:sz w:val="18"/>
                <w:szCs w:val="18"/>
                <w14:textFill>
                  <w14:solidFill>
                    <w14:schemeClr w14:val="tx1"/>
                  </w14:solidFill>
                </w14:textFill>
              </w:rPr>
            </w:pPr>
            <w:bookmarkStart w:id="466" w:name="0.0017"/>
            <w:bookmarkEnd w:id="466"/>
            <w:r>
              <w:rPr>
                <w:rFonts w:ascii="Times New Roman" w:hAnsi="Times New Roman" w:cs="Times New Roman"/>
                <w:color w:val="000000" w:themeColor="text1"/>
                <w:sz w:val="18"/>
                <w:szCs w:val="18"/>
                <w14:textFill>
                  <w14:solidFill>
                    <w14:schemeClr w14:val="tx1"/>
                  </w14:solidFill>
                </w14:textFill>
              </w:rPr>
              <w:t>0.0017</w:t>
            </w:r>
          </w:p>
        </w:tc>
      </w:tr>
    </w:tbl>
    <w:p>
      <w:pPr>
        <w:pStyle w:val="51"/>
        <w:spacing w:line="498" w:lineRule="exact"/>
        <w:ind w:firstLine="482" w:firstLineChars="200"/>
        <w:rPr>
          <w:rFonts w:ascii="Times New Roman" w:cs="Times New Roman" w:hAnsiTheme="minorEastAsia" w:eastAsiaTheme="minorEastAsia"/>
          <w:b/>
          <w:bCs/>
          <w:color w:val="000000" w:themeColor="text1"/>
          <w:sz w:val="24"/>
          <w14:textFill>
            <w14:solidFill>
              <w14:schemeClr w14:val="tx1"/>
            </w14:solidFill>
          </w14:textFill>
        </w:rPr>
      </w:pP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p>
    <w:p>
      <w:pPr>
        <w:pStyle w:val="380"/>
        <w:numPr>
          <w:ilvl w:val="0"/>
          <w:numId w:val="37"/>
        </w:numPr>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14:textFill>
            <w14:solidFill>
              <w14:schemeClr w14:val="tx1"/>
            </w14:solidFill>
          </w14:textFill>
        </w:rPr>
      </w:pPr>
      <w:bookmarkStart w:id="467" w:name="_Toc22343"/>
      <w:bookmarkStart w:id="468" w:name="_Toc26306"/>
      <w:r>
        <w:rPr>
          <w:rFonts w:hint="eastAsia" w:ascii="Times New Roman" w:hAnsiTheme="minorEastAsia" w:eastAsiaTheme="minorEastAsia"/>
          <w:color w:val="000000" w:themeColor="text1"/>
          <w:sz w:val="24"/>
          <w14:textFill>
            <w14:solidFill>
              <w14:schemeClr w14:val="tx1"/>
            </w14:solidFill>
          </w14:textFill>
        </w:rPr>
        <w:t>源</w:t>
      </w:r>
      <w:r>
        <w:rPr>
          <w:rFonts w:hint="eastAsia" w:ascii="Times New Roman" w:hAnsiTheme="minorEastAsia" w:eastAsiaTheme="minorEastAsia"/>
          <w:color w:val="000000" w:themeColor="text1"/>
          <w:sz w:val="24"/>
          <w:lang w:val="en-US" w:eastAsia="zh-CN"/>
          <w14:textFill>
            <w14:solidFill>
              <w14:schemeClr w14:val="tx1"/>
            </w14:solidFill>
          </w14:textFill>
        </w:rPr>
        <w:t>项</w:t>
      </w:r>
      <w:r>
        <w:rPr>
          <w:rFonts w:hint="eastAsia" w:ascii="Times New Roman" w:hAnsiTheme="minorEastAsia" w:eastAsiaTheme="minorEastAsia"/>
          <w:color w:val="000000" w:themeColor="text1"/>
          <w:sz w:val="24"/>
          <w14:textFill>
            <w14:solidFill>
              <w14:schemeClr w14:val="tx1"/>
            </w14:solidFill>
          </w14:textFill>
        </w:rPr>
        <w:t>分析</w:t>
      </w:r>
      <w:bookmarkEnd w:id="467"/>
      <w:bookmarkEnd w:id="468"/>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为了采取较严格的污染防治措施，本次地下水污染按最不利条件预测，预测中不考虑污染物在含水层中的吸附、挥发、生物化学反应，将其作为保守物质看待，各项参数只按保守型污染质考虑，仅考虑典型污染物在对流、弥散作用下的扩散过程及其规律。本着风险最大原则，选取COD</w:t>
      </w:r>
      <w:r>
        <w:rPr>
          <w:rFonts w:hint="eastAsia" w:ascii="Times New Roman" w:cs="Times New Roman" w:hAnsiTheme="minorEastAsia" w:eastAsiaTheme="minorEastAsia"/>
          <w:color w:val="000000" w:themeColor="text1"/>
          <w:sz w:val="24"/>
          <w:vertAlign w:val="subscript"/>
          <w:lang w:val="en-US" w:eastAsia="zh-CN"/>
          <w14:textFill>
            <w14:solidFill>
              <w14:schemeClr w14:val="tx1"/>
            </w14:solidFill>
          </w14:textFill>
        </w:rPr>
        <w:t>M</w:t>
      </w:r>
      <w:r>
        <w:rPr>
          <w:rFonts w:hint="eastAsia" w:ascii="Times New Roman" w:cs="Times New Roman" w:hAnsiTheme="minorEastAsia" w:eastAsiaTheme="minorEastAsia"/>
          <w:color w:val="000000" w:themeColor="text1"/>
          <w:sz w:val="24"/>
          <w:vertAlign w:val="subscript"/>
          <w14:textFill>
            <w14:solidFill>
              <w14:schemeClr w14:val="tx1"/>
            </w14:solidFill>
          </w14:textFill>
        </w:rPr>
        <w:t>n</w:t>
      </w:r>
      <w:r>
        <w:rPr>
          <w:rFonts w:hint="eastAsia" w:ascii="Times New Roman" w:cs="Times New Roman" w:hAnsiTheme="minorEastAsia" w:eastAsiaTheme="minorEastAsia"/>
          <w:color w:val="000000" w:themeColor="text1"/>
          <w:sz w:val="24"/>
          <w14:textFill>
            <w14:solidFill>
              <w14:schemeClr w14:val="tx1"/>
            </w14:solidFill>
          </w14:textFill>
        </w:rPr>
        <w:t>、氟化物为特征因子，开展模拟预测工作。</w:t>
      </w:r>
    </w:p>
    <w:p>
      <w:pPr>
        <w:pStyle w:val="51"/>
        <w:numPr>
          <w:ilvl w:val="0"/>
          <w:numId w:val="37"/>
        </w:numPr>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预测时段</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根据《环境影响评价技术导则 地下水环境》（HJ610-2016）相关要求，预测事故工况污染物在泄漏100天、500天、1000天、10年的影响范围、程度、最大迁移距离。</w:t>
      </w:r>
    </w:p>
    <w:p>
      <w:pPr>
        <w:pStyle w:val="51"/>
        <w:numPr>
          <w:ilvl w:val="0"/>
          <w:numId w:val="37"/>
        </w:numPr>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预测情景</w:t>
      </w:r>
    </w:p>
    <w:p>
      <w:pPr>
        <w:pStyle w:val="428"/>
        <w:rPr>
          <w:color w:val="000000" w:themeColor="text1"/>
          <w:lang w:bidi="ar-SA"/>
          <w14:textFill>
            <w14:solidFill>
              <w14:schemeClr w14:val="tx1"/>
            </w14:solidFill>
          </w14:textFill>
        </w:rPr>
      </w:pPr>
      <w:r>
        <w:rPr>
          <w:rFonts w:hint="eastAsia"/>
          <w:color w:val="000000" w:themeColor="text1"/>
          <w:lang w:bidi="ar-SA"/>
          <w14:textFill>
            <w14:solidFill>
              <w14:schemeClr w14:val="tx1"/>
            </w14:solidFill>
          </w14:textFill>
        </w:rPr>
        <w:t>正常工况下，厂区的生产装置区、固废贮存区、污水处理等区域已根据GB16889、GB18597、GB18598、GB18599、GB/T50934等规范要求设计地下水防渗措施，防渗措施到位，污染物不会渗漏，基本对地下水无污染。故不进行正常情况下的预测。</w:t>
      </w:r>
    </w:p>
    <w:p>
      <w:pPr>
        <w:pStyle w:val="428"/>
        <w:rPr>
          <w:rFonts w:hAnsiTheme="minorEastAsia" w:eastAsiaTheme="minorEastAsia"/>
          <w:color w:val="000000" w:themeColor="text1"/>
          <w14:textFill>
            <w14:solidFill>
              <w14:schemeClr w14:val="tx1"/>
            </w14:solidFill>
          </w14:textFill>
        </w:rPr>
      </w:pPr>
      <w:r>
        <w:rPr>
          <w:rFonts w:hint="eastAsia"/>
          <w:color w:val="000000" w:themeColor="text1"/>
          <w:lang w:bidi="ar-SA"/>
          <w14:textFill>
            <w14:solidFill>
              <w14:schemeClr w14:val="tx1"/>
            </w14:solidFill>
          </w14:textFill>
        </w:rPr>
        <w:t>非正常工况下，预测情景设为事故排放工况。生产装置区母液槽主要用于暂存生产过程中产生的滤液及离心洗涤废水，母液槽中污染物的浓度最高，若母液槽出现裂口、渗漏等现象，事故下泄露的废水将持续下渗进入地下水系统，污染物可能下渗至包气带从而在潜水层中进行运移，并对浅层地下水水质造成影响。</w:t>
      </w:r>
    </w:p>
    <w:p>
      <w:pPr>
        <w:pStyle w:val="380"/>
        <w:numPr>
          <w:ilvl w:val="0"/>
          <w:numId w:val="37"/>
        </w:numPr>
        <w:adjustRightInd w:val="0"/>
        <w:snapToGrid w:val="0"/>
        <w:spacing w:before="48" w:beforeLines="20" w:after="48" w:afterLines="20" w:line="520" w:lineRule="exact"/>
        <w:ind w:firstLine="480"/>
        <w:jc w:val="left"/>
        <w:outlineLvl w:val="2"/>
        <w:rPr>
          <w:rFonts w:ascii="Times New Roman" w:hAnsiTheme="minorEastAsia" w:eastAsiaTheme="minorEastAsia"/>
          <w:color w:val="000000" w:themeColor="text1"/>
          <w:sz w:val="24"/>
          <w14:textFill>
            <w14:solidFill>
              <w14:schemeClr w14:val="tx1"/>
            </w14:solidFill>
          </w14:textFill>
        </w:rPr>
      </w:pPr>
      <w:bookmarkStart w:id="469" w:name="_Toc409"/>
      <w:bookmarkStart w:id="470" w:name="_Toc5368"/>
      <w:r>
        <w:rPr>
          <w:rFonts w:hint="eastAsia" w:ascii="Times New Roman" w:hAnsiTheme="minorEastAsia" w:eastAsiaTheme="minorEastAsia"/>
          <w:color w:val="000000" w:themeColor="text1"/>
          <w:sz w:val="24"/>
          <w14:textFill>
            <w14:solidFill>
              <w14:schemeClr w14:val="tx1"/>
            </w14:solidFill>
          </w14:textFill>
        </w:rPr>
        <w:t>预测方法及预测结果</w:t>
      </w:r>
      <w:bookmarkEnd w:id="469"/>
      <w:bookmarkEnd w:id="470"/>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①预测方法</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采用地下水溶质运移解析解一维模式计算下游污染物浓度分布。</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②评价标准</w:t>
      </w:r>
    </w:p>
    <w:p>
      <w:pPr>
        <w:pStyle w:val="51"/>
        <w:spacing w:line="498" w:lineRule="exact"/>
        <w:ind w:firstLine="480" w:firstLineChars="200"/>
        <w:rPr>
          <w:rFonts w:ascii="Times New Roman" w:cs="Times New Roman"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COD</w:t>
      </w:r>
      <w:r>
        <w:rPr>
          <w:rFonts w:hint="eastAsia" w:ascii="Times New Roman" w:cs="Times New Roman" w:hAnsiTheme="minorEastAsia" w:eastAsiaTheme="minorEastAsia"/>
          <w:color w:val="000000" w:themeColor="text1"/>
          <w:sz w:val="24"/>
          <w:vertAlign w:val="subscript"/>
          <w:lang w:val="en-US" w:eastAsia="zh-CN"/>
          <w14:textFill>
            <w14:solidFill>
              <w14:schemeClr w14:val="tx1"/>
            </w14:solidFill>
          </w14:textFill>
        </w:rPr>
        <w:t>M</w:t>
      </w:r>
      <w:r>
        <w:rPr>
          <w:rFonts w:hint="eastAsia" w:ascii="Times New Roman" w:cs="Times New Roman" w:hAnsiTheme="minorEastAsia" w:eastAsiaTheme="minorEastAsia"/>
          <w:color w:val="000000" w:themeColor="text1"/>
          <w:sz w:val="24"/>
          <w:vertAlign w:val="subscript"/>
          <w14:textFill>
            <w14:solidFill>
              <w14:schemeClr w14:val="tx1"/>
            </w14:solidFill>
          </w14:textFill>
        </w:rPr>
        <w:t>n</w:t>
      </w:r>
      <w:r>
        <w:rPr>
          <w:rFonts w:ascii="Times New Roman" w:cs="Times New Roman" w:eastAsiaTheme="minorEastAsia"/>
          <w:color w:val="000000" w:themeColor="text1"/>
          <w:sz w:val="24"/>
          <w14:textFill>
            <w14:solidFill>
              <w14:schemeClr w14:val="tx1"/>
            </w14:solidFill>
          </w14:textFill>
        </w:rPr>
        <w:t>、氟化物执行《地下水质量标准》（GB/T14848-2017）III类标准，其标准限值要求分别为3.0mg/L、</w:t>
      </w:r>
      <w:r>
        <w:rPr>
          <w:rFonts w:hint="eastAsia" w:ascii="Times New Roman" w:cs="Times New Roman" w:eastAsiaTheme="minorEastAsia"/>
          <w:color w:val="000000" w:themeColor="text1"/>
          <w:sz w:val="24"/>
          <w14:textFill>
            <w14:solidFill>
              <w14:schemeClr w14:val="tx1"/>
            </w14:solidFill>
          </w14:textFill>
        </w:rPr>
        <w:t>1.0</w:t>
      </w:r>
      <w:r>
        <w:rPr>
          <w:rFonts w:ascii="Times New Roman" w:cs="Times New Roman" w:eastAsiaTheme="minorEastAsia"/>
          <w:color w:val="000000" w:themeColor="text1"/>
          <w:sz w:val="24"/>
          <w14:textFill>
            <w14:solidFill>
              <w14:schemeClr w14:val="tx1"/>
            </w14:solidFill>
          </w14:textFill>
        </w:rPr>
        <w:t>mg/L。</w:t>
      </w:r>
    </w:p>
    <w:p>
      <w:pPr>
        <w:pStyle w:val="51"/>
        <w:spacing w:line="498" w:lineRule="exact"/>
        <w:ind w:firstLine="480" w:firstLineChars="200"/>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③计算参数</w:t>
      </w:r>
    </w:p>
    <w:p>
      <w:pPr>
        <w:pStyle w:val="51"/>
        <w:spacing w:line="498" w:lineRule="exact"/>
        <w:ind w:firstLine="480" w:firstLineChars="200"/>
        <w:jc w:val="left"/>
        <w:rPr>
          <w:rFonts w:ascii="Times New Roman" w:cs="Times New Roman" w:hAnsiTheme="minorEastAsia" w:eastAsiaTheme="minorEastAsia"/>
          <w:color w:val="000000" w:themeColor="text1"/>
          <w:sz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计算参数见表</w:t>
      </w:r>
      <w:r>
        <w:rPr>
          <w:rFonts w:hint="eastAsia" w:ascii="Times New Roman" w:cs="Times New Roman" w:hAnsiTheme="minorEastAsia" w:eastAsiaTheme="minorEastAsia"/>
          <w:color w:val="000000" w:themeColor="text1"/>
          <w:sz w:val="24"/>
          <w:lang w:val="en-US" w:eastAsia="zh-CN"/>
          <w14:textFill>
            <w14:solidFill>
              <w14:schemeClr w14:val="tx1"/>
            </w14:solidFill>
          </w14:textFill>
        </w:rPr>
        <w:t>6</w:t>
      </w:r>
      <w:r>
        <w:rPr>
          <w:rFonts w:hint="eastAsia" w:ascii="Times New Roman" w:cs="Times New Roman" w:hAnsiTheme="minorEastAsia" w:eastAsiaTheme="minorEastAsia"/>
          <w:color w:val="000000" w:themeColor="text1"/>
          <w:sz w:val="24"/>
          <w14:textFill>
            <w14:solidFill>
              <w14:schemeClr w14:val="tx1"/>
            </w14:solidFill>
          </w14:textFill>
        </w:rPr>
        <w:t>.2-27。</w:t>
      </w:r>
    </w:p>
    <w:p>
      <w:pPr>
        <w:tabs>
          <w:tab w:val="left" w:pos="859"/>
        </w:tabs>
        <w:spacing w:before="221" w:after="41"/>
        <w:ind w:right="23"/>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ascii="Times New Roman"/>
          <w:b/>
          <w:color w:val="000000" w:themeColor="text1"/>
          <w:sz w:val="24"/>
          <w:szCs w:val="24"/>
          <w:lang w:val="en-US" w:eastAsia="zh-CN"/>
          <w14:textFill>
            <w14:solidFill>
              <w14:schemeClr w14:val="tx1"/>
            </w14:solidFill>
          </w14:textFill>
        </w:rPr>
        <w:t>6</w:t>
      </w:r>
      <w:r>
        <w:rPr>
          <w:rFonts w:ascii="Times New Roman" w:eastAsia="Times New Roman"/>
          <w:b/>
          <w:color w:val="000000" w:themeColor="text1"/>
          <w:sz w:val="24"/>
          <w:szCs w:val="24"/>
          <w14:textFill>
            <w14:solidFill>
              <w14:schemeClr w14:val="tx1"/>
            </w14:solidFill>
          </w14:textFill>
        </w:rPr>
        <w:t>.</w:t>
      </w:r>
      <w:r>
        <w:rPr>
          <w:rFonts w:hint="eastAsia" w:ascii="Times New Roman"/>
          <w:b/>
          <w:color w:val="000000" w:themeColor="text1"/>
          <w:sz w:val="24"/>
          <w:szCs w:val="24"/>
          <w14:textFill>
            <w14:solidFill>
              <w14:schemeClr w14:val="tx1"/>
            </w14:solidFill>
          </w14:textFill>
        </w:rPr>
        <w:t>2</w:t>
      </w:r>
      <w:r>
        <w:rPr>
          <w:rFonts w:ascii="Times New Roman" w:eastAsia="Times New Roman"/>
          <w:b/>
          <w:color w:val="000000" w:themeColor="text1"/>
          <w:sz w:val="24"/>
          <w:szCs w:val="24"/>
          <w14:textFill>
            <w14:solidFill>
              <w14:schemeClr w14:val="tx1"/>
            </w14:solidFill>
          </w14:textFill>
        </w:rPr>
        <w:t>-</w:t>
      </w:r>
      <w:r>
        <w:rPr>
          <w:rFonts w:hint="eastAsia" w:ascii="Times New Roman"/>
          <w:b/>
          <w:color w:val="000000" w:themeColor="text1"/>
          <w:sz w:val="24"/>
          <w:szCs w:val="24"/>
          <w14:textFill>
            <w14:solidFill>
              <w14:schemeClr w14:val="tx1"/>
            </w14:solidFill>
          </w14:textFill>
        </w:rPr>
        <w:t xml:space="preserve">27 </w:t>
      </w:r>
      <w:r>
        <w:rPr>
          <w:b/>
          <w:color w:val="000000" w:themeColor="text1"/>
          <w:sz w:val="24"/>
          <w:szCs w:val="24"/>
          <w14:textFill>
            <w14:solidFill>
              <w14:schemeClr w14:val="tx1"/>
            </w14:solidFill>
          </w14:textFill>
        </w:rPr>
        <w:t>计算参数一览表</w:t>
      </w:r>
    </w:p>
    <w:tbl>
      <w:tblPr>
        <w:tblStyle w:val="87"/>
        <w:tblW w:w="8652" w:type="dxa"/>
        <w:tblInd w:w="3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5"/>
        <w:gridCol w:w="1699"/>
        <w:gridCol w:w="1561"/>
        <w:gridCol w:w="1986"/>
        <w:gridCol w:w="1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4" w:hRule="atLeast"/>
        </w:trPr>
        <w:tc>
          <w:tcPr>
            <w:tcW w:w="1435" w:type="dxa"/>
            <w:vMerge w:val="restart"/>
            <w:tcBorders>
              <w:top w:val="single" w:color="000000" w:sz="12" w:space="0"/>
              <w:left w:val="single" w:color="000000" w:sz="12" w:space="0"/>
              <w:bottom w:val="single" w:color="000000" w:sz="4" w:space="0"/>
            </w:tcBorders>
          </w:tcPr>
          <w:p>
            <w:pPr>
              <w:pStyle w:val="383"/>
              <w:spacing w:before="5"/>
              <w:rPr>
                <w:rFonts w:ascii="Times New Roman" w:hAnsi="Times New Roman" w:cs="Times New Roman"/>
                <w:b/>
                <w:color w:val="000000" w:themeColor="text1"/>
                <w:sz w:val="18"/>
                <w:szCs w:val="18"/>
                <w14:textFill>
                  <w14:solidFill>
                    <w14:schemeClr w14:val="tx1"/>
                  </w14:solidFill>
                </w14:textFill>
              </w:rPr>
            </w:pPr>
          </w:p>
          <w:p>
            <w:pPr>
              <w:pStyle w:val="383"/>
              <w:ind w:left="516" w:right="51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项目</w:t>
            </w:r>
          </w:p>
        </w:tc>
        <w:tc>
          <w:tcPr>
            <w:tcW w:w="1699" w:type="dxa"/>
            <w:vMerge w:val="restart"/>
            <w:tcBorders>
              <w:top w:val="single" w:color="000000" w:sz="12" w:space="0"/>
              <w:bottom w:val="single" w:color="000000" w:sz="4" w:space="0"/>
            </w:tcBorders>
          </w:tcPr>
          <w:p>
            <w:pPr>
              <w:pStyle w:val="383"/>
              <w:spacing w:before="54"/>
              <w:ind w:left="197" w:right="19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地下水实际流速</w:t>
            </w:r>
          </w:p>
          <w:p>
            <w:pPr>
              <w:pStyle w:val="383"/>
              <w:spacing w:before="2"/>
              <w:ind w:left="197" w:right="194" w:firstLine="360" w:firstLine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（m/d）</w:t>
            </w:r>
          </w:p>
        </w:tc>
        <w:tc>
          <w:tcPr>
            <w:tcW w:w="1561" w:type="dxa"/>
            <w:vMerge w:val="restart"/>
            <w:tcBorders>
              <w:top w:val="single" w:color="000000" w:sz="12" w:space="0"/>
              <w:bottom w:val="single" w:color="000000" w:sz="4" w:space="0"/>
            </w:tcBorders>
          </w:tcPr>
          <w:p>
            <w:pPr>
              <w:pStyle w:val="383"/>
              <w:spacing w:before="54"/>
              <w:ind w:left="333"/>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弥散系数 D</w:t>
            </w:r>
          </w:p>
          <w:p>
            <w:pPr>
              <w:pStyle w:val="383"/>
              <w:spacing w:before="2"/>
              <w:ind w:left="431"/>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w:t>
            </w:r>
            <w:r>
              <w:rPr>
                <w:rFonts w:ascii="Times New Roman" w:hAnsi="Times New Roman" w:cs="Times New Roman"/>
                <w:color w:val="000000" w:themeColor="text1"/>
                <w:position w:val="6"/>
                <w:sz w:val="11"/>
                <w:szCs w:val="11"/>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/d）</w:t>
            </w:r>
          </w:p>
        </w:tc>
        <w:tc>
          <w:tcPr>
            <w:tcW w:w="3957" w:type="dxa"/>
            <w:gridSpan w:val="2"/>
            <w:tcBorders>
              <w:top w:val="single" w:color="000000" w:sz="12" w:space="0"/>
              <w:bottom w:val="single" w:color="000000" w:sz="4" w:space="0"/>
              <w:right w:val="single" w:color="000000" w:sz="12" w:space="0"/>
            </w:tcBorders>
          </w:tcPr>
          <w:p>
            <w:pPr>
              <w:pStyle w:val="383"/>
              <w:spacing w:before="27"/>
              <w:ind w:left="1244"/>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污染源强（mg/L）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35" w:type="dxa"/>
            <w:vMerge w:val="continue"/>
            <w:tcBorders>
              <w:top w:val="single" w:color="000000" w:sz="4" w:space="0"/>
              <w:left w:val="single" w:color="000000" w:sz="12" w:space="0"/>
              <w:bottom w:val="single" w:color="000000" w:sz="4" w:space="0"/>
            </w:tcBorders>
          </w:tcPr>
          <w:p>
            <w:pPr>
              <w:rPr>
                <w:rFonts w:ascii="Times New Roman" w:hAnsi="Times New Roman"/>
                <w:color w:val="000000" w:themeColor="text1"/>
                <w:sz w:val="18"/>
                <w:szCs w:val="18"/>
                <w14:textFill>
                  <w14:solidFill>
                    <w14:schemeClr w14:val="tx1"/>
                  </w14:solidFill>
                </w14:textFill>
              </w:rPr>
            </w:pPr>
          </w:p>
        </w:tc>
        <w:tc>
          <w:tcPr>
            <w:tcW w:w="1699" w:type="dxa"/>
            <w:vMerge w:val="continue"/>
            <w:tcBorders>
              <w:top w:val="single" w:color="000000" w:sz="4" w:space="0"/>
              <w:bottom w:val="single" w:color="000000" w:sz="4" w:space="0"/>
            </w:tcBorders>
          </w:tcPr>
          <w:p>
            <w:pPr>
              <w:rPr>
                <w:rFonts w:ascii="Times New Roman" w:hAnsi="Times New Roman"/>
                <w:color w:val="000000" w:themeColor="text1"/>
                <w:sz w:val="18"/>
                <w:szCs w:val="18"/>
                <w14:textFill>
                  <w14:solidFill>
                    <w14:schemeClr w14:val="tx1"/>
                  </w14:solidFill>
                </w14:textFill>
              </w:rPr>
            </w:pPr>
          </w:p>
        </w:tc>
        <w:tc>
          <w:tcPr>
            <w:tcW w:w="1561" w:type="dxa"/>
            <w:vMerge w:val="continue"/>
            <w:tcBorders>
              <w:top w:val="single" w:color="000000" w:sz="4" w:space="0"/>
              <w:bottom w:val="single" w:color="000000" w:sz="4" w:space="0"/>
            </w:tcBorders>
          </w:tcPr>
          <w:p>
            <w:pPr>
              <w:rPr>
                <w:rFonts w:ascii="Times New Roman" w:hAnsi="Times New Roman"/>
                <w:color w:val="000000" w:themeColor="text1"/>
                <w:sz w:val="18"/>
                <w:szCs w:val="18"/>
                <w14:textFill>
                  <w14:solidFill>
                    <w14:schemeClr w14:val="tx1"/>
                  </w14:solidFill>
                </w14:textFill>
              </w:rPr>
            </w:pPr>
          </w:p>
        </w:tc>
        <w:tc>
          <w:tcPr>
            <w:tcW w:w="1986" w:type="dxa"/>
            <w:tcBorders>
              <w:top w:val="single" w:color="000000" w:sz="4" w:space="0"/>
              <w:bottom w:val="single" w:color="000000" w:sz="4" w:space="0"/>
            </w:tcBorders>
          </w:tcPr>
          <w:p>
            <w:pPr>
              <w:pStyle w:val="383"/>
              <w:spacing w:before="38"/>
              <w:ind w:left="633" w:right="625" w:firstLine="180" w:firstLineChars="1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COD</w:t>
            </w:r>
          </w:p>
        </w:tc>
        <w:tc>
          <w:tcPr>
            <w:tcW w:w="1971" w:type="dxa"/>
            <w:tcBorders>
              <w:top w:val="single" w:color="000000" w:sz="4" w:space="0"/>
              <w:bottom w:val="single" w:color="000000" w:sz="4" w:space="0"/>
              <w:right w:val="single" w:color="000000" w:sz="12" w:space="0"/>
            </w:tcBorders>
          </w:tcPr>
          <w:p>
            <w:pPr>
              <w:pStyle w:val="383"/>
              <w:spacing w:before="26"/>
              <w:ind w:firstLine="720" w:firstLineChars="400"/>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氟化物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35" w:type="dxa"/>
            <w:tcBorders>
              <w:top w:val="single" w:color="000000" w:sz="4" w:space="0"/>
              <w:left w:val="single" w:color="000000" w:sz="12" w:space="0"/>
              <w:bottom w:val="single" w:color="000000" w:sz="12" w:space="0"/>
            </w:tcBorders>
          </w:tcPr>
          <w:p>
            <w:pPr>
              <w:pStyle w:val="383"/>
              <w:spacing w:before="28"/>
              <w:ind w:left="176"/>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建设区含水层</w:t>
            </w:r>
          </w:p>
        </w:tc>
        <w:tc>
          <w:tcPr>
            <w:tcW w:w="1699" w:type="dxa"/>
            <w:tcBorders>
              <w:top w:val="single" w:color="000000" w:sz="4" w:space="0"/>
              <w:bottom w:val="single" w:color="000000" w:sz="12" w:space="0"/>
            </w:tcBorders>
          </w:tcPr>
          <w:p>
            <w:pPr>
              <w:pStyle w:val="383"/>
              <w:spacing w:before="37"/>
              <w:ind w:left="548"/>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1.0×10</w:t>
            </w:r>
            <w:r>
              <w:rPr>
                <w:rFonts w:ascii="Times New Roman" w:hAnsi="Times New Roman" w:cs="Times New Roman"/>
                <w:color w:val="000000" w:themeColor="text1"/>
                <w:position w:val="6"/>
                <w:sz w:val="18"/>
                <w:szCs w:val="18"/>
                <w14:textFill>
                  <w14:solidFill>
                    <w14:schemeClr w14:val="tx1"/>
                  </w14:solidFill>
                </w14:textFill>
              </w:rPr>
              <w:t>-</w:t>
            </w:r>
            <w:r>
              <w:rPr>
                <w:rFonts w:ascii="Times New Roman" w:hAnsi="Times New Roman" w:cs="Times New Roman"/>
                <w:color w:val="000000" w:themeColor="text1"/>
                <w:position w:val="6"/>
                <w:sz w:val="16"/>
                <w:szCs w:val="16"/>
                <w14:textFill>
                  <w14:solidFill>
                    <w14:schemeClr w14:val="tx1"/>
                  </w14:solidFill>
                </w14:textFill>
              </w:rPr>
              <w:t>4</w:t>
            </w:r>
          </w:p>
        </w:tc>
        <w:tc>
          <w:tcPr>
            <w:tcW w:w="1561" w:type="dxa"/>
            <w:tcBorders>
              <w:top w:val="single" w:color="000000" w:sz="4" w:space="0"/>
              <w:bottom w:val="single" w:color="000000" w:sz="12" w:space="0"/>
            </w:tcBorders>
          </w:tcPr>
          <w:p>
            <w:pPr>
              <w:pStyle w:val="383"/>
              <w:spacing w:before="37"/>
              <w:ind w:left="512" w:right="508"/>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0.0017</w:t>
            </w:r>
          </w:p>
        </w:tc>
        <w:tc>
          <w:tcPr>
            <w:tcW w:w="1986" w:type="dxa"/>
            <w:tcBorders>
              <w:top w:val="single" w:color="000000" w:sz="4" w:space="0"/>
              <w:bottom w:val="single" w:color="000000" w:sz="12" w:space="0"/>
            </w:tcBorders>
          </w:tcPr>
          <w:p>
            <w:pPr>
              <w:pStyle w:val="383"/>
              <w:spacing w:before="37"/>
              <w:ind w:left="633" w:right="632" w:firstLine="360" w:firstLineChars="200"/>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80</w:t>
            </w:r>
          </w:p>
        </w:tc>
        <w:tc>
          <w:tcPr>
            <w:tcW w:w="1971" w:type="dxa"/>
            <w:tcBorders>
              <w:top w:val="single" w:color="000000" w:sz="4" w:space="0"/>
              <w:bottom w:val="single" w:color="000000" w:sz="12" w:space="0"/>
              <w:right w:val="single" w:color="000000" w:sz="12" w:space="0"/>
            </w:tcBorders>
          </w:tcPr>
          <w:p>
            <w:pPr>
              <w:pStyle w:val="383"/>
              <w:spacing w:before="37"/>
              <w:ind w:left="738"/>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5000</w:t>
            </w:r>
          </w:p>
        </w:tc>
      </w:tr>
    </w:tbl>
    <w:p>
      <w:pPr>
        <w:pStyle w:val="51"/>
        <w:spacing w:line="498" w:lineRule="exact"/>
        <w:ind w:firstLine="480" w:firstLineChars="200"/>
        <w:rPr>
          <w:rFonts w:ascii="Times New Roman" w:eastAsia="黑体" w:cs="Times New Roman"/>
          <w:b/>
          <w:color w:val="000000" w:themeColor="text1"/>
          <w:sz w:val="24"/>
          <w:szCs w:val="24"/>
          <w14:textFill>
            <w14:solidFill>
              <w14:schemeClr w14:val="tx1"/>
            </w14:solidFill>
          </w14:textFill>
        </w:rPr>
      </w:pPr>
      <w:r>
        <w:rPr>
          <w:rFonts w:hint="eastAsia" w:ascii="Times New Roman" w:cs="Times New Roman" w:hAnsiTheme="minorEastAsia" w:eastAsiaTheme="minorEastAsia"/>
          <w:color w:val="000000" w:themeColor="text1"/>
          <w:sz w:val="24"/>
          <w14:textFill>
            <w14:solidFill>
              <w14:schemeClr w14:val="tx1"/>
            </w14:solidFill>
          </w14:textFill>
        </w:rPr>
        <w:t>④预测结果</w:t>
      </w:r>
    </w:p>
    <w:p>
      <w:pPr>
        <w:pStyle w:val="433"/>
        <w:spacing w:before="48"/>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经预测，地下水下游污染物浓度分布情况见表</w:t>
      </w:r>
      <w:r>
        <w:rPr>
          <w:rFonts w:hint="eastAsia" w:ascii="Times New Roman" w:hAnsi="Times New Roman"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28、</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.2-29</w:t>
      </w:r>
      <w:r>
        <w:rPr>
          <w:rFonts w:ascii="Times New Roman" w:hAnsi="Times New Roman" w:cs="Times New Roman"/>
          <w:color w:val="000000" w:themeColor="text1"/>
          <w14:textFill>
            <w14:solidFill>
              <w14:schemeClr w14:val="tx1"/>
            </w14:solidFill>
          </w14:textFill>
        </w:rPr>
        <w:t>。</w:t>
      </w:r>
    </w:p>
    <w:p>
      <w:pPr>
        <w:pStyle w:val="433"/>
        <w:spacing w:before="48"/>
        <w:ind w:firstLine="0" w:firstLineChars="0"/>
        <w:jc w:val="center"/>
        <w:rPr>
          <w:rFonts w:ascii="Times New Roman" w:hAnsi="Times New Roman"/>
          <w:b/>
          <w:color w:val="000000" w:themeColor="text1"/>
          <w14:textFill>
            <w14:solidFill>
              <w14:schemeClr w14:val="tx1"/>
            </w14:solidFill>
          </w14:textFill>
        </w:rPr>
      </w:pPr>
      <w:r>
        <w:rPr>
          <w:rFonts w:asci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.2-28</w:t>
      </w:r>
      <w:r>
        <w:rPr>
          <w:rFonts w:ascii="Times New Roman" w:hAnsi="Times New Roman"/>
          <w:b/>
          <w:color w:val="000000" w:themeColor="text1"/>
          <w14:textFill>
            <w14:solidFill>
              <w14:schemeClr w14:val="tx1"/>
            </w14:solidFill>
          </w14:textFill>
        </w:rPr>
        <w:t xml:space="preserve">   COD</w:t>
      </w:r>
      <w:r>
        <w:rPr>
          <w:rFonts w:ascii="Times New Roman"/>
          <w:b/>
          <w:color w:val="000000" w:themeColor="text1"/>
          <w14:textFill>
            <w14:solidFill>
              <w14:schemeClr w14:val="tx1"/>
            </w14:solidFill>
          </w14:textFill>
        </w:rPr>
        <w:t>地下运移范围计算结果一览表（</w:t>
      </w:r>
      <w:r>
        <w:rPr>
          <w:rFonts w:ascii="Times New Roman" w:hAnsi="Times New Roman"/>
          <w:b/>
          <w:color w:val="000000" w:themeColor="text1"/>
          <w14:textFill>
            <w14:solidFill>
              <w14:schemeClr w14:val="tx1"/>
            </w14:solidFill>
          </w14:textFill>
        </w:rPr>
        <w:t>mg/L</w:t>
      </w:r>
      <w:r>
        <w:rPr>
          <w:rFonts w:ascii="Times New Roman"/>
          <w:b/>
          <w:color w:val="000000" w:themeColor="text1"/>
          <w14:textFill>
            <w14:solidFill>
              <w14:schemeClr w14:val="tx1"/>
            </w14:solidFill>
          </w14:textFill>
        </w:rPr>
        <w:t>）</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50"/>
        <w:gridCol w:w="1680"/>
        <w:gridCol w:w="1677"/>
        <w:gridCol w:w="1677"/>
        <w:gridCol w:w="16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250" w:type="dxa"/>
            <w:tcBorders>
              <w:top w:val="single" w:color="auto" w:sz="12" w:space="0"/>
              <w:bottom w:val="single" w:color="auto" w:sz="6" w:space="0"/>
              <w:tl2br w:val="single" w:color="auto" w:sz="4" w:space="0"/>
            </w:tcBorders>
            <w:shd w:val="clear" w:color="auto" w:fill="auto"/>
            <w:vAlign w:val="center"/>
          </w:tcPr>
          <w:p>
            <w:pPr>
              <w:jc w:val="right"/>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时间</w:t>
            </w:r>
            <w:r>
              <w:rPr>
                <w:rFonts w:ascii="Times New Roman" w:hAnsi="Times New Roman"/>
                <w:color w:val="000000" w:themeColor="text1"/>
                <w:sz w:val="18"/>
                <w:szCs w:val="18"/>
                <w14:textFill>
                  <w14:solidFill>
                    <w14:schemeClr w14:val="tx1"/>
                  </w14:solidFill>
                </w14:textFill>
              </w:rPr>
              <w:t>d</w:t>
            </w:r>
          </w:p>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距离</w:t>
            </w:r>
            <w:r>
              <w:rPr>
                <w:rFonts w:ascii="Times New Roman" w:hAnsi="Times New Roman"/>
                <w:color w:val="000000" w:themeColor="text1"/>
                <w:sz w:val="18"/>
                <w:szCs w:val="18"/>
                <w14:textFill>
                  <w14:solidFill>
                    <w14:schemeClr w14:val="tx1"/>
                  </w14:solidFill>
                </w14:textFill>
              </w:rPr>
              <w:t>m</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w:t>
            </w:r>
            <w:r>
              <w:rPr>
                <w:rFonts w:ascii="Times New Roman" w:hAnsi="Times New Roman"/>
                <w:color w:val="000000" w:themeColor="text1"/>
                <w:sz w:val="18"/>
                <w:szCs w:val="18"/>
                <w14:textFill>
                  <w14:solidFill>
                    <w14:schemeClr w14:val="tx1"/>
                  </w14:solidFill>
                </w14:textFill>
              </w:rPr>
              <w:t>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tcBorders>
              <w:top w:val="single" w:color="auto" w:sz="6" w:space="0"/>
            </w:tcBorders>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r>
              <w:rPr>
                <w:rFonts w:hint="eastAsia" w:ascii="Times New Roman" w:hAnsi="Times New Roman"/>
                <w:color w:val="000000" w:themeColor="text1"/>
                <w:sz w:val="18"/>
                <w:szCs w:val="18"/>
                <w14:textFill>
                  <w14:solidFill>
                    <w14:schemeClr w14:val="tx1"/>
                  </w14:solidFill>
                </w14:textFill>
              </w:rPr>
              <w:t>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32.4242</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56.2132</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64.5363</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72.6186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7.2053</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33.7264</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45.1714</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63.9048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9.01E-01</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18.7375</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32.2658</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45.6463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5.68E-02</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9.3686</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21.5139</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38.0382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2.24E-03</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4.0733</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14.3428</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31.6984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3.01E-05</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1.6294</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8.4365</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31.0765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2.35E-07</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5.43E-01</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4.9623</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25.8967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7.83E-10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1.81E-01</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3.3082</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19.9212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1.56E-12</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4.53E-02</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2.3631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15.3234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2.68E-03</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1.1822</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9.0671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4.82E-04</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4.73E-01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5.3651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6.72E-05</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2.36E-01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2.1632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3.96E-06</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1.12E-01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1.2228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7.11E-07</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5.32E-02</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7.19E-01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2.64E-09</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2.31E-02</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5.53E-01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4.09E-11</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9.64E-03</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4.25E-01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5.02E-11</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3.85E-03</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3.27E-01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1.54E-03</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2.18E-01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5.93E-04</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1.45E-01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2.12E-04</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9.69E-02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8.47E-05</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7.63E-02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2.57E-05</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5.42E-02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1.05E-06</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4.11E-02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4.36E-07</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3.58E-02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6.36E-08</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1.32E-02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1.33E-09</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3.79E-03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3.26E-10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1.58E-03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4.37E-11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5.45E-04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2.09E-12</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2.37E-04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4.47E-05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3.69E-07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2.41E-09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3.68E-11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17</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4.69E-12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17.5</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2.61E-13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w:t>
            </w:r>
          </w:p>
        </w:tc>
        <w:tc>
          <w:tcPr>
            <w:tcW w:w="168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r>
    </w:tbl>
    <w:p>
      <w:pPr>
        <w:pStyle w:val="433"/>
        <w:spacing w:before="48"/>
        <w:ind w:firstLine="1687" w:firstLineChars="700"/>
        <w:rPr>
          <w:color w:val="000000" w:themeColor="text1"/>
          <w14:textFill>
            <w14:solidFill>
              <w14:schemeClr w14:val="tx1"/>
            </w14:solidFill>
          </w14:textFill>
        </w:rPr>
      </w:pPr>
      <w:r>
        <w:rPr>
          <w:rFonts w:ascii="Times New Roman"/>
          <w:b/>
          <w:color w:val="000000" w:themeColor="text1"/>
          <w14:textFill>
            <w14:solidFill>
              <w14:schemeClr w14:val="tx1"/>
            </w14:solidFill>
          </w14:textFill>
        </w:rPr>
        <w:t>表</w:t>
      </w:r>
      <w:r>
        <w:rPr>
          <w:rFonts w:hint="eastAsia" w:ascii="Times New Roman" w:hAnsi="Times New Roman"/>
          <w:b/>
          <w:color w:val="000000" w:themeColor="text1"/>
          <w:lang w:val="en-US" w:eastAsia="zh-CN"/>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.2-29</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氟化物</w:t>
      </w:r>
      <w:r>
        <w:rPr>
          <w:rFonts w:ascii="Times New Roman"/>
          <w:b/>
          <w:color w:val="000000" w:themeColor="text1"/>
          <w14:textFill>
            <w14:solidFill>
              <w14:schemeClr w14:val="tx1"/>
            </w14:solidFill>
          </w14:textFill>
        </w:rPr>
        <w:t>地下运移范围计算结果一览表（</w:t>
      </w:r>
      <w:r>
        <w:rPr>
          <w:rFonts w:ascii="Times New Roman" w:hAnsi="Times New Roman"/>
          <w:b/>
          <w:color w:val="000000" w:themeColor="text1"/>
          <w14:textFill>
            <w14:solidFill>
              <w14:schemeClr w14:val="tx1"/>
            </w14:solidFill>
          </w14:textFill>
        </w:rPr>
        <w:t>mg/L</w:t>
      </w:r>
      <w:r>
        <w:rPr>
          <w:rFonts w:ascii="Times New Roman"/>
          <w:b/>
          <w:color w:val="000000" w:themeColor="text1"/>
          <w14:textFill>
            <w14:solidFill>
              <w14:schemeClr w14:val="tx1"/>
            </w14:solidFill>
          </w14:textFill>
        </w:rPr>
        <w:t>）</w:t>
      </w:r>
    </w:p>
    <w:tbl>
      <w:tblPr>
        <w:tblStyle w:val="87"/>
        <w:tblW w:w="89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50"/>
        <w:gridCol w:w="1679"/>
        <w:gridCol w:w="1675"/>
        <w:gridCol w:w="1674"/>
        <w:gridCol w:w="16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250" w:type="dxa"/>
            <w:tcBorders>
              <w:top w:val="single" w:color="auto" w:sz="12" w:space="0"/>
              <w:bottom w:val="single" w:color="auto" w:sz="6" w:space="0"/>
              <w:tl2br w:val="single" w:color="auto" w:sz="4" w:space="0"/>
            </w:tcBorders>
            <w:shd w:val="clear" w:color="auto" w:fill="auto"/>
            <w:vAlign w:val="center"/>
          </w:tcPr>
          <w:p>
            <w:pPr>
              <w:jc w:val="right"/>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时间</w:t>
            </w:r>
            <w:r>
              <w:rPr>
                <w:rFonts w:ascii="Times New Roman" w:hAnsi="Times New Roman"/>
                <w:color w:val="000000" w:themeColor="text1"/>
                <w:sz w:val="18"/>
                <w:szCs w:val="18"/>
                <w14:textFill>
                  <w14:solidFill>
                    <w14:schemeClr w14:val="tx1"/>
                  </w14:solidFill>
                </w14:textFill>
              </w:rPr>
              <w:t>d</w:t>
            </w:r>
          </w:p>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距离</w:t>
            </w:r>
            <w:r>
              <w:rPr>
                <w:rFonts w:ascii="Times New Roman" w:hAnsi="Times New Roman"/>
                <w:color w:val="000000" w:themeColor="text1"/>
                <w:sz w:val="18"/>
                <w:szCs w:val="18"/>
                <w14:textFill>
                  <w14:solidFill>
                    <w14:schemeClr w14:val="tx1"/>
                  </w14:solidFill>
                </w14:textFill>
              </w:rPr>
              <w:t>m</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w:t>
            </w:r>
            <w:r>
              <w:rPr>
                <w:rFonts w:ascii="Times New Roman" w:hAnsi="Times New Roman"/>
                <w:color w:val="000000" w:themeColor="text1"/>
                <w:sz w:val="18"/>
                <w:szCs w:val="18"/>
                <w14:textFill>
                  <w14:solidFill>
                    <w14:schemeClr w14:val="tx1"/>
                  </w14:solidFill>
                </w14:textFill>
              </w:rPr>
              <w:t>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tcBorders>
              <w:top w:val="single" w:color="auto" w:sz="6" w:space="0"/>
            </w:tcBorders>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w:t>
            </w:r>
            <w:r>
              <w:rPr>
                <w:rFonts w:hint="eastAsia" w:ascii="Times New Roman" w:hAnsi="Times New Roman"/>
                <w:color w:val="000000" w:themeColor="text1"/>
                <w:sz w:val="18"/>
                <w:szCs w:val="18"/>
                <w14:textFill>
                  <w14:solidFill>
                    <w14:schemeClr w14:val="tx1"/>
                  </w14:solidFill>
                </w14:textFill>
              </w:rPr>
              <w:t>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1976.2846</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3571.4285</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3734.6984</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3961.2876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318.7554</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2380.9524</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2872.8449</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3301.0732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50.5961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1587.3016</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2209.8007</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2826.3645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6.2464</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1058.2011</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1699.9082</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2431.6958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2.85E-01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705.4674</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1307.6217</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2048.9326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3.69E-03</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282.1869</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1005.8628</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1609.4865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4.46E-05</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112.8747</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773.7406</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1032.6235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5.31E-07</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45.1499</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515.8271</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762.4896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2.89E-09</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16.7222</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245.6319</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542.4985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1.48E-11</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6.4316</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87.7256</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288.6736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4.1E-13</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2.7961</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28.2986</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91.4278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1.1651</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10.4809</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31.2085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4.32E-01</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4.3671</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12.6945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2.16E-03</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9.68E-01</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3.2269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8.32E-04</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5.58E-01</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0.8892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1.63E-06</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2.07E-03</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6.12E-01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6.94E-07</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4.69E-04</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4.33E-01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2.49E-09</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3.64E-05</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2.24E-01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4.01E-11</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2.88E-06</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5.12E-02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1.38E-12</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7.16E-07</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4.88E-02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10.5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5.64E-13</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5.26E-09</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3.16E-02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2.45E-10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1.22E-03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11.5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3.78E-11</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3.66E-03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4.21E-12</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2.28E-04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12.5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2.32E-13</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5.31E-05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2.62E-05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3.28E-06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4.22E-07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14.5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6.22E-08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2.41E-08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15.5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3.72E-09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1.33E-09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16.5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8.68E-10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17</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4.37E-10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17.5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7.39E-11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2.84E-11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9.12E-12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19</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3.67E-12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19.5</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4.86E-13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250"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20</w:t>
            </w:r>
          </w:p>
        </w:tc>
        <w:tc>
          <w:tcPr>
            <w:tcW w:w="1679"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c>
          <w:tcPr>
            <w:tcW w:w="1676"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0.0000</w:t>
            </w:r>
          </w:p>
        </w:tc>
      </w:tr>
    </w:tbl>
    <w:p>
      <w:pPr>
        <w:pStyle w:val="433"/>
        <w:spacing w:before="48"/>
        <w:rPr>
          <w:color w:val="000000" w:themeColor="text1"/>
          <w14:textFill>
            <w14:solidFill>
              <w14:schemeClr w14:val="tx1"/>
            </w14:solidFill>
          </w14:textFill>
        </w:rPr>
      </w:pPr>
      <w:r>
        <w:rPr>
          <w:color w:val="000000" w:themeColor="text1"/>
          <w14:textFill>
            <w14:solidFill>
              <w14:schemeClr w14:val="tx1"/>
            </w14:solidFill>
          </w14:textFill>
        </w:rPr>
        <w:t>非正常工况下，</w:t>
      </w:r>
      <w:r>
        <w:rPr>
          <w:rFonts w:hint="eastAsia"/>
          <w:color w:val="000000" w:themeColor="text1"/>
          <w14:textFill>
            <w14:solidFill>
              <w14:schemeClr w14:val="tx1"/>
            </w14:solidFill>
          </w14:textFill>
        </w:rPr>
        <w:t>母液槽</w:t>
      </w:r>
      <w:r>
        <w:rPr>
          <w:color w:val="000000" w:themeColor="text1"/>
          <w14:textFill>
            <w14:solidFill>
              <w14:schemeClr w14:val="tx1"/>
            </w14:solidFill>
          </w14:textFill>
        </w:rPr>
        <w:t>防渗层损坏开裂、废水下渗进入地下水，则污染物位移范围计算见表</w:t>
      </w:r>
      <w:r>
        <w:rPr>
          <w:rFonts w:hint="eastAsia" w:ascii="Times New Roman" w:hAnsi="Times New Roman"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2-30、</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.2-31</w:t>
      </w:r>
      <w:r>
        <w:rPr>
          <w:color w:val="000000" w:themeColor="text1"/>
          <w14:textFill>
            <w14:solidFill>
              <w14:schemeClr w14:val="tx1"/>
            </w14:solidFill>
          </w14:textFill>
        </w:rPr>
        <w:t>。</w:t>
      </w: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sectPr>
          <w:footerReference r:id="rId7"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r>
        <w:rPr>
          <w:rFonts w:hint="eastAsia"/>
          <w:b/>
          <w:color w:val="000000" w:themeColor="text1"/>
          <w14:textFill>
            <w14:solidFill>
              <w14:schemeClr w14:val="tx1"/>
            </w14:solidFill>
          </w14:textFill>
        </w:rPr>
        <w:t xml:space="preserve">                                        </w:t>
      </w:r>
    </w:p>
    <w:p>
      <w:pPr>
        <w:tabs>
          <w:tab w:val="left" w:pos="965"/>
        </w:tabs>
        <w:spacing w:before="76" w:after="41"/>
        <w:ind w:left="15"/>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30</w:t>
      </w:r>
      <w:r>
        <w:rPr>
          <w:rFonts w:ascii="Times New Roman" w:hAnsi="Times New Roman" w:eastAsia="Times New Roman"/>
          <w:b/>
          <w:color w:val="000000" w:themeColor="text1"/>
          <w:sz w:val="24"/>
          <w:szCs w:val="24"/>
          <w14:textFill>
            <w14:solidFill>
              <w14:schemeClr w14:val="tx1"/>
            </w14:solidFill>
          </w14:textFill>
        </w:rPr>
        <w:tab/>
      </w:r>
      <w:r>
        <w:rPr>
          <w:rFonts w:hint="eastAsia" w:ascii="Times New Roman" w:hAnsi="Times New Roman"/>
          <w:b/>
          <w:color w:val="000000" w:themeColor="text1"/>
          <w:sz w:val="24"/>
          <w:szCs w:val="24"/>
          <w14:textFill>
            <w14:solidFill>
              <w14:schemeClr w14:val="tx1"/>
            </w14:solidFill>
          </w14:textFill>
        </w:rPr>
        <w:t xml:space="preserve">  </w:t>
      </w:r>
      <w:r>
        <w:rPr>
          <w:rFonts w:ascii="Times New Roman" w:hAnsi="Times New Roman" w:eastAsia="Times New Roman"/>
          <w:b/>
          <w:color w:val="000000" w:themeColor="text1"/>
          <w:sz w:val="24"/>
          <w:szCs w:val="24"/>
          <w14:textFill>
            <w14:solidFill>
              <w14:schemeClr w14:val="tx1"/>
            </w14:solidFill>
          </w14:textFill>
        </w:rPr>
        <w:t>CODmn</w:t>
      </w:r>
      <w:r>
        <w:rPr>
          <w:rFonts w:ascii="Times New Roman" w:hAnsi="Times New Roman"/>
          <w:b/>
          <w:color w:val="000000" w:themeColor="text1"/>
          <w:sz w:val="24"/>
          <w:szCs w:val="24"/>
          <w14:textFill>
            <w14:solidFill>
              <w14:schemeClr w14:val="tx1"/>
            </w14:solidFill>
          </w14:textFill>
        </w:rPr>
        <w:t>污染运移范围预测结果见表（</w:t>
      </w:r>
      <w:r>
        <w:rPr>
          <w:rFonts w:ascii="Times New Roman" w:hAnsi="Times New Roman" w:eastAsia="Times New Roman"/>
          <w:b/>
          <w:color w:val="000000" w:themeColor="text1"/>
          <w:sz w:val="24"/>
          <w:szCs w:val="24"/>
          <w14:textFill>
            <w14:solidFill>
              <w14:schemeClr w14:val="tx1"/>
            </w14:solidFill>
          </w14:textFill>
        </w:rPr>
        <w:t>mg/L</w:t>
      </w:r>
      <w:r>
        <w:rPr>
          <w:rFonts w:ascii="Times New Roman" w:hAnsi="Times New Roman"/>
          <w:b/>
          <w:color w:val="000000" w:themeColor="text1"/>
          <w:sz w:val="24"/>
          <w:szCs w:val="24"/>
          <w14:textFill>
            <w14:solidFill>
              <w14:schemeClr w14:val="tx1"/>
            </w14:solidFill>
          </w14:textFill>
        </w:rPr>
        <w:t>）</w:t>
      </w:r>
    </w:p>
    <w:tbl>
      <w:tblPr>
        <w:tblStyle w:val="87"/>
        <w:tblW w:w="145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749"/>
        <w:gridCol w:w="1144"/>
        <w:gridCol w:w="874"/>
        <w:gridCol w:w="900"/>
        <w:gridCol w:w="946"/>
        <w:gridCol w:w="961"/>
        <w:gridCol w:w="900"/>
        <w:gridCol w:w="885"/>
        <w:gridCol w:w="914"/>
        <w:gridCol w:w="914"/>
        <w:gridCol w:w="1005"/>
        <w:gridCol w:w="961"/>
        <w:gridCol w:w="900"/>
        <w:gridCol w:w="901"/>
        <w:gridCol w:w="9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676"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因子</w:t>
            </w:r>
          </w:p>
        </w:tc>
        <w:tc>
          <w:tcPr>
            <w:tcW w:w="749"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时间</w:t>
            </w:r>
          </w:p>
        </w:tc>
        <w:tc>
          <w:tcPr>
            <w:tcW w:w="1144"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预测距离</w:t>
            </w:r>
          </w:p>
        </w:tc>
        <w:tc>
          <w:tcPr>
            <w:tcW w:w="874"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0.5m</w:t>
            </w:r>
          </w:p>
        </w:tc>
        <w:tc>
          <w:tcPr>
            <w:tcW w:w="90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1m</w:t>
            </w:r>
          </w:p>
        </w:tc>
        <w:tc>
          <w:tcPr>
            <w:tcW w:w="946"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1.5m</w:t>
            </w:r>
          </w:p>
        </w:tc>
        <w:tc>
          <w:tcPr>
            <w:tcW w:w="961"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2m</w:t>
            </w:r>
          </w:p>
        </w:tc>
        <w:tc>
          <w:tcPr>
            <w:tcW w:w="90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2.5m</w:t>
            </w:r>
          </w:p>
        </w:tc>
        <w:tc>
          <w:tcPr>
            <w:tcW w:w="88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3m</w:t>
            </w:r>
          </w:p>
        </w:tc>
        <w:tc>
          <w:tcPr>
            <w:tcW w:w="914"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3.5m</w:t>
            </w:r>
          </w:p>
        </w:tc>
        <w:tc>
          <w:tcPr>
            <w:tcW w:w="914"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4m</w:t>
            </w:r>
          </w:p>
        </w:tc>
        <w:tc>
          <w:tcPr>
            <w:tcW w:w="100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4.5m</w:t>
            </w:r>
          </w:p>
        </w:tc>
        <w:tc>
          <w:tcPr>
            <w:tcW w:w="961"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5m</w:t>
            </w:r>
          </w:p>
        </w:tc>
        <w:tc>
          <w:tcPr>
            <w:tcW w:w="90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5.5m</w:t>
            </w:r>
          </w:p>
        </w:tc>
        <w:tc>
          <w:tcPr>
            <w:tcW w:w="901"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6m</w:t>
            </w:r>
          </w:p>
        </w:tc>
        <w:tc>
          <w:tcPr>
            <w:tcW w:w="901"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6.5m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COD</w:t>
            </w:r>
          </w:p>
        </w:tc>
        <w:tc>
          <w:tcPr>
            <w:tcW w:w="749"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100d</w:t>
            </w: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预测浓度</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32.4242</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7.2053</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0.901</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0.0568</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49"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达标情况</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49"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500d</w:t>
            </w: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预测浓度</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56.2132</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33.7264</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18.7375</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9.3686</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4.0733</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1.6294</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0.543</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49"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达标情况</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49"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1000d</w:t>
            </w: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预测浓度</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64.5363</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45.1714</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32.2658</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21.5139</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14.3428</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8.4365</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4.9623</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3.3082</w:t>
            </w: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2.3631</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1.1822</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49"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达标情况</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49"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3650d</w:t>
            </w: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预测浓度</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72.6186</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63.9048</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45.6463</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38.0382</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31.6984</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31.0765</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25.8967</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19.9212</w:t>
            </w: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15.3234</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9.0671</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5.3651</w:t>
            </w: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2.1632</w:t>
            </w: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1.2228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49"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114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达标情况</w:t>
            </w:r>
          </w:p>
        </w:tc>
        <w:tc>
          <w:tcPr>
            <w:tcW w:w="87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46"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100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6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901"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r>
    </w:tbl>
    <w:p>
      <w:pPr>
        <w:tabs>
          <w:tab w:val="left" w:pos="965"/>
        </w:tabs>
        <w:spacing w:before="76" w:after="41"/>
        <w:ind w:left="15"/>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eastAsia="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 xml:space="preserve">31 </w:t>
      </w:r>
      <w:r>
        <w:rPr>
          <w:rFonts w:ascii="Times New Roman" w:hAnsi="Times New Roman" w:eastAsia="Times New Roman"/>
          <w:b/>
          <w:color w:val="000000" w:themeColor="text1"/>
          <w:sz w:val="24"/>
          <w:szCs w:val="24"/>
          <w14:textFill>
            <w14:solidFill>
              <w14:schemeClr w14:val="tx1"/>
            </w14:solidFill>
          </w14:textFill>
        </w:rPr>
        <w:tab/>
      </w:r>
      <w:r>
        <w:rPr>
          <w:rFonts w:hint="eastAsia" w:ascii="Times New Roman" w:hAnsi="Times New Roman"/>
          <w:b/>
          <w:color w:val="000000" w:themeColor="text1"/>
          <w:sz w:val="24"/>
          <w:szCs w:val="24"/>
          <w14:textFill>
            <w14:solidFill>
              <w14:schemeClr w14:val="tx1"/>
            </w14:solidFill>
          </w14:textFill>
        </w:rPr>
        <w:t>氟化物</w:t>
      </w:r>
      <w:r>
        <w:rPr>
          <w:rFonts w:ascii="Times New Roman" w:hAnsi="Times New Roman"/>
          <w:b/>
          <w:color w:val="000000" w:themeColor="text1"/>
          <w:sz w:val="24"/>
          <w:szCs w:val="24"/>
          <w14:textFill>
            <w14:solidFill>
              <w14:schemeClr w14:val="tx1"/>
            </w14:solidFill>
          </w14:textFill>
        </w:rPr>
        <w:t>污染运移范围预测结果见表（</w:t>
      </w:r>
      <w:r>
        <w:rPr>
          <w:rFonts w:ascii="Times New Roman" w:hAnsi="Times New Roman" w:eastAsia="Times New Roman"/>
          <w:b/>
          <w:color w:val="000000" w:themeColor="text1"/>
          <w:sz w:val="24"/>
          <w:szCs w:val="24"/>
          <w14:textFill>
            <w14:solidFill>
              <w14:schemeClr w14:val="tx1"/>
            </w14:solidFill>
          </w14:textFill>
        </w:rPr>
        <w:t>mg/L</w:t>
      </w:r>
      <w:r>
        <w:rPr>
          <w:rFonts w:ascii="Times New Roman" w:hAnsi="Times New Roman"/>
          <w:b/>
          <w:color w:val="000000" w:themeColor="text1"/>
          <w:sz w:val="24"/>
          <w:szCs w:val="24"/>
          <w14:textFill>
            <w14:solidFill>
              <w14:schemeClr w14:val="tx1"/>
            </w14:solidFill>
          </w14:textFill>
        </w:rPr>
        <w:t>）</w:t>
      </w:r>
    </w:p>
    <w:tbl>
      <w:tblPr>
        <w:tblStyle w:val="87"/>
        <w:tblW w:w="145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4"/>
        <w:gridCol w:w="614"/>
        <w:gridCol w:w="660"/>
        <w:gridCol w:w="915"/>
        <w:gridCol w:w="855"/>
        <w:gridCol w:w="870"/>
        <w:gridCol w:w="885"/>
        <w:gridCol w:w="915"/>
        <w:gridCol w:w="885"/>
        <w:gridCol w:w="855"/>
        <w:gridCol w:w="795"/>
        <w:gridCol w:w="795"/>
        <w:gridCol w:w="765"/>
        <w:gridCol w:w="735"/>
        <w:gridCol w:w="735"/>
        <w:gridCol w:w="735"/>
        <w:gridCol w:w="720"/>
        <w:gridCol w:w="630"/>
        <w:gridCol w:w="6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4"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因子</w:t>
            </w:r>
          </w:p>
        </w:tc>
        <w:tc>
          <w:tcPr>
            <w:tcW w:w="614"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时间</w:t>
            </w:r>
          </w:p>
        </w:tc>
        <w:tc>
          <w:tcPr>
            <w:tcW w:w="660" w:type="dxa"/>
            <w:shd w:val="clear" w:color="auto" w:fill="auto"/>
            <w:vAlign w:val="center"/>
          </w:tcPr>
          <w:p>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预测距离</w:t>
            </w:r>
          </w:p>
        </w:tc>
        <w:tc>
          <w:tcPr>
            <w:tcW w:w="91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0.5m</w:t>
            </w:r>
          </w:p>
        </w:tc>
        <w:tc>
          <w:tcPr>
            <w:tcW w:w="85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1m</w:t>
            </w:r>
          </w:p>
        </w:tc>
        <w:tc>
          <w:tcPr>
            <w:tcW w:w="87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1.5m</w:t>
            </w:r>
          </w:p>
        </w:tc>
        <w:tc>
          <w:tcPr>
            <w:tcW w:w="88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2m</w:t>
            </w:r>
          </w:p>
        </w:tc>
        <w:tc>
          <w:tcPr>
            <w:tcW w:w="91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2.5m</w:t>
            </w:r>
          </w:p>
        </w:tc>
        <w:tc>
          <w:tcPr>
            <w:tcW w:w="88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3m</w:t>
            </w:r>
          </w:p>
        </w:tc>
        <w:tc>
          <w:tcPr>
            <w:tcW w:w="85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3.5m</w:t>
            </w:r>
          </w:p>
        </w:tc>
        <w:tc>
          <w:tcPr>
            <w:tcW w:w="79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4m</w:t>
            </w:r>
          </w:p>
        </w:tc>
        <w:tc>
          <w:tcPr>
            <w:tcW w:w="79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4.5m</w:t>
            </w:r>
          </w:p>
        </w:tc>
        <w:tc>
          <w:tcPr>
            <w:tcW w:w="76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5m</w:t>
            </w:r>
          </w:p>
        </w:tc>
        <w:tc>
          <w:tcPr>
            <w:tcW w:w="73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5.5m</w:t>
            </w:r>
          </w:p>
        </w:tc>
        <w:tc>
          <w:tcPr>
            <w:tcW w:w="73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6m</w:t>
            </w:r>
          </w:p>
        </w:tc>
        <w:tc>
          <w:tcPr>
            <w:tcW w:w="735"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6.5m</w:t>
            </w:r>
          </w:p>
        </w:tc>
        <w:tc>
          <w:tcPr>
            <w:tcW w:w="72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7m</w:t>
            </w:r>
          </w:p>
        </w:tc>
        <w:tc>
          <w:tcPr>
            <w:tcW w:w="63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7.5m</w:t>
            </w:r>
          </w:p>
        </w:tc>
        <w:tc>
          <w:tcPr>
            <w:tcW w:w="614"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8m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524"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氟化物</w:t>
            </w:r>
          </w:p>
        </w:tc>
        <w:tc>
          <w:tcPr>
            <w:tcW w:w="614"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100d</w:t>
            </w:r>
          </w:p>
        </w:tc>
        <w:tc>
          <w:tcPr>
            <w:tcW w:w="660"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浓度</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1976.2846</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318.7554</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50.5961</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6.2464</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0.285</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0.00369</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6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6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达标情况</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6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500d</w:t>
            </w:r>
          </w:p>
        </w:tc>
        <w:tc>
          <w:tcPr>
            <w:tcW w:w="660"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浓度</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3571.4285</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2380.9524</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1587.3016</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1058.2011</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705.4674</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282.1869</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112.8747</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45.1499</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16.7222</w:t>
            </w:r>
          </w:p>
        </w:tc>
        <w:tc>
          <w:tcPr>
            <w:tcW w:w="76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6.4316</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2.7961</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1.1651</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0.432</w:t>
            </w: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0.00216</w:t>
            </w: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52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6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达标情况</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6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1000d</w:t>
            </w:r>
          </w:p>
        </w:tc>
        <w:tc>
          <w:tcPr>
            <w:tcW w:w="660"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浓度</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3734.6984</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2872.8449</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2209.8007</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1699.9082</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1307.6217</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1005.8628</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773.7406</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515.8271</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245.6319</w:t>
            </w:r>
          </w:p>
        </w:tc>
        <w:tc>
          <w:tcPr>
            <w:tcW w:w="76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87.7256</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28.2986</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10.4809</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4.3671</w:t>
            </w: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0.968</w:t>
            </w: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0.558</w:t>
            </w: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6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达标情况</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95" w:type="dxa"/>
            <w:shd w:val="clear" w:color="auto" w:fill="auto"/>
            <w:vAlign w:val="center"/>
          </w:tcPr>
          <w:p>
            <w:pPr>
              <w:spacing w:line="320" w:lineRule="atLeast"/>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65" w:type="dxa"/>
            <w:shd w:val="clear" w:color="auto" w:fill="auto"/>
            <w:vAlign w:val="center"/>
          </w:tcPr>
          <w:p>
            <w:pPr>
              <w:spacing w:line="320" w:lineRule="atLeast"/>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vMerge w:val="restart"/>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3650d</w:t>
            </w:r>
          </w:p>
        </w:tc>
        <w:tc>
          <w:tcPr>
            <w:tcW w:w="660" w:type="dxa"/>
            <w:shd w:val="clear" w:color="auto" w:fill="auto"/>
            <w:vAlign w:val="center"/>
          </w:tcPr>
          <w:p>
            <w:pPr>
              <w:jc w:val="center"/>
              <w:rPr>
                <w:rFonts w:ascii="Times New Roman" w:hAnsi="Times New Roman"/>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预测</w:t>
            </w:r>
          </w:p>
          <w:p>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浓度</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3961.2876</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3301.0732</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2826.3645</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2431.6958</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2048.9326</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1609.4865</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1032.6235</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762.4896</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542.4985</w:t>
            </w:r>
          </w:p>
        </w:tc>
        <w:tc>
          <w:tcPr>
            <w:tcW w:w="76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288.6736</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91.4278</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31.2085</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12.6945</w:t>
            </w: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3.2269</w:t>
            </w: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0.8892</w:t>
            </w: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0.612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14" w:type="dxa"/>
            <w:vMerge w:val="continue"/>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p>
        </w:tc>
        <w:tc>
          <w:tcPr>
            <w:tcW w:w="660" w:type="dxa"/>
            <w:shd w:val="clear" w:color="auto" w:fill="auto"/>
            <w:vAlign w:val="center"/>
          </w:tcPr>
          <w:p>
            <w:pPr>
              <w:jc w:val="center"/>
              <w:rPr>
                <w:color w:val="000000" w:themeColor="text1"/>
                <w:sz w:val="15"/>
                <w:szCs w:val="15"/>
                <w14:textFill>
                  <w14:solidFill>
                    <w14:schemeClr w14:val="tx1"/>
                  </w14:solidFill>
                </w14:textFill>
              </w:rPr>
            </w:pPr>
            <w:r>
              <w:rPr>
                <w:rFonts w:hint="eastAsia" w:ascii="Times New Roman" w:hAnsi="Times New Roman"/>
                <w:color w:val="000000" w:themeColor="text1"/>
                <w:sz w:val="15"/>
                <w:szCs w:val="15"/>
                <w14:textFill>
                  <w14:solidFill>
                    <w14:schemeClr w14:val="tx1"/>
                  </w14:solidFill>
                </w14:textFill>
              </w:rPr>
              <w:t>达标情况</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7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91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8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85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9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6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35"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72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超标</w:t>
            </w:r>
          </w:p>
        </w:tc>
        <w:tc>
          <w:tcPr>
            <w:tcW w:w="630"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c>
          <w:tcPr>
            <w:tcW w:w="614" w:type="dxa"/>
            <w:shd w:val="clear" w:color="auto" w:fill="auto"/>
            <w:vAlign w:val="center"/>
          </w:tcPr>
          <w:p>
            <w:pPr>
              <w:pStyle w:val="435"/>
              <w:spacing w:line="320" w:lineRule="atLeast"/>
              <w:ind w:firstLine="0" w:firstLineChars="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达标</w:t>
            </w:r>
          </w:p>
        </w:tc>
      </w:tr>
    </w:tbl>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pPr>
      <w:r>
        <w:rPr>
          <w:rFonts w:hint="eastAsia"/>
          <w:b/>
          <w:color w:val="000000" w:themeColor="text1"/>
          <w14:textFill>
            <w14:solidFill>
              <w14:schemeClr w14:val="tx1"/>
            </w14:solidFill>
          </w14:textFill>
        </w:rPr>
        <w:t xml:space="preserve">                                                               </w:t>
      </w:r>
    </w:p>
    <w:p>
      <w:pPr>
        <w:pStyle w:val="433"/>
        <w:spacing w:before="4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从预测结果可以看出，因点源污染渗漏，CODmn在地下水中运移100天、500天、</w:t>
      </w:r>
    </w:p>
    <w:p>
      <w:pPr>
        <w:pStyle w:val="433"/>
        <w:spacing w:before="48"/>
        <w:ind w:firstLine="0" w:firstLineChars="0"/>
        <w:rPr>
          <w:b/>
          <w:color w:val="000000" w:themeColor="text1"/>
          <w14:textFill>
            <w14:solidFill>
              <w14:schemeClr w14:val="tx1"/>
            </w14:solidFill>
          </w14:textFill>
        </w:rPr>
      </w:pPr>
      <w:r>
        <w:rPr>
          <w:rFonts w:ascii="Times New Roman"/>
          <w:color w:val="000000" w:themeColor="text1"/>
          <w14:textFill>
            <w14:solidFill>
              <w14:schemeClr w14:val="tx1"/>
            </w14:solidFill>
          </w14:textFill>
        </w:rPr>
        <w:t>1000天和10年后的达标扩散距离分别达到5m、</w:t>
      </w:r>
      <w:r>
        <w:rPr>
          <w:rFonts w:hint="eastAsia" w:ascii="Times New Roman"/>
          <w:color w:val="000000" w:themeColor="text1"/>
          <w14:textFill>
            <w14:solidFill>
              <w14:schemeClr w14:val="tx1"/>
            </w14:solidFill>
          </w14:textFill>
        </w:rPr>
        <w:t>9</w:t>
      </w:r>
      <w:r>
        <w:rPr>
          <w:rFonts w:ascii="Times New Roman"/>
          <w:color w:val="000000" w:themeColor="text1"/>
          <w14:textFill>
            <w14:solidFill>
              <w14:schemeClr w14:val="tx1"/>
            </w14:solidFill>
          </w14:textFill>
        </w:rPr>
        <w:t>m、</w:t>
      </w:r>
      <w:r>
        <w:rPr>
          <w:rFonts w:hint="eastAsia" w:ascii="Times New Roman"/>
          <w:color w:val="000000" w:themeColor="text1"/>
          <w14:textFill>
            <w14:solidFill>
              <w14:schemeClr w14:val="tx1"/>
            </w14:solidFill>
          </w14:textFill>
        </w:rPr>
        <w:t>15</w:t>
      </w:r>
      <w:r>
        <w:rPr>
          <w:rFonts w:ascii="Times New Roman"/>
          <w:color w:val="000000" w:themeColor="text1"/>
          <w14:textFill>
            <w14:solidFill>
              <w14:schemeClr w14:val="tx1"/>
            </w14:solidFill>
          </w14:textFill>
        </w:rPr>
        <w:t>m和</w:t>
      </w:r>
      <w:r>
        <w:rPr>
          <w:rFonts w:hint="eastAsia" w:ascii="Times New Roman"/>
          <w:color w:val="000000" w:themeColor="text1"/>
          <w14:textFill>
            <w14:solidFill>
              <w14:schemeClr w14:val="tx1"/>
            </w14:solidFill>
          </w14:textFill>
        </w:rPr>
        <w:t>18</w:t>
      </w:r>
      <w:r>
        <w:rPr>
          <w:rFonts w:ascii="Times New Roman"/>
          <w:color w:val="000000" w:themeColor="text1"/>
          <w14:textFill>
            <w14:solidFill>
              <w14:schemeClr w14:val="tx1"/>
            </w14:solidFill>
          </w14:textFill>
        </w:rPr>
        <w:t>m；</w:t>
      </w:r>
      <w:r>
        <w:rPr>
          <w:rFonts w:hint="eastAsia" w:ascii="Times New Roman"/>
          <w:color w:val="000000" w:themeColor="text1"/>
          <w14:textFill>
            <w14:solidFill>
              <w14:schemeClr w14:val="tx1"/>
            </w14:solidFill>
          </w14:textFill>
        </w:rPr>
        <w:t>氟化物</w:t>
      </w:r>
      <w:r>
        <w:rPr>
          <w:rFonts w:ascii="Times New Roman"/>
          <w:color w:val="000000" w:themeColor="text1"/>
          <w14:textFill>
            <w14:solidFill>
              <w14:schemeClr w14:val="tx1"/>
            </w14:solidFill>
          </w14:textFill>
        </w:rPr>
        <w:t>在地下水中运移100天、500天、1000天和10年后的达标扩散距离分别达到</w:t>
      </w:r>
      <w:r>
        <w:rPr>
          <w:rFonts w:hint="eastAsia" w:ascii="Times New Roman"/>
          <w:color w:val="000000" w:themeColor="text1"/>
          <w14:textFill>
            <w14:solidFill>
              <w14:schemeClr w14:val="tx1"/>
            </w14:solidFill>
          </w14:textFill>
        </w:rPr>
        <w:t>6</w:t>
      </w:r>
      <w:r>
        <w:rPr>
          <w:rFonts w:ascii="Times New Roman"/>
          <w:color w:val="000000" w:themeColor="text1"/>
          <w14:textFill>
            <w14:solidFill>
              <w14:schemeClr w14:val="tx1"/>
            </w14:solidFill>
          </w14:textFill>
        </w:rPr>
        <w:t>m、11m、1</w:t>
      </w:r>
      <w:r>
        <w:rPr>
          <w:rFonts w:hint="eastAsia" w:ascii="Times New Roman"/>
          <w:color w:val="000000" w:themeColor="text1"/>
          <w14:textFill>
            <w14:solidFill>
              <w14:schemeClr w14:val="tx1"/>
            </w14:solidFill>
          </w14:textFill>
        </w:rPr>
        <w:t>3</w:t>
      </w:r>
      <w:r>
        <w:rPr>
          <w:rFonts w:ascii="Times New Roman"/>
          <w:color w:val="000000" w:themeColor="text1"/>
          <w14:textFill>
            <w14:solidFill>
              <w14:schemeClr w14:val="tx1"/>
            </w14:solidFill>
          </w14:textFill>
        </w:rPr>
        <w:t>m和</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0m。</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71" w:name="_Toc16608"/>
      <w:bookmarkStart w:id="472" w:name="_Toc31063"/>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.2.4.6地下水环境影响评价结论</w:t>
      </w:r>
      <w:bookmarkEnd w:id="471"/>
      <w:bookmarkEnd w:id="472"/>
    </w:p>
    <w:p>
      <w:pPr>
        <w:pStyle w:val="433"/>
        <w:numPr>
          <w:ilvl w:val="0"/>
          <w:numId w:val="38"/>
        </w:numPr>
        <w:spacing w:before="4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本项目在</w:t>
      </w:r>
      <w:r>
        <w:rPr>
          <w:rFonts w:ascii="Times New Roman"/>
          <w:color w:val="000000" w:themeColor="text1"/>
          <w14:textFill>
            <w14:solidFill>
              <w14:schemeClr w14:val="tx1"/>
            </w14:solidFill>
          </w14:textFill>
        </w:rPr>
        <w:t>运营过程中</w:t>
      </w:r>
      <w:r>
        <w:rPr>
          <w:rFonts w:hint="eastAsia" w:ascii="Times New Roman"/>
          <w:color w:val="000000" w:themeColor="text1"/>
          <w14:textFill>
            <w14:solidFill>
              <w14:schemeClr w14:val="tx1"/>
            </w14:solidFill>
          </w14:textFill>
        </w:rPr>
        <w:t>在严格落实地下水</w:t>
      </w:r>
      <w:r>
        <w:rPr>
          <w:rFonts w:ascii="Times New Roman"/>
          <w:color w:val="000000" w:themeColor="text1"/>
          <w14:textFill>
            <w14:solidFill>
              <w14:schemeClr w14:val="tx1"/>
            </w14:solidFill>
          </w14:textFill>
        </w:rPr>
        <w:t>污染防</w:t>
      </w:r>
      <w:r>
        <w:rPr>
          <w:rFonts w:hint="eastAsia" w:ascii="Times New Roman"/>
          <w:color w:val="000000" w:themeColor="text1"/>
          <w14:textFill>
            <w14:solidFill>
              <w14:schemeClr w14:val="tx1"/>
            </w14:solidFill>
          </w14:textFill>
        </w:rPr>
        <w:t>治</w:t>
      </w:r>
      <w:r>
        <w:rPr>
          <w:rFonts w:ascii="Times New Roman"/>
          <w:color w:val="000000" w:themeColor="text1"/>
          <w14:textFill>
            <w14:solidFill>
              <w14:schemeClr w14:val="tx1"/>
            </w14:solidFill>
          </w14:textFill>
        </w:rPr>
        <w:t>措施情况下（正常工况下），对区域地下水质</w:t>
      </w:r>
      <w:r>
        <w:rPr>
          <w:rFonts w:hint="eastAsia" w:ascii="Times New Roman"/>
          <w:color w:val="000000" w:themeColor="text1"/>
          <w14:textFill>
            <w14:solidFill>
              <w14:schemeClr w14:val="tx1"/>
            </w14:solidFill>
          </w14:textFill>
        </w:rPr>
        <w:t>不会</w:t>
      </w:r>
      <w:r>
        <w:rPr>
          <w:rFonts w:ascii="Times New Roman"/>
          <w:color w:val="000000" w:themeColor="text1"/>
          <w14:textFill>
            <w14:solidFill>
              <w14:schemeClr w14:val="tx1"/>
            </w14:solidFill>
          </w14:textFill>
        </w:rPr>
        <w:t>不产生</w:t>
      </w:r>
      <w:r>
        <w:rPr>
          <w:rFonts w:hint="eastAsia" w:ascii="Times New Roman"/>
          <w:color w:val="000000" w:themeColor="text1"/>
          <w14:textFill>
            <w14:solidFill>
              <w14:schemeClr w14:val="tx1"/>
            </w14:solidFill>
          </w14:textFill>
        </w:rPr>
        <w:t>不利</w:t>
      </w:r>
      <w:r>
        <w:rPr>
          <w:rFonts w:ascii="Times New Roman"/>
          <w:color w:val="000000" w:themeColor="text1"/>
          <w14:textFill>
            <w14:solidFill>
              <w14:schemeClr w14:val="tx1"/>
            </w14:solidFill>
          </w14:textFill>
        </w:rPr>
        <w:t>影响。在非正常工况下，会在场区及周边较小范围内污染地下水。污染物模拟预测结果显示：10年后项目所在地泄漏的污染物</w:t>
      </w:r>
      <w:r>
        <w:rPr>
          <w:rFonts w:hint="eastAsia" w:ascii="Times New Roman"/>
          <w:color w:val="000000" w:themeColor="text1"/>
          <w14:textFill>
            <w14:solidFill>
              <w14:schemeClr w14:val="tx1"/>
            </w14:solidFill>
          </w14:textFill>
        </w:rPr>
        <w:t>（氟化物）</w:t>
      </w:r>
      <w:r>
        <w:rPr>
          <w:rFonts w:ascii="Times New Roman"/>
          <w:color w:val="000000" w:themeColor="text1"/>
          <w14:textFill>
            <w14:solidFill>
              <w14:schemeClr w14:val="tx1"/>
            </w14:solidFill>
          </w14:textFill>
        </w:rPr>
        <w:t>在水平方向最大迁移距离约</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0m。总体来说污染物在地下水中迁移速度缓慢，项目场地污染物的渗漏/泄漏对地下水影响范围很小，高浓度的污染物主要出现在项目所在地的废水排放处范围内的地下水中，而不会影响到区域地下水水质。</w:t>
      </w:r>
    </w:p>
    <w:p>
      <w:pPr>
        <w:pStyle w:val="433"/>
        <w:numPr>
          <w:ilvl w:val="0"/>
          <w:numId w:val="38"/>
        </w:numPr>
        <w:spacing w:before="4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污染物扩散范围主要与地层结构及其渗透性、水文地质条件、废水下渗量以及某种污染物浓度的背景值等因素有关。其中地层结构及其渗透性、水文地质条件为主要因素，从水文地质单元来看，项目所在地水力梯度小，水流速度慢，污染物不容易随水流迁移；研究区地层岩体裂隙不甚发育，透水性较小，污染物在其中迁移距离较小。</w:t>
      </w:r>
    </w:p>
    <w:p>
      <w:pPr>
        <w:pStyle w:val="433"/>
        <w:numPr>
          <w:ilvl w:val="0"/>
          <w:numId w:val="38"/>
        </w:numPr>
        <w:spacing w:before="4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建设</w:t>
      </w:r>
      <w:r>
        <w:rPr>
          <w:rFonts w:ascii="Times New Roman"/>
          <w:color w:val="000000" w:themeColor="text1"/>
          <w14:textFill>
            <w14:solidFill>
              <w14:schemeClr w14:val="tx1"/>
            </w14:solidFill>
          </w14:textFill>
        </w:rPr>
        <w:t>单位应在建设过程中严格落实各项地下水污染防治工程（防渗）措施，并在运营过程中做好例行巡视工作，发现渗漏等问题应及时补救；做好例行的地下水跟踪监测工作，出现地下水污染时，及时发现与补救，将污染控制在厂界范围内。在每年的停</w:t>
      </w:r>
      <w:r>
        <w:rPr>
          <w:rFonts w:hint="eastAsia" w:ascii="Times New Roman"/>
          <w:color w:val="000000" w:themeColor="text1"/>
          <w14:textFill>
            <w14:solidFill>
              <w14:schemeClr w14:val="tx1"/>
            </w14:solidFill>
          </w14:textFill>
        </w:rPr>
        <w:t>车</w:t>
      </w:r>
      <w:r>
        <w:rPr>
          <w:rFonts w:ascii="Times New Roman"/>
          <w:color w:val="000000" w:themeColor="text1"/>
          <w14:textFill>
            <w14:solidFill>
              <w14:schemeClr w14:val="tx1"/>
            </w14:solidFill>
          </w14:textFill>
        </w:rPr>
        <w:t>检修过程中，若发现废水收集、输送和处理系统存在防渗结构破损、缺失等问题，及时采取补救措施。在采取上述措施的情况下，拟建项目废水对地下水环境影响可控。</w:t>
      </w:r>
    </w:p>
    <w:p>
      <w:pPr>
        <w:pStyle w:val="433"/>
        <w:spacing w:before="48"/>
        <w:ind w:firstLine="0" w:firstLineChars="0"/>
        <w:rPr>
          <w:rFonts w:ascii="Times New Roman"/>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pStyle w:val="435"/>
        <w:ind w:firstLine="0" w:firstLineChars="0"/>
        <w:jc w:val="center"/>
        <w:rPr>
          <w:b/>
          <w:color w:val="000000" w:themeColor="text1"/>
          <w14:textFill>
            <w14:solidFill>
              <w14:schemeClr w14:val="tx1"/>
            </w14:solidFill>
          </w14:textFill>
        </w:rPr>
      </w:pPr>
    </w:p>
    <w:p>
      <w:pPr>
        <w:widowControl/>
        <w:rPr>
          <w:color w:val="000000" w:themeColor="text1"/>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bookmarkStart w:id="473" w:name="_Toc478757772"/>
      <w:bookmarkStart w:id="474" w:name="_Toc156902023"/>
      <w:bookmarkStart w:id="475" w:name="_Toc153184755"/>
    </w:p>
    <w:p>
      <w:pPr>
        <w:pStyle w:val="380"/>
        <w:numPr>
          <w:ilvl w:val="2"/>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2"/>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2"/>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2"/>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2"/>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2"/>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2"/>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bookmarkEnd w:id="473"/>
    <w:bookmarkEnd w:id="474"/>
    <w:bookmarkEnd w:id="475"/>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28"/>
          <w:szCs w:val="28"/>
          <w14:textFill>
            <w14:solidFill>
              <w14:schemeClr w14:val="tx1"/>
            </w14:solidFill>
          </w14:textFill>
        </w:rPr>
      </w:pPr>
      <w:bookmarkStart w:id="476" w:name="_Toc32458"/>
      <w:bookmarkStart w:id="477" w:name="_Toc21923"/>
      <w:r>
        <w:rPr>
          <w:rFonts w:hint="eastAsia" w:ascii="Times New Roman" w:hAnsi="Times New Roman" w:eastAsia="黑体"/>
          <w:b/>
          <w:color w:val="000000" w:themeColor="text1"/>
          <w:sz w:val="28"/>
          <w:szCs w:val="28"/>
          <w:lang w:val="en-US" w:eastAsia="zh-CN"/>
          <w14:textFill>
            <w14:solidFill>
              <w14:schemeClr w14:val="tx1"/>
            </w14:solidFill>
          </w14:textFill>
        </w:rPr>
        <w:t>6</w:t>
      </w:r>
      <w:r>
        <w:rPr>
          <w:rFonts w:ascii="Times New Roman" w:hAnsi="Times New Roman" w:eastAsia="黑体"/>
          <w:b/>
          <w:color w:val="000000" w:themeColor="text1"/>
          <w:sz w:val="28"/>
          <w:szCs w:val="28"/>
          <w14:textFill>
            <w14:solidFill>
              <w14:schemeClr w14:val="tx1"/>
            </w14:solidFill>
          </w14:textFill>
        </w:rPr>
        <w:t>.2.5</w:t>
      </w:r>
      <w:r>
        <w:rPr>
          <w:rFonts w:hint="eastAsia" w:ascii="黑体" w:hAnsi="黑体" w:eastAsia="黑体"/>
          <w:b/>
          <w:color w:val="000000" w:themeColor="text1"/>
          <w:sz w:val="28"/>
          <w:szCs w:val="28"/>
          <w14:textFill>
            <w14:solidFill>
              <w14:schemeClr w14:val="tx1"/>
            </w14:solidFill>
          </w14:textFill>
        </w:rPr>
        <w:t>声环境影响预测及评价</w:t>
      </w:r>
      <w:bookmarkEnd w:id="476"/>
      <w:bookmarkEnd w:id="477"/>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478" w:name="_Toc28286"/>
      <w:bookmarkStart w:id="479" w:name="_Toc24889"/>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.2.5.1噪声源强分析</w:t>
      </w:r>
      <w:bookmarkEnd w:id="478"/>
      <w:bookmarkEnd w:id="479"/>
    </w:p>
    <w:p>
      <w:pPr>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由工程分析可知，</w:t>
      </w:r>
      <w:r>
        <w:rPr>
          <w:rFonts w:hint="eastAsia" w:ascii="Times New Roman" w:hAnsiTheme="minorEastAsia" w:eastAsiaTheme="minorEastAsia"/>
          <w:color w:val="000000" w:themeColor="text1"/>
          <w:sz w:val="24"/>
          <w:szCs w:val="24"/>
          <w14:textFill>
            <w14:solidFill>
              <w14:schemeClr w14:val="tx1"/>
            </w14:solidFill>
          </w14:textFill>
        </w:rPr>
        <w:t>衬塑刮板离心机、板框压滤机、各类泵、风机及其他设备工作时产生的的噪声</w:t>
      </w:r>
      <w:r>
        <w:rPr>
          <w:rFonts w:ascii="Times New Roman" w:hAnsiTheme="minorEastAsia" w:eastAsiaTheme="minorEastAsia"/>
          <w:color w:val="000000" w:themeColor="text1"/>
          <w:sz w:val="24"/>
          <w:szCs w:val="24"/>
          <w14:textFill>
            <w14:solidFill>
              <w14:schemeClr w14:val="tx1"/>
            </w14:solidFill>
          </w14:textFill>
        </w:rPr>
        <w:t>，各噪声源等效噪声级在</w:t>
      </w:r>
      <w:r>
        <w:rPr>
          <w:rFonts w:hint="eastAsia" w:ascii="Times New Roman" w:hAnsi="Times New Roman" w:eastAsiaTheme="minorEastAsia"/>
          <w:color w:val="000000" w:themeColor="text1"/>
          <w:sz w:val="24"/>
          <w:szCs w:val="24"/>
          <w14:textFill>
            <w14:solidFill>
              <w14:schemeClr w14:val="tx1"/>
            </w14:solidFill>
          </w14:textFill>
        </w:rPr>
        <w:t>80</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90</w:t>
      </w:r>
      <w:r>
        <w:rPr>
          <w:rFonts w:ascii="Times New Roman" w:hAnsi="Times New Roman" w:eastAsiaTheme="minorEastAsia"/>
          <w:color w:val="000000" w:themeColor="text1"/>
          <w:sz w:val="24"/>
          <w:szCs w:val="24"/>
          <w14:textFill>
            <w14:solidFill>
              <w14:schemeClr w14:val="tx1"/>
            </w14:solidFill>
          </w14:textFill>
        </w:rPr>
        <w:t>dB</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）之间。为降低噪声对厂区和厂界外环境的影响，对高噪声设备进行基础减振，安装相应的阻尼设备，并尽可能将设备安装在机（泵）房内。各类高噪声设备的噪声级以及防治措施见表</w:t>
      </w:r>
      <w:r>
        <w:rPr>
          <w:rFonts w:hint="eastAsia" w:ascii="Times New Roman" w:hAnsi="Times New Roman" w:eastAsiaTheme="minorEastAsia"/>
          <w:color w:val="000000" w:themeColor="text1"/>
          <w:sz w:val="24"/>
          <w:szCs w:val="24"/>
          <w:lang w:val="en-US" w:eastAsia="zh-CN"/>
          <w14:textFill>
            <w14:solidFill>
              <w14:schemeClr w14:val="tx1"/>
            </w14:solidFill>
          </w14:textFill>
        </w:rPr>
        <w:t>6</w:t>
      </w:r>
      <w:r>
        <w:rPr>
          <w:rFonts w:hint="eastAsia" w:ascii="Times New Roman" w:hAnsi="Times New Roman" w:eastAsiaTheme="minorEastAsia"/>
          <w:color w:val="000000" w:themeColor="text1"/>
          <w:sz w:val="24"/>
          <w:szCs w:val="24"/>
          <w14:textFill>
            <w14:solidFill>
              <w14:schemeClr w14:val="tx1"/>
            </w14:solidFill>
          </w14:textFill>
        </w:rPr>
        <w:t>.2-32</w:t>
      </w:r>
      <w:r>
        <w:rPr>
          <w:rFonts w:ascii="Times New Roman" w:hAnsiTheme="minorEastAsia" w:eastAsiaTheme="minorEastAsia"/>
          <w:color w:val="000000" w:themeColor="text1"/>
          <w:sz w:val="24"/>
          <w:szCs w:val="24"/>
          <w14:textFill>
            <w14:solidFill>
              <w14:schemeClr w14:val="tx1"/>
            </w14:solidFill>
          </w14:textFill>
        </w:rPr>
        <w:t>。</w:t>
      </w:r>
    </w:p>
    <w:p>
      <w:pPr>
        <w:pStyle w:val="2"/>
        <w:adjustRightInd w:val="0"/>
        <w:snapToGrid w:val="0"/>
        <w:spacing w:after="0" w:line="520" w:lineRule="exact"/>
        <w:ind w:firstLine="482" w:firstLineChars="200"/>
        <w:jc w:val="center"/>
        <w:rPr>
          <w:rFonts w:ascii="Times New Roman" w:cs="Times New Roman" w:hAnsiTheme="minorEastAsia"/>
          <w:b/>
          <w:color w:val="000000" w:themeColor="text1"/>
          <w:sz w:val="24"/>
          <w:szCs w:val="24"/>
          <w14:textFill>
            <w14:solidFill>
              <w14:schemeClr w14:val="tx1"/>
            </w14:solidFill>
          </w14:textFill>
        </w:rPr>
      </w:pPr>
      <w:r>
        <w:rPr>
          <w:rFonts w:ascii="Times New Roman" w:cs="Times New Roman" w:hAnsiTheme="minorEastAsia"/>
          <w:b/>
          <w:color w:val="000000" w:themeColor="text1"/>
          <w:sz w:val="24"/>
          <w:szCs w:val="24"/>
          <w14:textFill>
            <w14:solidFill>
              <w14:schemeClr w14:val="tx1"/>
            </w14:solidFill>
          </w14:textFill>
        </w:rPr>
        <w:t>表</w:t>
      </w:r>
      <w:r>
        <w:rPr>
          <w:rFonts w:hint="eastAsia" w:ascii="Times New Roman" w:hAnsi="Times New Roman" w:cs="Times New Roman"/>
          <w:b/>
          <w:color w:val="000000" w:themeColor="text1"/>
          <w:sz w:val="24"/>
          <w:szCs w:val="24"/>
          <w:lang w:val="en-US" w:eastAsia="zh-CN"/>
          <w14:textFill>
            <w14:solidFill>
              <w14:schemeClr w14:val="tx1"/>
            </w14:solidFill>
          </w14:textFill>
        </w:rPr>
        <w:t>6</w:t>
      </w:r>
      <w:r>
        <w:rPr>
          <w:rFonts w:hint="eastAsia" w:ascii="Times New Roman" w:hAnsi="Times New Roman" w:cs="Times New Roman"/>
          <w:b/>
          <w:color w:val="000000" w:themeColor="text1"/>
          <w:sz w:val="24"/>
          <w:szCs w:val="24"/>
          <w14:textFill>
            <w14:solidFill>
              <w14:schemeClr w14:val="tx1"/>
            </w14:solidFill>
          </w14:textFill>
        </w:rPr>
        <w:t>.2-32</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cs="Times New Roman" w:hAnsiTheme="minorEastAsia"/>
          <w:b/>
          <w:color w:val="000000" w:themeColor="text1"/>
          <w:sz w:val="24"/>
          <w:szCs w:val="24"/>
          <w14:textFill>
            <w14:solidFill>
              <w14:schemeClr w14:val="tx1"/>
            </w14:solidFill>
          </w14:textFill>
        </w:rPr>
        <w:t>主要高噪声设备噪声级及其防治措施</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5"/>
        <w:gridCol w:w="1115"/>
        <w:gridCol w:w="1965"/>
        <w:gridCol w:w="990"/>
        <w:gridCol w:w="1337"/>
        <w:gridCol w:w="1956"/>
        <w:gridCol w:w="11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序号</w:t>
            </w:r>
          </w:p>
        </w:tc>
        <w:tc>
          <w:tcPr>
            <w:tcW w:w="11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车间位置</w:t>
            </w: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设备名称</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数量/台</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单台声压级值dB（A</w:t>
            </w:r>
            <w:r>
              <w:rPr>
                <w:rFonts w:hint="eastAsia" w:ascii="Times New Roman" w:hAnsi="Times New Roman"/>
                <w:color w:val="000000" w:themeColor="text1"/>
                <w:kern w:val="0"/>
                <w:sz w:val="18"/>
                <w:szCs w:val="18"/>
                <w14:textFill>
                  <w14:solidFill>
                    <w14:schemeClr w14:val="tx1"/>
                  </w14:solidFill>
                </w14:textFill>
              </w:rPr>
              <w:t>）</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治理措施</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降噪效果dB（A）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115"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氟硅酸钠</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生产车间</w:t>
            </w: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衬塑刮板离心机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板框压滤机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除氟釜</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4</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4</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循环水泵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布袋除尘器</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6</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冷却塔</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风机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90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8</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包装机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w:t>
            </w:r>
          </w:p>
        </w:tc>
        <w:tc>
          <w:tcPr>
            <w:tcW w:w="1115"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罐区</w:t>
            </w: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氟硅酸输送泵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废酸输送泵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11</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粗钙液输送泵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12</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成品钙液输送泵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bl>
    <w:p>
      <w:pPr>
        <w:pStyle w:val="380"/>
        <w:adjustRightInd w:val="0"/>
        <w:snapToGrid w:val="0"/>
        <w:spacing w:before="48" w:beforeLines="20" w:after="48" w:afterLines="20" w:line="520" w:lineRule="exact"/>
        <w:ind w:firstLine="0" w:firstLineChars="0"/>
        <w:jc w:val="left"/>
        <w:outlineLvl w:val="2"/>
        <w:rPr>
          <w:rFonts w:ascii="Times New Roman" w:hAnsiTheme="minorEastAsia"/>
          <w:b/>
          <w:color w:val="000000" w:themeColor="text1"/>
          <w:sz w:val="24"/>
          <w:szCs w:val="24"/>
          <w14:textFill>
            <w14:solidFill>
              <w14:schemeClr w14:val="tx1"/>
            </w14:solidFill>
          </w14:textFill>
        </w:rPr>
      </w:pPr>
      <w:bookmarkStart w:id="480" w:name="_Toc3324"/>
      <w:bookmarkStart w:id="481" w:name="_Toc26362"/>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.2.5.2噪声环境影响预测模式及参数</w:t>
      </w:r>
      <w:bookmarkEnd w:id="480"/>
      <w:bookmarkEnd w:id="481"/>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）预测模式</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以预测点为原点，选择一个坐标系，确定各噪声源位置，并测量各噪声源到预测点的距离，将各噪声源视为半自由状态噪声源，按声能量在空气传播中衰减模式可计算出某噪声源在预测点的声压级，预测模式如下：</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fldChar w:fldCharType="begin"/>
      </w:r>
      <w:r>
        <w:rPr>
          <w:rFonts w:ascii="Times New Roman" w:hAnsi="Times New Roman" w:eastAsiaTheme="minorEastAsia"/>
          <w:color w:val="000000" w:themeColor="text1"/>
          <w:sz w:val="24"/>
          <w14:textFill>
            <w14:solidFill>
              <w14:schemeClr w14:val="tx1"/>
            </w14:solidFill>
          </w14:textFill>
        </w:rPr>
        <w:instrText xml:space="preserve"> = 1 \* GB3 </w:instrText>
      </w:r>
      <w:r>
        <w:rPr>
          <w:rFonts w:ascii="Times New Roman" w:hAnsi="Times New Roman" w:eastAsiaTheme="minorEastAsia"/>
          <w:color w:val="000000" w:themeColor="text1"/>
          <w:sz w:val="24"/>
          <w14:textFill>
            <w14:solidFill>
              <w14:schemeClr w14:val="tx1"/>
            </w14:solidFill>
          </w14:textFill>
        </w:rPr>
        <w:fldChar w:fldCharType="separate"/>
      </w:r>
      <w:r>
        <w:rPr>
          <w:rFonts w:ascii="Times New Roman" w:hAnsiTheme="minorEastAsia" w:eastAsiaTheme="minorEastAsia"/>
          <w:color w:val="000000" w:themeColor="text1"/>
          <w:sz w:val="24"/>
          <w14:textFill>
            <w14:solidFill>
              <w14:schemeClr w14:val="tx1"/>
            </w14:solidFill>
          </w14:textFill>
        </w:rPr>
        <w:t>①</w:t>
      </w:r>
      <w:r>
        <w:rPr>
          <w:rFonts w:ascii="Times New Roman" w:hAnsi="Times New Roman" w:eastAsiaTheme="minorEastAsia"/>
          <w:color w:val="000000" w:themeColor="text1"/>
          <w:sz w:val="24"/>
          <w14:textFill>
            <w14:solidFill>
              <w14:schemeClr w14:val="tx1"/>
            </w14:solidFill>
          </w14:textFill>
        </w:rPr>
        <w:fldChar w:fldCharType="end"/>
      </w:r>
      <w:r>
        <w:rPr>
          <w:rFonts w:ascii="Times New Roman" w:hAnsiTheme="minorEastAsia" w:eastAsiaTheme="minorEastAsia"/>
          <w:color w:val="000000" w:themeColor="text1"/>
          <w:sz w:val="24"/>
          <w14:textFill>
            <w14:solidFill>
              <w14:schemeClr w14:val="tx1"/>
            </w14:solidFill>
          </w14:textFill>
        </w:rPr>
        <w:t>室外声源</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计算某个声源在预测点的倍频带声压级</w:t>
      </w:r>
    </w:p>
    <w:p>
      <w:pPr>
        <w:spacing w:line="520" w:lineRule="exact"/>
        <w:ind w:firstLine="200"/>
        <w:rPr>
          <w:rFonts w:cs="Arial"/>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730250</wp:posOffset>
            </wp:positionH>
            <wp:positionV relativeFrom="paragraph">
              <wp:posOffset>85090</wp:posOffset>
            </wp:positionV>
            <wp:extent cx="2392680" cy="510540"/>
            <wp:effectExtent l="0" t="0" r="0" b="0"/>
            <wp:wrapNone/>
            <wp:docPr id="1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0"/>
                    <pic:cNvPicPr>
                      <a:picLocks noChangeAspect="1" noChangeArrowheads="1"/>
                    </pic:cNvPicPr>
                  </pic:nvPicPr>
                  <pic:blipFill>
                    <a:blip r:embed="rId30" cstate="print"/>
                    <a:srcRect/>
                    <a:stretch>
                      <a:fillRect/>
                    </a:stretch>
                  </pic:blipFill>
                  <pic:spPr>
                    <a:xfrm>
                      <a:off x="0" y="0"/>
                      <a:ext cx="2392680" cy="510540"/>
                    </a:xfrm>
                    <a:prstGeom prst="rect">
                      <a:avLst/>
                    </a:prstGeom>
                    <a:noFill/>
                    <a:ln w="9525">
                      <a:noFill/>
                      <a:miter lim="800000"/>
                      <a:headEnd/>
                      <a:tailEnd/>
                    </a:ln>
                  </pic:spPr>
                </pic:pic>
              </a:graphicData>
            </a:graphic>
          </wp:anchor>
        </w:drawing>
      </w:r>
    </w:p>
    <w:p>
      <w:pPr>
        <w:spacing w:line="520" w:lineRule="exact"/>
        <w:ind w:firstLine="200"/>
        <w:jc w:val="center"/>
        <w:rPr>
          <w:rFonts w:cs="Arial"/>
          <w:color w:val="000000" w:themeColor="text1"/>
          <w14:textFill>
            <w14:solidFill>
              <w14:schemeClr w14:val="tx1"/>
            </w14:solidFill>
          </w14:textFill>
        </w:rPr>
      </w:pP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式中：</w:t>
      </w:r>
      <w:r>
        <w:rPr>
          <w:rFonts w:ascii="Times New Roman" w:hAnsi="Times New Roman" w:eastAsiaTheme="minorEastAsia"/>
          <w:i/>
          <w:color w:val="000000" w:themeColor="text1"/>
          <w:sz w:val="24"/>
          <w14:textFill>
            <w14:solidFill>
              <w14:schemeClr w14:val="tx1"/>
            </w14:solidFill>
          </w14:textFill>
        </w:rPr>
        <w:t>Loct</w:t>
      </w:r>
      <w:r>
        <w:rPr>
          <w:rFonts w:ascii="Times New Roman" w:hAnsiTheme="minorEastAsia" w:eastAsiaTheme="minorEastAsia"/>
          <w:i/>
          <w:color w:val="000000" w:themeColor="text1"/>
          <w:sz w:val="24"/>
          <w14:textFill>
            <w14:solidFill>
              <w14:schemeClr w14:val="tx1"/>
            </w14:solidFill>
          </w14:textFill>
        </w:rPr>
        <w:t>（</w:t>
      </w:r>
      <w:r>
        <w:rPr>
          <w:rFonts w:ascii="Times New Roman" w:hAnsi="Times New Roman" w:eastAsiaTheme="minorEastAsia"/>
          <w:i/>
          <w:color w:val="000000" w:themeColor="text1"/>
          <w:sz w:val="24"/>
          <w14:textFill>
            <w14:solidFill>
              <w14:schemeClr w14:val="tx1"/>
            </w14:solidFill>
          </w14:textFill>
        </w:rPr>
        <w:t>r</w:t>
      </w:r>
      <w:r>
        <w:rPr>
          <w:rFonts w:ascii="Times New Roman" w:hAnsiTheme="minorEastAsia" w:eastAsiaTheme="minorEastAsia"/>
          <w:i/>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点声源在预测点产生的倍频带声压级；</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i/>
          <w:color w:val="000000" w:themeColor="text1"/>
          <w:sz w:val="24"/>
          <w14:textFill>
            <w14:solidFill>
              <w14:schemeClr w14:val="tx1"/>
            </w14:solidFill>
          </w14:textFill>
        </w:rPr>
        <w:t>Loct</w:t>
      </w:r>
      <w:r>
        <w:rPr>
          <w:rFonts w:ascii="Times New Roman" w:hAnsiTheme="minorEastAsia" w:eastAsiaTheme="minorEastAsia"/>
          <w:i/>
          <w:color w:val="000000" w:themeColor="text1"/>
          <w:sz w:val="24"/>
          <w14:textFill>
            <w14:solidFill>
              <w14:schemeClr w14:val="tx1"/>
            </w14:solidFill>
          </w14:textFill>
        </w:rPr>
        <w:t>（</w:t>
      </w:r>
      <w:r>
        <w:rPr>
          <w:rFonts w:ascii="Times New Roman" w:hAnsi="Times New Roman" w:eastAsiaTheme="minorEastAsia"/>
          <w:i/>
          <w:color w:val="000000" w:themeColor="text1"/>
          <w:sz w:val="24"/>
          <w14:textFill>
            <w14:solidFill>
              <w14:schemeClr w14:val="tx1"/>
            </w14:solidFill>
          </w14:textFill>
        </w:rPr>
        <w:t>r</w:t>
      </w:r>
      <w:r>
        <w:rPr>
          <w:rFonts w:ascii="Times New Roman" w:hAnsi="Times New Roman" w:eastAsiaTheme="minorEastAsia"/>
          <w:i/>
          <w:color w:val="000000" w:themeColor="text1"/>
          <w:sz w:val="24"/>
          <w:vertAlign w:val="subscript"/>
          <w14:textFill>
            <w14:solidFill>
              <w14:schemeClr w14:val="tx1"/>
            </w14:solidFill>
          </w14:textFill>
        </w:rPr>
        <w:t>0</w:t>
      </w:r>
      <w:r>
        <w:rPr>
          <w:rFonts w:ascii="Times New Roman" w:hAnsiTheme="minorEastAsia" w:eastAsiaTheme="minorEastAsia"/>
          <w:i/>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参考位置</w:t>
      </w:r>
      <w:r>
        <w:rPr>
          <w:rFonts w:ascii="Times New Roman" w:hAnsi="Times New Roman" w:eastAsiaTheme="minorEastAsia"/>
          <w:color w:val="000000" w:themeColor="text1"/>
          <w:sz w:val="24"/>
          <w14:textFill>
            <w14:solidFill>
              <w14:schemeClr w14:val="tx1"/>
            </w14:solidFill>
          </w14:textFill>
        </w:rPr>
        <w:t>r</w:t>
      </w:r>
      <w:r>
        <w:rPr>
          <w:rFonts w:ascii="Times New Roman" w:hAnsi="Times New Roman" w:eastAsiaTheme="minorEastAsia"/>
          <w:color w:val="000000" w:themeColor="text1"/>
          <w:sz w:val="24"/>
          <w:vertAlign w:val="subscript"/>
          <w14:textFill>
            <w14:solidFill>
              <w14:schemeClr w14:val="tx1"/>
            </w14:solidFill>
          </w14:textFill>
        </w:rPr>
        <w:t>0</w:t>
      </w:r>
      <w:r>
        <w:rPr>
          <w:rFonts w:ascii="Times New Roman" w:hAnsiTheme="minorEastAsia" w:eastAsiaTheme="minorEastAsia"/>
          <w:color w:val="000000" w:themeColor="text1"/>
          <w:sz w:val="24"/>
          <w14:textFill>
            <w14:solidFill>
              <w14:schemeClr w14:val="tx1"/>
            </w14:solidFill>
          </w14:textFill>
        </w:rPr>
        <w:t>处的倍频带声压级；</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i/>
          <w:color w:val="000000" w:themeColor="text1"/>
          <w:sz w:val="24"/>
          <w14:textFill>
            <w14:solidFill>
              <w14:schemeClr w14:val="tx1"/>
            </w14:solidFill>
          </w14:textFill>
        </w:rPr>
        <w:t>r</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预测点距声源的距离，</w:t>
      </w:r>
      <w:r>
        <w:rPr>
          <w:rFonts w:ascii="Times New Roman" w:hAnsi="Times New Roman" w:eastAsiaTheme="minorEastAsia"/>
          <w:color w:val="000000" w:themeColor="text1"/>
          <w:sz w:val="24"/>
          <w14:textFill>
            <w14:solidFill>
              <w14:schemeClr w14:val="tx1"/>
            </w14:solidFill>
          </w14:textFill>
        </w:rPr>
        <w:t>m</w:t>
      </w:r>
      <w:r>
        <w:rPr>
          <w:rFonts w:ascii="Times New Roman" w:hAnsiTheme="minorEastAsia" w:eastAsiaTheme="minorEastAsia"/>
          <w:color w:val="000000" w:themeColor="text1"/>
          <w:sz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i/>
          <w:color w:val="000000" w:themeColor="text1"/>
          <w:sz w:val="24"/>
          <w14:textFill>
            <w14:solidFill>
              <w14:schemeClr w14:val="tx1"/>
            </w14:solidFill>
          </w14:textFill>
        </w:rPr>
        <w:t>r</w:t>
      </w:r>
      <w:r>
        <w:rPr>
          <w:rFonts w:ascii="Times New Roman" w:hAnsi="Times New Roman" w:eastAsiaTheme="minorEastAsia"/>
          <w:i/>
          <w:color w:val="000000" w:themeColor="text1"/>
          <w:sz w:val="24"/>
          <w:vertAlign w:val="subscript"/>
          <w14:textFill>
            <w14:solidFill>
              <w14:schemeClr w14:val="tx1"/>
            </w14:solidFill>
          </w14:textFill>
        </w:rPr>
        <w:t>0</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参考位置距声源的距离，</w:t>
      </w:r>
      <w:r>
        <w:rPr>
          <w:rFonts w:ascii="Times New Roman" w:hAnsi="Times New Roman" w:eastAsiaTheme="minorEastAsia"/>
          <w:color w:val="000000" w:themeColor="text1"/>
          <w:sz w:val="24"/>
          <w14:textFill>
            <w14:solidFill>
              <w14:schemeClr w14:val="tx1"/>
            </w14:solidFill>
          </w14:textFill>
        </w:rPr>
        <w:t>m</w:t>
      </w:r>
      <w:r>
        <w:rPr>
          <w:rFonts w:ascii="Times New Roman" w:hAnsiTheme="minorEastAsia" w:eastAsiaTheme="minorEastAsia"/>
          <w:color w:val="000000" w:themeColor="text1"/>
          <w:sz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i/>
          <w:color w:val="000000" w:themeColor="text1"/>
          <w:sz w:val="24"/>
          <w14:textFill>
            <w14:solidFill>
              <w14:schemeClr w14:val="tx1"/>
            </w14:solidFill>
          </w14:textFill>
        </w:rPr>
        <w:t>ΔLoct</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各种因素引起的衰减量（包括声屏障、遮挡物、空气吸收、地面效应等引起的衰减量，其计算方法详见</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导则</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正文）。</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如果已知声源的倍频带声功率级</w:t>
      </w:r>
      <w:r>
        <w:rPr>
          <w:rFonts w:ascii="Times New Roman" w:hAnsi="Times New Roman" w:eastAsiaTheme="minorEastAsia"/>
          <w:i/>
          <w:color w:val="000000" w:themeColor="text1"/>
          <w:sz w:val="24"/>
          <w14:textFill>
            <w14:solidFill>
              <w14:schemeClr w14:val="tx1"/>
            </w14:solidFill>
          </w14:textFill>
        </w:rPr>
        <w:t>Lwoct</w:t>
      </w:r>
      <w:r>
        <w:rPr>
          <w:rFonts w:ascii="Times New Roman" w:hAnsiTheme="minorEastAsia" w:eastAsiaTheme="minorEastAsia"/>
          <w:color w:val="000000" w:themeColor="text1"/>
          <w:sz w:val="24"/>
          <w14:textFill>
            <w14:solidFill>
              <w14:schemeClr w14:val="tx1"/>
            </w14:solidFill>
          </w14:textFill>
        </w:rPr>
        <w:t>，且声源可看作是位于地面上的，则：</w:t>
      </w:r>
    </w:p>
    <w:p>
      <w:pPr>
        <w:spacing w:line="520" w:lineRule="exact"/>
        <w:ind w:firstLine="420" w:firstLineChars="20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669290</wp:posOffset>
            </wp:positionH>
            <wp:positionV relativeFrom="paragraph">
              <wp:posOffset>76200</wp:posOffset>
            </wp:positionV>
            <wp:extent cx="1975485" cy="266700"/>
            <wp:effectExtent l="0" t="0" r="5715" b="0"/>
            <wp:wrapNone/>
            <wp:docPr id="1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1"/>
                    <pic:cNvPicPr>
                      <a:picLocks noChangeAspect="1" noChangeArrowheads="1"/>
                    </pic:cNvPicPr>
                  </pic:nvPicPr>
                  <pic:blipFill>
                    <a:blip r:embed="rId31" cstate="print"/>
                    <a:srcRect/>
                    <a:stretch>
                      <a:fillRect/>
                    </a:stretch>
                  </pic:blipFill>
                  <pic:spPr>
                    <a:xfrm>
                      <a:off x="0" y="0"/>
                      <a:ext cx="1975485" cy="266700"/>
                    </a:xfrm>
                    <a:prstGeom prst="rect">
                      <a:avLst/>
                    </a:prstGeom>
                    <a:noFill/>
                    <a:ln w="9525">
                      <a:noFill/>
                      <a:miter lim="800000"/>
                      <a:headEnd/>
                      <a:tailEnd/>
                    </a:ln>
                  </pic:spPr>
                </pic:pic>
              </a:graphicData>
            </a:graphic>
          </wp:anchor>
        </w:drawing>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由各倍频带声压级合成计算出该声源产生的声级</w:t>
      </w:r>
      <w:r>
        <w:rPr>
          <w:rFonts w:ascii="Times New Roman" w:hAnsi="Times New Roman" w:eastAsiaTheme="minorEastAsia"/>
          <w:color w:val="000000" w:themeColor="text1"/>
          <w:sz w:val="24"/>
          <w14:textFill>
            <w14:solidFill>
              <w14:schemeClr w14:val="tx1"/>
            </w14:solidFill>
          </w14:textFill>
        </w:rPr>
        <w:t>LA</w:t>
      </w:r>
      <w:r>
        <w:rPr>
          <w:rFonts w:ascii="Times New Roman" w:hAnsiTheme="minorEastAsia" w:eastAsiaTheme="minorEastAsia"/>
          <w:color w:val="000000" w:themeColor="text1"/>
          <w:sz w:val="24"/>
          <w14:textFill>
            <w14:solidFill>
              <w14:schemeClr w14:val="tx1"/>
            </w14:solidFill>
          </w14:textFill>
        </w:rPr>
        <w:t>。</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fldChar w:fldCharType="begin"/>
      </w:r>
      <w:r>
        <w:rPr>
          <w:rFonts w:ascii="Times New Roman" w:hAnsi="Times New Roman" w:eastAsiaTheme="minorEastAsia"/>
          <w:color w:val="000000" w:themeColor="text1"/>
          <w:sz w:val="24"/>
          <w14:textFill>
            <w14:solidFill>
              <w14:schemeClr w14:val="tx1"/>
            </w14:solidFill>
          </w14:textFill>
        </w:rPr>
        <w:instrText xml:space="preserve"> = 2 \* GB3 </w:instrText>
      </w:r>
      <w:r>
        <w:rPr>
          <w:rFonts w:ascii="Times New Roman" w:hAnsi="Times New Roman" w:eastAsiaTheme="minorEastAsia"/>
          <w:color w:val="000000" w:themeColor="text1"/>
          <w:sz w:val="24"/>
          <w14:textFill>
            <w14:solidFill>
              <w14:schemeClr w14:val="tx1"/>
            </w14:solidFill>
          </w14:textFill>
        </w:rPr>
        <w:fldChar w:fldCharType="separate"/>
      </w:r>
      <w:r>
        <w:rPr>
          <w:rFonts w:asciiTheme="minorEastAsia" w:hAnsiTheme="minorEastAsia" w:eastAsiaTheme="minorEastAsia"/>
          <w:color w:val="000000" w:themeColor="text1"/>
          <w:sz w:val="24"/>
          <w14:textFill>
            <w14:solidFill>
              <w14:schemeClr w14:val="tx1"/>
            </w14:solidFill>
          </w14:textFill>
        </w:rPr>
        <w:t>②</w:t>
      </w:r>
      <w:r>
        <w:rPr>
          <w:rFonts w:ascii="Times New Roman" w:hAnsi="Times New Roman" w:eastAsiaTheme="minorEastAsia"/>
          <w:color w:val="000000" w:themeColor="text1"/>
          <w:sz w:val="24"/>
          <w14:textFill>
            <w14:solidFill>
              <w14:schemeClr w14:val="tx1"/>
            </w14:solidFill>
          </w14:textFill>
        </w:rPr>
        <w:fldChar w:fldCharType="end"/>
      </w:r>
      <w:r>
        <w:rPr>
          <w:rFonts w:ascii="Times New Roman" w:hAnsiTheme="minorEastAsia" w:eastAsiaTheme="minorEastAsia"/>
          <w:color w:val="000000" w:themeColor="text1"/>
          <w:sz w:val="24"/>
          <w14:textFill>
            <w14:solidFill>
              <w14:schemeClr w14:val="tx1"/>
            </w14:solidFill>
          </w14:textFill>
        </w:rPr>
        <w:t>室内声源</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首先计算出某个室内靠近围护结构处的倍频带声压级：</w:t>
      </w:r>
    </w:p>
    <w:p>
      <w:pPr>
        <w:spacing w:line="520" w:lineRule="exact"/>
        <w:ind w:firstLine="42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650240</wp:posOffset>
            </wp:positionH>
            <wp:positionV relativeFrom="paragraph">
              <wp:posOffset>96520</wp:posOffset>
            </wp:positionV>
            <wp:extent cx="2175510" cy="510540"/>
            <wp:effectExtent l="19050" t="0" r="0" b="0"/>
            <wp:wrapNone/>
            <wp:docPr id="1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2"/>
                    <pic:cNvPicPr>
                      <a:picLocks noChangeAspect="1" noChangeArrowheads="1"/>
                    </pic:cNvPicPr>
                  </pic:nvPicPr>
                  <pic:blipFill>
                    <a:blip r:embed="rId32" cstate="print"/>
                    <a:srcRect/>
                    <a:stretch>
                      <a:fillRect/>
                    </a:stretch>
                  </pic:blipFill>
                  <pic:spPr>
                    <a:xfrm>
                      <a:off x="0" y="0"/>
                      <a:ext cx="2175510" cy="510540"/>
                    </a:xfrm>
                    <a:prstGeom prst="rect">
                      <a:avLst/>
                    </a:prstGeom>
                    <a:noFill/>
                    <a:ln w="9525">
                      <a:noFill/>
                      <a:miter lim="800000"/>
                      <a:headEnd/>
                      <a:tailEnd/>
                    </a:ln>
                  </pic:spPr>
                </pic:pic>
              </a:graphicData>
            </a:graphic>
          </wp:anchor>
        </w:drawing>
      </w:r>
    </w:p>
    <w:p>
      <w:pPr>
        <w:spacing w:line="520" w:lineRule="exact"/>
        <w:ind w:firstLine="420" w:firstLineChars="200"/>
        <w:jc w:val="center"/>
        <w:rPr>
          <w:rFonts w:ascii="Times New Roman" w:hAnsi="Times New Roman" w:eastAsiaTheme="minorEastAsia"/>
          <w:color w:val="000000" w:themeColor="text1"/>
          <w14:textFill>
            <w14:solidFill>
              <w14:schemeClr w14:val="tx1"/>
            </w14:solidFill>
          </w14:textFill>
        </w:rPr>
      </w:pP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式中：</w:t>
      </w:r>
      <w:r>
        <w:rPr>
          <w:rFonts w:ascii="Times New Roman" w:hAnsi="Times New Roman" w:eastAsiaTheme="minorEastAsia"/>
          <w:i/>
          <w:color w:val="000000" w:themeColor="text1"/>
          <w:sz w:val="24"/>
          <w14:textFill>
            <w14:solidFill>
              <w14:schemeClr w14:val="tx1"/>
            </w14:solidFill>
          </w14:textFill>
        </w:rPr>
        <w:t>Loct</w:t>
      </w:r>
      <w:r>
        <w:rPr>
          <w:rFonts w:ascii="Times New Roman" w:hAnsiTheme="minorEastAsia" w:eastAsiaTheme="minorEastAsia"/>
          <w:i/>
          <w:color w:val="000000" w:themeColor="text1"/>
          <w:sz w:val="24"/>
          <w14:textFill>
            <w14:solidFill>
              <w14:schemeClr w14:val="tx1"/>
            </w14:solidFill>
          </w14:textFill>
        </w:rPr>
        <w:t>，</w:t>
      </w:r>
      <w:r>
        <w:rPr>
          <w:rFonts w:ascii="Times New Roman" w:hAnsi="Times New Roman" w:eastAsiaTheme="minorEastAsia"/>
          <w:i/>
          <w:color w:val="000000" w:themeColor="text1"/>
          <w:sz w:val="24"/>
          <w14:textFill>
            <w14:solidFill>
              <w14:schemeClr w14:val="tx1"/>
            </w14:solidFill>
          </w14:textFill>
        </w:rPr>
        <w:t>1</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为某个室内声源在靠近围护结构处产生的倍频带声压级；</w:t>
      </w:r>
      <w:r>
        <w:rPr>
          <w:rFonts w:ascii="Times New Roman" w:hAnsi="Times New Roman" w:eastAsiaTheme="minorEastAsia"/>
          <w:i/>
          <w:color w:val="000000" w:themeColor="text1"/>
          <w:sz w:val="24"/>
          <w14:textFill>
            <w14:solidFill>
              <w14:schemeClr w14:val="tx1"/>
            </w14:solidFill>
          </w14:textFill>
        </w:rPr>
        <w:t>Lwoc</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为某个声源的倍频带声功率级；</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i/>
          <w:color w:val="000000" w:themeColor="text1"/>
          <w:sz w:val="24"/>
          <w14:textFill>
            <w14:solidFill>
              <w14:schemeClr w14:val="tx1"/>
            </w14:solidFill>
          </w14:textFill>
        </w:rPr>
        <w:t>r</w:t>
      </w:r>
      <w:r>
        <w:rPr>
          <w:rFonts w:ascii="Times New Roman" w:hAnsi="Times New Roman" w:eastAsiaTheme="minorEastAsia"/>
          <w:i/>
          <w:color w:val="000000" w:themeColor="text1"/>
          <w:sz w:val="24"/>
          <w:vertAlign w:val="subscript"/>
          <w14:textFill>
            <w14:solidFill>
              <w14:schemeClr w14:val="tx1"/>
            </w14:solidFill>
          </w14:textFill>
        </w:rPr>
        <w:t>1</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室内某个声源与靠近围护结构处的距离；</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i/>
          <w:color w:val="000000" w:themeColor="text1"/>
          <w:sz w:val="24"/>
          <w14:textFill>
            <w14:solidFill>
              <w14:schemeClr w14:val="tx1"/>
            </w14:solidFill>
          </w14:textFill>
        </w:rPr>
        <w:t>R</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房间常数；</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i/>
          <w:color w:val="000000" w:themeColor="text1"/>
          <w:sz w:val="24"/>
          <w14:textFill>
            <w14:solidFill>
              <w14:schemeClr w14:val="tx1"/>
            </w14:solidFill>
          </w14:textFill>
        </w:rPr>
        <w:t>Q</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为方向因子。</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计算出所有室内声源在靠近围护结构处产生的总倍频带声压级：</w:t>
      </w:r>
    </w:p>
    <w:p>
      <w:pPr>
        <w:spacing w:line="520" w:lineRule="exact"/>
        <w:ind w:firstLine="174" w:firstLineChars="83"/>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730250</wp:posOffset>
            </wp:positionH>
            <wp:positionV relativeFrom="paragraph">
              <wp:posOffset>63500</wp:posOffset>
            </wp:positionV>
            <wp:extent cx="1943100" cy="480060"/>
            <wp:effectExtent l="0" t="0" r="0" b="0"/>
            <wp:wrapNone/>
            <wp:docPr id="2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3"/>
                    <pic:cNvPicPr>
                      <a:picLocks noChangeAspect="1" noChangeArrowheads="1"/>
                    </pic:cNvPicPr>
                  </pic:nvPicPr>
                  <pic:blipFill>
                    <a:blip r:embed="rId33" cstate="print"/>
                    <a:srcRect/>
                    <a:stretch>
                      <a:fillRect/>
                    </a:stretch>
                  </pic:blipFill>
                  <pic:spPr>
                    <a:xfrm>
                      <a:off x="0" y="0"/>
                      <a:ext cx="1943100" cy="480060"/>
                    </a:xfrm>
                    <a:prstGeom prst="rect">
                      <a:avLst/>
                    </a:prstGeom>
                    <a:noFill/>
                    <a:ln w="9525">
                      <a:noFill/>
                      <a:miter lim="800000"/>
                      <a:headEnd/>
                      <a:tailEnd/>
                    </a:ln>
                  </pic:spPr>
                </pic:pic>
              </a:graphicData>
            </a:graphic>
          </wp:anchor>
        </w:drawing>
      </w:r>
    </w:p>
    <w:p>
      <w:pPr>
        <w:spacing w:line="520" w:lineRule="exact"/>
        <w:ind w:firstLine="420" w:firstLineChars="200"/>
        <w:rPr>
          <w:rFonts w:ascii="Times New Roman" w:hAnsi="Times New Roman" w:eastAsiaTheme="minorEastAsia"/>
          <w:color w:val="000000" w:themeColor="text1"/>
          <w14:textFill>
            <w14:solidFill>
              <w14:schemeClr w14:val="tx1"/>
            </w14:solidFill>
          </w14:textFill>
        </w:rPr>
      </w:pP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计算出室外靠近围护结构处的声压级：</w:t>
      </w:r>
    </w:p>
    <w:p>
      <w:pPr>
        <w:spacing w:line="520" w:lineRule="exact"/>
        <w:ind w:firstLine="420" w:firstLineChars="20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770255</wp:posOffset>
            </wp:positionH>
            <wp:positionV relativeFrom="paragraph">
              <wp:posOffset>99060</wp:posOffset>
            </wp:positionV>
            <wp:extent cx="2514600" cy="312420"/>
            <wp:effectExtent l="0" t="0" r="0" b="0"/>
            <wp:wrapNone/>
            <wp:docPr id="2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4"/>
                    <pic:cNvPicPr>
                      <a:picLocks noChangeAspect="1" noChangeArrowheads="1"/>
                    </pic:cNvPicPr>
                  </pic:nvPicPr>
                  <pic:blipFill>
                    <a:blip r:embed="rId34" cstate="print"/>
                    <a:srcRect/>
                    <a:stretch>
                      <a:fillRect/>
                    </a:stretch>
                  </pic:blipFill>
                  <pic:spPr>
                    <a:xfrm>
                      <a:off x="0" y="0"/>
                      <a:ext cx="2514600" cy="312420"/>
                    </a:xfrm>
                    <a:prstGeom prst="rect">
                      <a:avLst/>
                    </a:prstGeom>
                    <a:noFill/>
                    <a:ln w="9525">
                      <a:noFill/>
                      <a:miter lim="800000"/>
                      <a:headEnd/>
                      <a:tailEnd/>
                    </a:ln>
                  </pic:spPr>
                </pic:pic>
              </a:graphicData>
            </a:graphic>
          </wp:anchor>
        </w:drawing>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将室外声级</w:t>
      </w:r>
      <w:r>
        <w:rPr>
          <w:rFonts w:ascii="Times New Roman" w:hAnsi="Times New Roman" w:eastAsiaTheme="minorEastAsia"/>
          <w:i/>
          <w:color w:val="000000" w:themeColor="text1"/>
          <w:sz w:val="24"/>
          <w14:textFill>
            <w14:solidFill>
              <w14:schemeClr w14:val="tx1"/>
            </w14:solidFill>
          </w14:textFill>
        </w:rPr>
        <w:t>L</w:t>
      </w:r>
      <w:r>
        <w:rPr>
          <w:rFonts w:ascii="Times New Roman" w:hAnsi="Times New Roman" w:eastAsiaTheme="minorEastAsia"/>
          <w:i/>
          <w:color w:val="000000" w:themeColor="text1"/>
          <w:sz w:val="24"/>
          <w:vertAlign w:val="subscript"/>
          <w14:textFill>
            <w14:solidFill>
              <w14:schemeClr w14:val="tx1"/>
            </w14:solidFill>
          </w14:textFill>
        </w:rPr>
        <w:t>oct</w:t>
      </w:r>
      <w:r>
        <w:rPr>
          <w:rFonts w:ascii="Times New Roman" w:hAnsiTheme="minorEastAsia" w:eastAsiaTheme="minorEastAsia"/>
          <w:i/>
          <w:color w:val="000000" w:themeColor="text1"/>
          <w:sz w:val="24"/>
          <w:vertAlign w:val="subscript"/>
          <w14:textFill>
            <w14:solidFill>
              <w14:schemeClr w14:val="tx1"/>
            </w14:solidFill>
          </w14:textFill>
        </w:rPr>
        <w:t>，</w:t>
      </w:r>
      <w:r>
        <w:rPr>
          <w:rFonts w:ascii="Times New Roman" w:hAnsi="Times New Roman" w:eastAsiaTheme="minorEastAsia"/>
          <w:i/>
          <w:color w:val="000000" w:themeColor="text1"/>
          <w:sz w:val="24"/>
          <w:vertAlign w:val="subscript"/>
          <w14:textFill>
            <w14:solidFill>
              <w14:schemeClr w14:val="tx1"/>
            </w14:solidFill>
          </w14:textFill>
        </w:rPr>
        <w:t>2</w:t>
      </w:r>
      <w:r>
        <w:rPr>
          <w:rFonts w:ascii="Times New Roman" w:hAnsiTheme="minorEastAsia" w:eastAsiaTheme="minorEastAsia"/>
          <w:i/>
          <w:color w:val="000000" w:themeColor="text1"/>
          <w:sz w:val="24"/>
          <w:vertAlign w:val="subscript"/>
          <w14:textFill>
            <w14:solidFill>
              <w14:schemeClr w14:val="tx1"/>
            </w14:solidFill>
          </w14:textFill>
        </w:rPr>
        <w:t>（</w:t>
      </w:r>
      <w:r>
        <w:rPr>
          <w:rFonts w:ascii="Times New Roman" w:hAnsi="Times New Roman" w:eastAsiaTheme="minorEastAsia"/>
          <w:i/>
          <w:color w:val="000000" w:themeColor="text1"/>
          <w:sz w:val="24"/>
          <w:vertAlign w:val="subscript"/>
          <w14:textFill>
            <w14:solidFill>
              <w14:schemeClr w14:val="tx1"/>
            </w14:solidFill>
          </w14:textFill>
        </w:rPr>
        <w:t>T</w:t>
      </w:r>
      <w:r>
        <w:rPr>
          <w:rFonts w:ascii="Times New Roman" w:hAnsiTheme="minorEastAsia" w:eastAsiaTheme="minorEastAsia"/>
          <w:i/>
          <w:color w:val="000000" w:themeColor="text1"/>
          <w:sz w:val="24"/>
          <w:vertAlign w:val="subscript"/>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和透声面积换算成等效的室外声源，计算出等效声源第</w:t>
      </w:r>
      <w:r>
        <w:rPr>
          <w:rFonts w:ascii="Times New Roman" w:hAnsi="Times New Roman" w:eastAsiaTheme="minorEastAsia"/>
          <w:color w:val="000000" w:themeColor="text1"/>
          <w:sz w:val="24"/>
          <w14:textFill>
            <w14:solidFill>
              <w14:schemeClr w14:val="tx1"/>
            </w14:solidFill>
          </w14:textFill>
        </w:rPr>
        <w:t>i</w:t>
      </w:r>
      <w:r>
        <w:rPr>
          <w:rFonts w:ascii="Times New Roman" w:hAnsiTheme="minorEastAsia" w:eastAsiaTheme="minorEastAsia"/>
          <w:color w:val="000000" w:themeColor="text1"/>
          <w:sz w:val="24"/>
          <w14:textFill>
            <w14:solidFill>
              <w14:schemeClr w14:val="tx1"/>
            </w14:solidFill>
          </w14:textFill>
        </w:rPr>
        <w:t>个倍频带的声功率级</w:t>
      </w:r>
      <w:r>
        <w:rPr>
          <w:rFonts w:ascii="Times New Roman" w:hAnsi="Times New Roman" w:eastAsiaTheme="minorEastAsia"/>
          <w:color w:val="000000" w:themeColor="text1"/>
          <w:sz w:val="24"/>
          <w14:textFill>
            <w14:solidFill>
              <w14:schemeClr w14:val="tx1"/>
            </w14:solidFill>
          </w14:textFill>
        </w:rPr>
        <w:t>Lw oct</w:t>
      </w:r>
      <w:r>
        <w:rPr>
          <w:rFonts w:ascii="Times New Roman" w:hAnsiTheme="minorEastAsia" w:eastAsiaTheme="minorEastAsia"/>
          <w:color w:val="000000" w:themeColor="text1"/>
          <w:sz w:val="24"/>
          <w14:textFill>
            <w14:solidFill>
              <w14:schemeClr w14:val="tx1"/>
            </w14:solidFill>
          </w14:textFill>
        </w:rPr>
        <w:t>：</w:t>
      </w:r>
    </w:p>
    <w:p>
      <w:pPr>
        <w:spacing w:line="520" w:lineRule="exact"/>
        <w:ind w:firstLine="420" w:firstLineChars="20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749300</wp:posOffset>
            </wp:positionH>
            <wp:positionV relativeFrom="paragraph">
              <wp:posOffset>76200</wp:posOffset>
            </wp:positionV>
            <wp:extent cx="1946910" cy="289560"/>
            <wp:effectExtent l="19050" t="0" r="0" b="0"/>
            <wp:wrapNone/>
            <wp:docPr id="2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5"/>
                    <pic:cNvPicPr>
                      <a:picLocks noChangeAspect="1" noChangeArrowheads="1"/>
                    </pic:cNvPicPr>
                  </pic:nvPicPr>
                  <pic:blipFill>
                    <a:blip r:embed="rId35" cstate="print"/>
                    <a:srcRect/>
                    <a:stretch>
                      <a:fillRect/>
                    </a:stretch>
                  </pic:blipFill>
                  <pic:spPr>
                    <a:xfrm>
                      <a:off x="0" y="0"/>
                      <a:ext cx="1946910" cy="289560"/>
                    </a:xfrm>
                    <a:prstGeom prst="rect">
                      <a:avLst/>
                    </a:prstGeom>
                    <a:noFill/>
                    <a:ln w="9525">
                      <a:noFill/>
                      <a:miter lim="800000"/>
                      <a:headEnd/>
                      <a:tailEnd/>
                    </a:ln>
                  </pic:spPr>
                </pic:pic>
              </a:graphicData>
            </a:graphic>
          </wp:anchor>
        </w:drawing>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式中：</w:t>
      </w:r>
      <w:r>
        <w:rPr>
          <w:rFonts w:ascii="Times New Roman" w:hAnsi="Times New Roman" w:eastAsiaTheme="minorEastAsia"/>
          <w:color w:val="000000" w:themeColor="text1"/>
          <w:sz w:val="24"/>
          <w14:textFill>
            <w14:solidFill>
              <w14:schemeClr w14:val="tx1"/>
            </w14:solidFill>
          </w14:textFill>
        </w:rPr>
        <w:t>S</w:t>
      </w:r>
      <w:r>
        <w:rPr>
          <w:rFonts w:ascii="Times New Roman" w:hAnsiTheme="minorEastAsia" w:eastAsiaTheme="minorEastAsia"/>
          <w:color w:val="000000" w:themeColor="text1"/>
          <w:sz w:val="24"/>
          <w14:textFill>
            <w14:solidFill>
              <w14:schemeClr w14:val="tx1"/>
            </w14:solidFill>
          </w14:textFill>
        </w:rPr>
        <w:t>为透声面积，</w:t>
      </w:r>
      <w:r>
        <w:rPr>
          <w:rFonts w:ascii="Times New Roman" w:hAnsi="Times New Roman" w:eastAsiaTheme="minorEastAsia"/>
          <w:color w:val="000000" w:themeColor="text1"/>
          <w:sz w:val="24"/>
          <w14:textFill>
            <w14:solidFill>
              <w14:schemeClr w14:val="tx1"/>
            </w14:solidFill>
          </w14:textFill>
        </w:rPr>
        <w:t>m</w:t>
      </w:r>
      <w:r>
        <w:rPr>
          <w:rFonts w:ascii="Times New Roman" w:hAnsi="Times New Roman" w:eastAsiaTheme="minorEastAsia"/>
          <w:color w:val="000000" w:themeColor="text1"/>
          <w:sz w:val="24"/>
          <w:vertAlign w:val="superscript"/>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w:t>
      </w:r>
    </w:p>
    <w:p>
      <w:pPr>
        <w:spacing w:line="500" w:lineRule="exact"/>
        <w:ind w:firstLine="420" w:firstLineChars="20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1273175</wp:posOffset>
            </wp:positionH>
            <wp:positionV relativeFrom="paragraph">
              <wp:posOffset>71120</wp:posOffset>
            </wp:positionV>
            <wp:extent cx="2073910" cy="1196340"/>
            <wp:effectExtent l="19050" t="0" r="2540" b="0"/>
            <wp:wrapNone/>
            <wp:docPr id="2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9"/>
                    <pic:cNvPicPr>
                      <a:picLocks noChangeAspect="1" noChangeArrowheads="1"/>
                    </pic:cNvPicPr>
                  </pic:nvPicPr>
                  <pic:blipFill>
                    <a:blip r:embed="rId36" cstate="print"/>
                    <a:srcRect/>
                    <a:stretch>
                      <a:fillRect/>
                    </a:stretch>
                  </pic:blipFill>
                  <pic:spPr>
                    <a:xfrm>
                      <a:off x="0" y="0"/>
                      <a:ext cx="2073910" cy="1196340"/>
                    </a:xfrm>
                    <a:prstGeom prst="rect">
                      <a:avLst/>
                    </a:prstGeom>
                    <a:noFill/>
                    <a:ln w="9525">
                      <a:noFill/>
                      <a:miter lim="800000"/>
                      <a:headEnd/>
                      <a:tailEnd/>
                    </a:ln>
                  </pic:spPr>
                </pic:pic>
              </a:graphicData>
            </a:graphic>
          </wp:anchor>
        </w:drawing>
      </w:r>
    </w:p>
    <w:p>
      <w:pPr>
        <w:spacing w:line="500" w:lineRule="exact"/>
        <w:ind w:firstLine="420" w:firstLineChars="200"/>
        <w:rPr>
          <w:rFonts w:cs="Arial"/>
          <w:color w:val="000000" w:themeColor="text1"/>
          <w14:textFill>
            <w14:solidFill>
              <w14:schemeClr w14:val="tx1"/>
            </w14:solidFill>
          </w14:textFill>
        </w:rPr>
      </w:pPr>
    </w:p>
    <w:p>
      <w:pPr>
        <w:spacing w:line="500" w:lineRule="exact"/>
        <w:ind w:firstLine="420" w:firstLineChars="200"/>
        <w:rPr>
          <w:rFonts w:cs="Arial"/>
          <w:color w:val="000000" w:themeColor="text1"/>
          <w14:textFill>
            <w14:solidFill>
              <w14:schemeClr w14:val="tx1"/>
            </w14:solidFill>
          </w14:textFill>
        </w:rPr>
      </w:pPr>
    </w:p>
    <w:p>
      <w:pPr>
        <w:spacing w:line="500" w:lineRule="exact"/>
        <w:ind w:firstLine="420" w:firstLineChars="200"/>
        <w:rPr>
          <w:rFonts w:cs="Arial"/>
          <w:color w:val="000000" w:themeColor="text1"/>
          <w14:textFill>
            <w14:solidFill>
              <w14:schemeClr w14:val="tx1"/>
            </w14:solidFill>
          </w14:textFill>
        </w:rPr>
      </w:pP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等效室外声源的位置为围护结构的位置，其倍频带声功率级为Lw oct，由此按室外声源方法计算等效室外声源在预测点产生的声级。</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由上述各式可计算出周围声环境因该项目设备新增加的声级值，综合该区内的声环境背景值，再按声能量迭加模式预测出某点的总声压级值，预测模式如下：</w:t>
      </w:r>
    </w:p>
    <w:p>
      <w:pPr>
        <w:spacing w:line="500" w:lineRule="exact"/>
        <w:ind w:firstLine="420" w:firstLineChars="200"/>
        <w:jc w:val="center"/>
        <w:rPr>
          <w:rFonts w:cs="Arial"/>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730250</wp:posOffset>
            </wp:positionH>
            <wp:positionV relativeFrom="paragraph">
              <wp:posOffset>144780</wp:posOffset>
            </wp:positionV>
            <wp:extent cx="2971800" cy="464820"/>
            <wp:effectExtent l="0" t="0" r="0" b="0"/>
            <wp:wrapNone/>
            <wp:docPr id="2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6"/>
                    <pic:cNvPicPr>
                      <a:picLocks noChangeAspect="1" noChangeArrowheads="1"/>
                    </pic:cNvPicPr>
                  </pic:nvPicPr>
                  <pic:blipFill>
                    <a:blip r:embed="rId37" cstate="print"/>
                    <a:srcRect/>
                    <a:stretch>
                      <a:fillRect/>
                    </a:stretch>
                  </pic:blipFill>
                  <pic:spPr>
                    <a:xfrm>
                      <a:off x="0" y="0"/>
                      <a:ext cx="2971800" cy="464820"/>
                    </a:xfrm>
                    <a:prstGeom prst="rect">
                      <a:avLst/>
                    </a:prstGeom>
                    <a:noFill/>
                    <a:ln w="9525">
                      <a:noFill/>
                      <a:miter lim="800000"/>
                      <a:headEnd/>
                      <a:tailEnd/>
                    </a:ln>
                  </pic:spPr>
                </pic:pic>
              </a:graphicData>
            </a:graphic>
          </wp:anchor>
        </w:drawing>
      </w:r>
    </w:p>
    <w:p>
      <w:pPr>
        <w:spacing w:line="500" w:lineRule="exact"/>
        <w:ind w:firstLine="420" w:firstLineChars="200"/>
        <w:rPr>
          <w:rFonts w:cs="Arial"/>
          <w:color w:val="000000" w:themeColor="text1"/>
          <w14:textFill>
            <w14:solidFill>
              <w14:schemeClr w14:val="tx1"/>
            </w14:solidFill>
          </w14:textFill>
        </w:rPr>
      </w:pPr>
    </w:p>
    <w:p>
      <w:pPr>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式中：</w:t>
      </w:r>
      <w:r>
        <w:rPr>
          <w:rFonts w:ascii="Times New Roman" w:hAnsi="Times New Roman" w:eastAsiaTheme="minorEastAsia"/>
          <w:i/>
          <w:color w:val="000000" w:themeColor="text1"/>
          <w:sz w:val="24"/>
          <w14:textFill>
            <w14:solidFill>
              <w14:schemeClr w14:val="tx1"/>
            </w14:solidFill>
          </w14:textFill>
        </w:rPr>
        <w:t>Leq</w:t>
      </w:r>
      <w:r>
        <w:rPr>
          <w:rFonts w:ascii="Times New Roman" w:hAnsiTheme="minorEastAsia" w:eastAsiaTheme="minorEastAsia"/>
          <w:color w:val="000000" w:themeColor="text1"/>
          <w:sz w:val="24"/>
          <w:vertAlign w:val="subscript"/>
          <w14:textFill>
            <w14:solidFill>
              <w14:schemeClr w14:val="tx1"/>
            </w14:solidFill>
          </w14:textFill>
        </w:rPr>
        <w:t>总</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某预测点总声压级，</w:t>
      </w:r>
      <w:r>
        <w:rPr>
          <w:rFonts w:ascii="Times New Roman" w:hAnsi="Times New Roman" w:eastAsiaTheme="minorEastAsia"/>
          <w:color w:val="000000" w:themeColor="text1"/>
          <w:sz w:val="24"/>
          <w14:textFill>
            <w14:solidFill>
              <w14:schemeClr w14:val="tx1"/>
            </w14:solidFill>
          </w14:textFill>
        </w:rPr>
        <w:t>dB</w:t>
      </w: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A</w:t>
      </w:r>
      <w:r>
        <w:rPr>
          <w:rFonts w:ascii="Times New Roman"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 xml:space="preserve">      n—</w:t>
      </w:r>
      <w:r>
        <w:rPr>
          <w:rFonts w:ascii="Times New Roman" w:hAnsiTheme="minorEastAsia" w:eastAsiaTheme="minorEastAsia"/>
          <w:color w:val="000000" w:themeColor="text1"/>
          <w:sz w:val="24"/>
          <w14:textFill>
            <w14:solidFill>
              <w14:schemeClr w14:val="tx1"/>
            </w14:solidFill>
          </w14:textFill>
        </w:rPr>
        <w:t>为室外声源个数；</w:t>
      </w:r>
    </w:p>
    <w:p>
      <w:pPr>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 xml:space="preserve">      m—</w:t>
      </w:r>
      <w:r>
        <w:rPr>
          <w:rFonts w:ascii="Times New Roman" w:hAnsiTheme="minorEastAsia" w:eastAsiaTheme="minorEastAsia"/>
          <w:color w:val="000000" w:themeColor="text1"/>
          <w:sz w:val="24"/>
          <w14:textFill>
            <w14:solidFill>
              <w14:schemeClr w14:val="tx1"/>
            </w14:solidFill>
          </w14:textFill>
        </w:rPr>
        <w:t>为等效室外声源个数；</w:t>
      </w:r>
    </w:p>
    <w:p>
      <w:pPr>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 xml:space="preserve">      T—</w:t>
      </w:r>
      <w:r>
        <w:rPr>
          <w:rFonts w:ascii="Times New Roman" w:hAnsiTheme="minorEastAsia" w:eastAsiaTheme="minorEastAsia"/>
          <w:color w:val="000000" w:themeColor="text1"/>
          <w:sz w:val="24"/>
          <w14:textFill>
            <w14:solidFill>
              <w14:schemeClr w14:val="tx1"/>
            </w14:solidFill>
          </w14:textFill>
        </w:rPr>
        <w:t>为计算等效声级时间。</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）预测参数</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经对现有资料整理分析，拟选用如下参数和条件进行计算：</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fldChar w:fldCharType="begin"/>
      </w:r>
      <w:r>
        <w:rPr>
          <w:rFonts w:ascii="Times New Roman" w:hAnsi="Times New Roman" w:eastAsiaTheme="minorEastAsia"/>
          <w:color w:val="000000" w:themeColor="text1"/>
          <w:sz w:val="24"/>
          <w14:textFill>
            <w14:solidFill>
              <w14:schemeClr w14:val="tx1"/>
            </w14:solidFill>
          </w14:textFill>
        </w:rPr>
        <w:instrText xml:space="preserve"> = 1 \* GB3 </w:instrText>
      </w:r>
      <w:r>
        <w:rPr>
          <w:rFonts w:ascii="Times New Roman" w:hAnsi="Times New Roman" w:eastAsiaTheme="minorEastAsia"/>
          <w:color w:val="000000" w:themeColor="text1"/>
          <w:sz w:val="24"/>
          <w14:textFill>
            <w14:solidFill>
              <w14:schemeClr w14:val="tx1"/>
            </w14:solidFill>
          </w14:textFill>
        </w:rPr>
        <w:fldChar w:fldCharType="separate"/>
      </w:r>
      <w:r>
        <w:rPr>
          <w:rFonts w:ascii="Times New Roman" w:hAnsiTheme="minorEastAsia" w:eastAsiaTheme="minorEastAsia"/>
          <w:color w:val="000000" w:themeColor="text1"/>
          <w:sz w:val="24"/>
          <w14:textFill>
            <w14:solidFill>
              <w14:schemeClr w14:val="tx1"/>
            </w14:solidFill>
          </w14:textFill>
        </w:rPr>
        <w:t>①</w:t>
      </w:r>
      <w:r>
        <w:rPr>
          <w:rFonts w:ascii="Times New Roman" w:hAnsi="Times New Roman" w:eastAsiaTheme="minorEastAsia"/>
          <w:color w:val="000000" w:themeColor="text1"/>
          <w:sz w:val="24"/>
          <w14:textFill>
            <w14:solidFill>
              <w14:schemeClr w14:val="tx1"/>
            </w14:solidFill>
          </w14:textFill>
        </w:rPr>
        <w:fldChar w:fldCharType="end"/>
      </w:r>
      <w:r>
        <w:rPr>
          <w:rFonts w:ascii="Times New Roman" w:hAnsiTheme="minorEastAsia" w:eastAsiaTheme="minorEastAsia"/>
          <w:color w:val="000000" w:themeColor="text1"/>
          <w:sz w:val="24"/>
          <w14:textFill>
            <w14:solidFill>
              <w14:schemeClr w14:val="tx1"/>
            </w14:solidFill>
          </w14:textFill>
        </w:rPr>
        <w:t>一般属性</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声源离地面高度为</w:t>
      </w:r>
      <w:r>
        <w:rPr>
          <w:rFonts w:ascii="Times New Roman" w:hAnsi="Times New Roman" w:eastAsiaTheme="minorEastAsia"/>
          <w:color w:val="000000" w:themeColor="text1"/>
          <w:sz w:val="24"/>
          <w14:textFill>
            <w14:solidFill>
              <w14:schemeClr w14:val="tx1"/>
            </w14:solidFill>
          </w14:textFill>
        </w:rPr>
        <w:t>0</w:t>
      </w:r>
      <w:r>
        <w:rPr>
          <w:rFonts w:ascii="Times New Roman" w:hAnsiTheme="minorEastAsia" w:eastAsiaTheme="minorEastAsia"/>
          <w:color w:val="000000" w:themeColor="text1"/>
          <w:sz w:val="24"/>
          <w14:textFill>
            <w14:solidFill>
              <w14:schemeClr w14:val="tx1"/>
            </w14:solidFill>
          </w14:textFill>
        </w:rPr>
        <w:t>，室内点源位置为地面，声源所在房间内壁的吸声系数</w:t>
      </w:r>
      <w:r>
        <w:rPr>
          <w:rFonts w:ascii="Times New Roman" w:hAnsi="Times New Roman" w:eastAsiaTheme="minorEastAsia"/>
          <w:color w:val="000000" w:themeColor="text1"/>
          <w:sz w:val="24"/>
          <w14:textFill>
            <w14:solidFill>
              <w14:schemeClr w14:val="tx1"/>
            </w14:solidFill>
          </w14:textFill>
        </w:rPr>
        <w:t>0.01</w:t>
      </w:r>
      <w:r>
        <w:rPr>
          <w:rFonts w:ascii="Times New Roman" w:hAnsiTheme="minorEastAsia" w:eastAsiaTheme="minorEastAsia"/>
          <w:color w:val="000000" w:themeColor="text1"/>
          <w:sz w:val="24"/>
          <w14:textFill>
            <w14:solidFill>
              <w14:schemeClr w14:val="tx1"/>
            </w14:solidFill>
          </w14:textFill>
        </w:rPr>
        <w:t>，声源离隔墙的距离取</w:t>
      </w:r>
      <w:r>
        <w:rPr>
          <w:rFonts w:ascii="Times New Roman" w:hAnsi="Times New Roman" w:eastAsiaTheme="minorEastAsia"/>
          <w:color w:val="000000" w:themeColor="text1"/>
          <w:sz w:val="24"/>
          <w14:textFill>
            <w14:solidFill>
              <w14:schemeClr w14:val="tx1"/>
            </w14:solidFill>
          </w14:textFill>
        </w:rPr>
        <w:t>3m</w:t>
      </w:r>
      <w:r>
        <w:rPr>
          <w:rFonts w:ascii="Times New Roman" w:hAnsiTheme="minorEastAsia" w:eastAsiaTheme="minorEastAsia"/>
          <w:color w:val="000000" w:themeColor="text1"/>
          <w:sz w:val="24"/>
          <w14:textFill>
            <w14:solidFill>
              <w14:schemeClr w14:val="tx1"/>
            </w14:solidFill>
          </w14:textFill>
        </w:rPr>
        <w:t>，声源与测点间隔墙厚取</w:t>
      </w:r>
      <w:r>
        <w:rPr>
          <w:rFonts w:ascii="Times New Roman" w:hAnsi="Times New Roman" w:eastAsiaTheme="minorEastAsia"/>
          <w:color w:val="000000" w:themeColor="text1"/>
          <w:sz w:val="24"/>
          <w14:textFill>
            <w14:solidFill>
              <w14:schemeClr w14:val="tx1"/>
            </w14:solidFill>
          </w14:textFill>
        </w:rPr>
        <w:t>0.24m</w:t>
      </w:r>
      <w:r>
        <w:rPr>
          <w:rFonts w:ascii="Times New Roman" w:hAnsiTheme="minorEastAsia" w:eastAsiaTheme="minorEastAsia"/>
          <w:color w:val="000000" w:themeColor="text1"/>
          <w:sz w:val="24"/>
          <w14:textFill>
            <w14:solidFill>
              <w14:schemeClr w14:val="tx1"/>
            </w14:solidFill>
          </w14:textFill>
        </w:rPr>
        <w:t>。</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fldChar w:fldCharType="begin"/>
      </w:r>
      <w:r>
        <w:rPr>
          <w:rFonts w:ascii="Times New Roman" w:hAnsi="Times New Roman" w:eastAsiaTheme="minorEastAsia"/>
          <w:color w:val="000000" w:themeColor="text1"/>
          <w:sz w:val="24"/>
          <w14:textFill>
            <w14:solidFill>
              <w14:schemeClr w14:val="tx1"/>
            </w14:solidFill>
          </w14:textFill>
        </w:rPr>
        <w:instrText xml:space="preserve"> = 2 \* GB3 </w:instrText>
      </w:r>
      <w:r>
        <w:rPr>
          <w:rFonts w:ascii="Times New Roman" w:hAnsi="Times New Roman" w:eastAsiaTheme="minorEastAsia"/>
          <w:color w:val="000000" w:themeColor="text1"/>
          <w:sz w:val="24"/>
          <w14:textFill>
            <w14:solidFill>
              <w14:schemeClr w14:val="tx1"/>
            </w14:solidFill>
          </w14:textFill>
        </w:rPr>
        <w:fldChar w:fldCharType="separate"/>
      </w:r>
      <w:r>
        <w:rPr>
          <w:rFonts w:ascii="Times New Roman" w:hAnsiTheme="minorEastAsia" w:eastAsiaTheme="minorEastAsia"/>
          <w:color w:val="000000" w:themeColor="text1"/>
          <w:sz w:val="24"/>
          <w14:textFill>
            <w14:solidFill>
              <w14:schemeClr w14:val="tx1"/>
            </w14:solidFill>
          </w14:textFill>
        </w:rPr>
        <w:t>②</w:t>
      </w:r>
      <w:r>
        <w:rPr>
          <w:rFonts w:ascii="Times New Roman" w:hAnsi="Times New Roman" w:eastAsiaTheme="minorEastAsia"/>
          <w:color w:val="000000" w:themeColor="text1"/>
          <w:sz w:val="24"/>
          <w14:textFill>
            <w14:solidFill>
              <w14:schemeClr w14:val="tx1"/>
            </w14:solidFill>
          </w14:textFill>
        </w:rPr>
        <w:fldChar w:fldCharType="end"/>
      </w:r>
      <w:r>
        <w:rPr>
          <w:rFonts w:ascii="Times New Roman" w:hAnsiTheme="minorEastAsia" w:eastAsiaTheme="minorEastAsia"/>
          <w:color w:val="000000" w:themeColor="text1"/>
          <w:sz w:val="24"/>
          <w14:textFill>
            <w14:solidFill>
              <w14:schemeClr w14:val="tx1"/>
            </w14:solidFill>
          </w14:textFill>
        </w:rPr>
        <w:t>发声特性</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稳态发声，不分频。</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fldChar w:fldCharType="begin"/>
      </w:r>
      <w:r>
        <w:rPr>
          <w:rFonts w:ascii="Times New Roman" w:hAnsi="Times New Roman" w:eastAsiaTheme="minorEastAsia"/>
          <w:color w:val="000000" w:themeColor="text1"/>
          <w:sz w:val="24"/>
          <w14:textFill>
            <w14:solidFill>
              <w14:schemeClr w14:val="tx1"/>
            </w14:solidFill>
          </w14:textFill>
        </w:rPr>
        <w:instrText xml:space="preserve"> = 3 \* GB3 </w:instrText>
      </w:r>
      <w:r>
        <w:rPr>
          <w:rFonts w:ascii="Times New Roman" w:hAnsi="Times New Roman" w:eastAsiaTheme="minorEastAsia"/>
          <w:color w:val="000000" w:themeColor="text1"/>
          <w:sz w:val="24"/>
          <w14:textFill>
            <w14:solidFill>
              <w14:schemeClr w14:val="tx1"/>
            </w14:solidFill>
          </w14:textFill>
        </w:rPr>
        <w:fldChar w:fldCharType="separate"/>
      </w:r>
      <w:r>
        <w:rPr>
          <w:rFonts w:ascii="Times New Roman" w:hAnsiTheme="minorEastAsia" w:eastAsiaTheme="minorEastAsia"/>
          <w:color w:val="000000" w:themeColor="text1"/>
          <w:sz w:val="24"/>
          <w14:textFill>
            <w14:solidFill>
              <w14:schemeClr w14:val="tx1"/>
            </w14:solidFill>
          </w14:textFill>
        </w:rPr>
        <w:t>③</w:t>
      </w:r>
      <w:r>
        <w:rPr>
          <w:rFonts w:ascii="Times New Roman" w:hAnsi="Times New Roman" w:eastAsiaTheme="minorEastAsia"/>
          <w:color w:val="000000" w:themeColor="text1"/>
          <w:sz w:val="24"/>
          <w14:textFill>
            <w14:solidFill>
              <w14:schemeClr w14:val="tx1"/>
            </w14:solidFill>
          </w14:textFill>
        </w:rPr>
        <w:fldChar w:fldCharType="end"/>
      </w:r>
      <w:r>
        <w:rPr>
          <w:rFonts w:ascii="Times New Roman" w:hAnsiTheme="minorEastAsia" w:eastAsiaTheme="minorEastAsia"/>
          <w:color w:val="000000" w:themeColor="text1"/>
          <w:sz w:val="24"/>
          <w14:textFill>
            <w14:solidFill>
              <w14:schemeClr w14:val="tx1"/>
            </w14:solidFill>
          </w14:textFill>
        </w:rPr>
        <w:t>声屏及地况</w:t>
      </w:r>
    </w:p>
    <w:p>
      <w:pPr>
        <w:adjustRightInd w:val="0"/>
        <w:snapToGrid w:val="0"/>
        <w:spacing w:line="50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树林带或其它稀疏声屏隔声能力取</w:t>
      </w:r>
      <w:r>
        <w:rPr>
          <w:rFonts w:ascii="Times New Roman" w:hAnsi="Times New Roman" w:eastAsiaTheme="minorEastAsia"/>
          <w:color w:val="000000" w:themeColor="text1"/>
          <w:sz w:val="24"/>
          <w14:textFill>
            <w14:solidFill>
              <w14:schemeClr w14:val="tx1"/>
            </w14:solidFill>
          </w14:textFill>
        </w:rPr>
        <w:t>0.1dB(A)/m</w:t>
      </w:r>
      <w:r>
        <w:rPr>
          <w:rFonts w:ascii="Times New Roman" w:hAnsiTheme="minorEastAsia" w:eastAsiaTheme="minorEastAsia"/>
          <w:color w:val="000000" w:themeColor="text1"/>
          <w:sz w:val="24"/>
          <w14:textFill>
            <w14:solidFill>
              <w14:schemeClr w14:val="tx1"/>
            </w14:solidFill>
          </w14:textFill>
        </w:rPr>
        <w:t>，声波在地面的反射系数为</w:t>
      </w:r>
      <w:r>
        <w:rPr>
          <w:rFonts w:ascii="Times New Roman" w:hAnsi="Times New Roman" w:eastAsiaTheme="minorEastAsia"/>
          <w:color w:val="000000" w:themeColor="text1"/>
          <w:sz w:val="24"/>
          <w14:textFill>
            <w14:solidFill>
              <w14:schemeClr w14:val="tx1"/>
            </w14:solidFill>
          </w14:textFill>
        </w:rPr>
        <w:t>0.5</w:t>
      </w:r>
      <w:r>
        <w:rPr>
          <w:rFonts w:ascii="Times New Roman" w:hAnsiTheme="minorEastAsia" w:eastAsiaTheme="minorEastAsia"/>
          <w:color w:val="000000" w:themeColor="text1"/>
          <w:sz w:val="24"/>
          <w14:textFill>
            <w14:solidFill>
              <w14:schemeClr w14:val="tx1"/>
            </w14:solidFill>
          </w14:textFill>
        </w:rPr>
        <w:t>。</w:t>
      </w:r>
    </w:p>
    <w:p>
      <w:pPr>
        <w:pStyle w:val="380"/>
        <w:adjustRightInd w:val="0"/>
        <w:snapToGrid w:val="0"/>
        <w:spacing w:before="48" w:beforeLines="20" w:after="48" w:afterLines="20" w:line="520" w:lineRule="exact"/>
        <w:ind w:firstLine="0" w:firstLineChars="0"/>
        <w:jc w:val="left"/>
        <w:outlineLvl w:val="2"/>
        <w:rPr>
          <w:rFonts w:ascii="Times New Roman" w:hAnsiTheme="minorEastAsia"/>
          <w:b/>
          <w:color w:val="000000" w:themeColor="text1"/>
          <w:sz w:val="24"/>
          <w:szCs w:val="24"/>
          <w14:textFill>
            <w14:solidFill>
              <w14:schemeClr w14:val="tx1"/>
            </w14:solidFill>
          </w14:textFill>
        </w:rPr>
      </w:pPr>
      <w:bookmarkStart w:id="482" w:name="_Toc27361"/>
      <w:bookmarkStart w:id="483" w:name="_Toc32349"/>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.2.5.3预测结果及评价</w:t>
      </w:r>
      <w:bookmarkEnd w:id="482"/>
      <w:bookmarkEnd w:id="483"/>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声波在传递过程中，除随距离增加而衰减外，同时受大气吸收、屏障阻挡等因素衰减，本次预测计算中，只考虑消声、隔声以及距离衰减效应，空气吸收和其余附加衰减忽略不计。根据不同设备的噪声级、确定的预测模式以及拟采取的降噪措施计算出不同距离处的噪声值，预测结果见表</w:t>
      </w:r>
      <w:r>
        <w:rPr>
          <w:rFonts w:hint="eastAsia" w:ascii="Times New Roman" w:hAnsi="Times New Roman" w:eastAsiaTheme="minorEastAsia"/>
          <w:color w:val="000000" w:themeColor="text1"/>
          <w:sz w:val="24"/>
          <w:lang w:val="en-US" w:eastAsia="zh-CN"/>
          <w14:textFill>
            <w14:solidFill>
              <w14:schemeClr w14:val="tx1"/>
            </w14:solidFill>
          </w14:textFill>
        </w:rPr>
        <w:t>6</w:t>
      </w:r>
      <w:r>
        <w:rPr>
          <w:rFonts w:hint="eastAsia" w:ascii="Times New Roman" w:hAnsi="Times New Roman" w:eastAsiaTheme="minorEastAsia"/>
          <w:color w:val="000000" w:themeColor="text1"/>
          <w:sz w:val="24"/>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33</w:t>
      </w:r>
      <w:r>
        <w:rPr>
          <w:rFonts w:ascii="Times New Roman" w:hAnsiTheme="minorEastAsia" w:eastAsiaTheme="minorEastAsia"/>
          <w:color w:val="000000" w:themeColor="text1"/>
          <w:sz w:val="24"/>
          <w14:textFill>
            <w14:solidFill>
              <w14:schemeClr w14:val="tx1"/>
            </w14:solidFill>
          </w14:textFill>
        </w:rPr>
        <w:t>所示。</w:t>
      </w:r>
    </w:p>
    <w:p>
      <w:pPr>
        <w:pStyle w:val="2"/>
        <w:adjustRightInd w:val="0"/>
        <w:snapToGrid w:val="0"/>
        <w:spacing w:after="0" w:line="520" w:lineRule="exact"/>
        <w:ind w:firstLine="482" w:firstLineChars="200"/>
        <w:jc w:val="center"/>
        <w:rPr>
          <w:rFonts w:ascii="Times New Roman" w:hAnsi="Times New Roman" w:cs="Times New Roman"/>
          <w:b/>
          <w:color w:val="000000" w:themeColor="text1"/>
          <w:sz w:val="24"/>
          <w14:textFill>
            <w14:solidFill>
              <w14:schemeClr w14:val="tx1"/>
            </w14:solidFill>
          </w14:textFill>
        </w:rPr>
      </w:pPr>
      <w:r>
        <w:rPr>
          <w:rFonts w:ascii="Times New Roman" w:cs="Times New Roman" w:hAnsiTheme="minorEastAsia"/>
          <w:b/>
          <w:color w:val="000000" w:themeColor="text1"/>
          <w:sz w:val="24"/>
          <w14:textFill>
            <w14:solidFill>
              <w14:schemeClr w14:val="tx1"/>
            </w14:solidFill>
          </w14:textFill>
        </w:rPr>
        <w:t>表</w:t>
      </w:r>
      <w:r>
        <w:rPr>
          <w:rFonts w:hint="eastAsia" w:ascii="Times New Roman" w:hAnsi="Times New Roman" w:cs="Times New Roman"/>
          <w:b/>
          <w:color w:val="000000" w:themeColor="text1"/>
          <w:sz w:val="24"/>
          <w:szCs w:val="24"/>
          <w:lang w:val="en-US" w:eastAsia="zh-CN"/>
          <w14:textFill>
            <w14:solidFill>
              <w14:schemeClr w14:val="tx1"/>
            </w14:solidFill>
          </w14:textFill>
        </w:rPr>
        <w:t>6</w:t>
      </w:r>
      <w:r>
        <w:rPr>
          <w:rFonts w:hint="eastAsia" w:ascii="Times New Roman" w:hAnsi="Times New Roman" w:cs="Times New Roman"/>
          <w:b/>
          <w:color w:val="000000" w:themeColor="text1"/>
          <w:sz w:val="24"/>
          <w:szCs w:val="24"/>
          <w14:textFill>
            <w14:solidFill>
              <w14:schemeClr w14:val="tx1"/>
            </w14:solidFill>
          </w14:textFill>
        </w:rPr>
        <w:t>.2-33</w:t>
      </w:r>
      <w:r>
        <w:rPr>
          <w:rFonts w:ascii="Times New Roman" w:hAnsi="Times New Roman" w:cs="Times New Roman"/>
          <w:b/>
          <w:color w:val="000000" w:themeColor="text1"/>
          <w:sz w:val="24"/>
          <w14:textFill>
            <w14:solidFill>
              <w14:schemeClr w14:val="tx1"/>
            </w14:solidFill>
          </w14:textFill>
        </w:rPr>
        <w:t xml:space="preserve"> </w:t>
      </w:r>
      <w:r>
        <w:rPr>
          <w:rFonts w:ascii="Times New Roman" w:cs="Times New Roman" w:hAnsiTheme="minorEastAsia"/>
          <w:b/>
          <w:color w:val="000000" w:themeColor="text1"/>
          <w:sz w:val="24"/>
          <w14:textFill>
            <w14:solidFill>
              <w14:schemeClr w14:val="tx1"/>
            </w14:solidFill>
          </w14:textFill>
        </w:rPr>
        <w:t>厂界噪声预测结果一览表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999"/>
        <w:gridCol w:w="1000"/>
        <w:gridCol w:w="1000"/>
        <w:gridCol w:w="1001"/>
        <w:gridCol w:w="1000"/>
        <w:gridCol w:w="1000"/>
        <w:gridCol w:w="1000"/>
        <w:gridCol w:w="10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4"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编号</w:t>
            </w:r>
          </w:p>
        </w:tc>
        <w:tc>
          <w:tcPr>
            <w:tcW w:w="4000" w:type="dxa"/>
            <w:gridSpan w:val="4"/>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昼</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间</w:t>
            </w:r>
          </w:p>
        </w:tc>
        <w:tc>
          <w:tcPr>
            <w:tcW w:w="4001" w:type="dxa"/>
            <w:gridSpan w:val="4"/>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夜</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4"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99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现状值</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贡献值</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预测值</w:t>
            </w:r>
          </w:p>
        </w:tc>
        <w:tc>
          <w:tcPr>
            <w:tcW w:w="1001"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增减值</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现状值</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贡献值</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预测值</w:t>
            </w:r>
          </w:p>
        </w:tc>
        <w:tc>
          <w:tcPr>
            <w:tcW w:w="1001"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增减值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4"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w:t>
            </w:r>
            <w:r>
              <w:rPr>
                <w:rFonts w:ascii="Times New Roman" w:hAnsiTheme="minorEastAsia" w:eastAsiaTheme="minorEastAsia"/>
                <w:color w:val="000000" w:themeColor="text1"/>
                <w:sz w:val="18"/>
                <w:szCs w:val="18"/>
                <w14:textFill>
                  <w14:solidFill>
                    <w14:schemeClr w14:val="tx1"/>
                  </w14:solidFill>
                </w14:textFill>
              </w:rPr>
              <w:t>东厂界</w:t>
            </w:r>
          </w:p>
        </w:tc>
        <w:tc>
          <w:tcPr>
            <w:tcW w:w="99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55.6</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42.56</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56.23</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0.63</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47.5</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42.56</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48.86</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4"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2#</w:t>
            </w:r>
            <w:r>
              <w:rPr>
                <w:rFonts w:ascii="Times New Roman" w:hAnsiTheme="minorEastAsia" w:eastAsiaTheme="minorEastAsia"/>
                <w:color w:val="000000" w:themeColor="text1"/>
                <w:sz w:val="18"/>
                <w:szCs w:val="18"/>
                <w14:textFill>
                  <w14:solidFill>
                    <w14:schemeClr w14:val="tx1"/>
                  </w14:solidFill>
                </w14:textFill>
              </w:rPr>
              <w:t>南厂界</w:t>
            </w:r>
          </w:p>
        </w:tc>
        <w:tc>
          <w:tcPr>
            <w:tcW w:w="99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51.5</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35.68</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51.68</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0.18</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45.9</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35.68</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46.11</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4"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3#</w:t>
            </w:r>
            <w:r>
              <w:rPr>
                <w:rFonts w:ascii="Times New Roman" w:hAnsiTheme="minorEastAsia" w:eastAsiaTheme="minorEastAsia"/>
                <w:color w:val="000000" w:themeColor="text1"/>
                <w:sz w:val="18"/>
                <w:szCs w:val="18"/>
                <w14:textFill>
                  <w14:solidFill>
                    <w14:schemeClr w14:val="tx1"/>
                  </w14:solidFill>
                </w14:textFill>
              </w:rPr>
              <w:t>西厂界</w:t>
            </w:r>
          </w:p>
        </w:tc>
        <w:tc>
          <w:tcPr>
            <w:tcW w:w="99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49.6</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37.42</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49.73</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0.13</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43.6</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37.42</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w:t>
            </w:r>
            <w:r>
              <w:rPr>
                <w:rFonts w:hint="eastAsia" w:ascii="Times New Roman" w:hAnsi="Times New Roman"/>
                <w:color w:val="000000" w:themeColor="text1"/>
                <w:sz w:val="18"/>
                <w:szCs w:val="18"/>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78</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4"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w:t>
            </w:r>
            <w:r>
              <w:rPr>
                <w:rFonts w:ascii="Times New Roman" w:hAnsiTheme="minorEastAsia" w:eastAsiaTheme="minorEastAsia"/>
                <w:color w:val="000000" w:themeColor="text1"/>
                <w:sz w:val="18"/>
                <w:szCs w:val="18"/>
                <w14:textFill>
                  <w14:solidFill>
                    <w14:schemeClr w14:val="tx1"/>
                  </w14:solidFill>
                </w14:textFill>
              </w:rPr>
              <w:t>北厂界</w:t>
            </w:r>
          </w:p>
        </w:tc>
        <w:tc>
          <w:tcPr>
            <w:tcW w:w="99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50.9</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41</w:t>
            </w:r>
            <w:r>
              <w:rPr>
                <w:rFonts w:ascii="Times New Roman" w:hAnsi="Times New Roman" w:eastAsiaTheme="minorEastAsia"/>
                <w:color w:val="000000" w:themeColor="text1"/>
                <w:sz w:val="18"/>
                <w:szCs w:val="18"/>
                <w14:textFill>
                  <w14:solidFill>
                    <w14:schemeClr w14:val="tx1"/>
                  </w14:solidFill>
                </w14:textFill>
              </w:rPr>
              <w:t>.</w:t>
            </w:r>
            <w:r>
              <w:rPr>
                <w:rFonts w:hint="eastAsia" w:ascii="Times New Roman" w:hAnsi="Times New Roman" w:eastAsiaTheme="minorEastAsia"/>
                <w:color w:val="000000" w:themeColor="text1"/>
                <w:sz w:val="18"/>
                <w:szCs w:val="18"/>
                <w14:textFill>
                  <w14:solidFill>
                    <w14:schemeClr w14:val="tx1"/>
                  </w14:solidFill>
                </w14:textFill>
              </w:rPr>
              <w:t>8</w:t>
            </w:r>
            <w:r>
              <w:rPr>
                <w:rFonts w:ascii="Times New Roman" w:hAnsi="Times New Roman" w:eastAsiaTheme="minorEastAsia"/>
                <w:color w:val="000000" w:themeColor="text1"/>
                <w:sz w:val="18"/>
                <w:szCs w:val="18"/>
                <w14:textFill>
                  <w14:solidFill>
                    <w14:schemeClr w14:val="tx1"/>
                  </w14:solidFill>
                </w14:textFill>
              </w:rPr>
              <w:t>1</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51.25</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0.35</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46.4</w:t>
            </w:r>
          </w:p>
        </w:tc>
        <w:tc>
          <w:tcPr>
            <w:tcW w:w="1000"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hint="eastAsia" w:ascii="Times New Roman" w:hAnsi="Times New Roman" w:eastAsiaTheme="minorEastAsia"/>
                <w:color w:val="000000" w:themeColor="text1"/>
                <w:sz w:val="18"/>
                <w:szCs w:val="18"/>
                <w14:textFill>
                  <w14:solidFill>
                    <w14:schemeClr w14:val="tx1"/>
                  </w14:solidFill>
                </w14:textFill>
              </w:rPr>
              <w:t>41</w:t>
            </w:r>
            <w:r>
              <w:rPr>
                <w:rFonts w:ascii="Times New Roman" w:hAnsi="Times New Roman" w:eastAsiaTheme="minorEastAsia"/>
                <w:color w:val="000000" w:themeColor="text1"/>
                <w:sz w:val="18"/>
                <w:szCs w:val="18"/>
                <w14:textFill>
                  <w14:solidFill>
                    <w14:schemeClr w14:val="tx1"/>
                  </w14:solidFill>
                </w14:textFill>
              </w:rPr>
              <w:t>.</w:t>
            </w:r>
            <w:r>
              <w:rPr>
                <w:rFonts w:hint="eastAsia" w:ascii="Times New Roman" w:hAnsi="Times New Roman" w:eastAsiaTheme="minorEastAsia"/>
                <w:color w:val="000000" w:themeColor="text1"/>
                <w:sz w:val="18"/>
                <w:szCs w:val="18"/>
                <w14:textFill>
                  <w14:solidFill>
                    <w14:schemeClr w14:val="tx1"/>
                  </w14:solidFill>
                </w14:textFill>
              </w:rPr>
              <w:t>8</w:t>
            </w:r>
            <w:r>
              <w:rPr>
                <w:rFonts w:ascii="Times New Roman" w:hAnsi="Times New Roman" w:eastAsiaTheme="minorEastAsia"/>
                <w:color w:val="000000" w:themeColor="text1"/>
                <w:sz w:val="18"/>
                <w:szCs w:val="18"/>
                <w14:textFill>
                  <w14:solidFill>
                    <w14:schemeClr w14:val="tx1"/>
                  </w14:solidFill>
                </w14:textFill>
              </w:rPr>
              <w:t>1</w:t>
            </w:r>
          </w:p>
        </w:tc>
        <w:tc>
          <w:tcPr>
            <w:tcW w:w="100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48.25</w:t>
            </w:r>
          </w:p>
        </w:tc>
        <w:tc>
          <w:tcPr>
            <w:tcW w:w="1001"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1.85</w:t>
            </w:r>
          </w:p>
        </w:tc>
      </w:tr>
    </w:tbl>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由</w:t>
      </w:r>
      <w:r>
        <w:rPr>
          <w:rFonts w:hint="eastAsia" w:ascii="Times New Roman" w:hAnsiTheme="minorEastAsia" w:eastAsiaTheme="minorEastAsia"/>
          <w:color w:val="000000" w:themeColor="text1"/>
          <w:sz w:val="24"/>
          <w14:textFill>
            <w14:solidFill>
              <w14:schemeClr w14:val="tx1"/>
            </w14:solidFill>
          </w14:textFill>
        </w:rPr>
        <w:t>上</w:t>
      </w:r>
      <w:r>
        <w:rPr>
          <w:rFonts w:ascii="Times New Roman" w:hAnsiTheme="minorEastAsia" w:eastAsiaTheme="minorEastAsia"/>
          <w:color w:val="000000" w:themeColor="text1"/>
          <w:sz w:val="24"/>
          <w14:textFill>
            <w14:solidFill>
              <w14:schemeClr w14:val="tx1"/>
            </w14:solidFill>
          </w14:textFill>
        </w:rPr>
        <w:t>表可知，在对噪声源采取隔声及距离衰减等污染防治措施后，厂界环境噪声级可控制在《工业企业厂界环境噪声排放标准》（GB12348-2008）3类标准限值内。</w:t>
      </w:r>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28"/>
          <w:szCs w:val="28"/>
          <w14:textFill>
            <w14:solidFill>
              <w14:schemeClr w14:val="tx1"/>
            </w14:solidFill>
          </w14:textFill>
        </w:rPr>
      </w:pPr>
      <w:bookmarkStart w:id="484" w:name="_Toc24195"/>
      <w:bookmarkStart w:id="485" w:name="_Toc6061"/>
      <w:r>
        <w:rPr>
          <w:rFonts w:hint="eastAsia" w:ascii="Times New Roman" w:hAnsi="Times New Roman" w:eastAsia="黑体"/>
          <w:b/>
          <w:color w:val="000000" w:themeColor="text1"/>
          <w:sz w:val="28"/>
          <w:szCs w:val="28"/>
          <w:lang w:val="en-US" w:eastAsia="zh-CN"/>
          <w14:textFill>
            <w14:solidFill>
              <w14:schemeClr w14:val="tx1"/>
            </w14:solidFill>
          </w14:textFill>
        </w:rPr>
        <w:t>6</w:t>
      </w:r>
      <w:r>
        <w:rPr>
          <w:rFonts w:ascii="Times New Roman" w:hAnsi="Times New Roman" w:eastAsia="黑体"/>
          <w:b/>
          <w:color w:val="000000" w:themeColor="text1"/>
          <w:sz w:val="28"/>
          <w:szCs w:val="28"/>
          <w14:textFill>
            <w14:solidFill>
              <w14:schemeClr w14:val="tx1"/>
            </w14:solidFill>
          </w14:textFill>
        </w:rPr>
        <w:t>.2.6</w:t>
      </w:r>
      <w:r>
        <w:rPr>
          <w:rFonts w:hint="eastAsia" w:ascii="黑体" w:hAnsi="黑体" w:eastAsia="黑体"/>
          <w:b/>
          <w:color w:val="000000" w:themeColor="text1"/>
          <w:sz w:val="28"/>
          <w:szCs w:val="28"/>
          <w14:textFill>
            <w14:solidFill>
              <w14:schemeClr w14:val="tx1"/>
            </w14:solidFill>
          </w14:textFill>
        </w:rPr>
        <w:t>土壤环境影响预测与评价</w:t>
      </w:r>
      <w:bookmarkEnd w:id="484"/>
      <w:bookmarkEnd w:id="485"/>
    </w:p>
    <w:p>
      <w:pPr>
        <w:pStyle w:val="380"/>
        <w:adjustRightInd w:val="0"/>
        <w:snapToGrid w:val="0"/>
        <w:spacing w:before="48" w:beforeLines="20" w:after="48" w:afterLines="20" w:line="520" w:lineRule="exact"/>
        <w:ind w:firstLine="0" w:firstLineChars="0"/>
        <w:jc w:val="left"/>
        <w:outlineLvl w:val="2"/>
        <w:rPr>
          <w:rFonts w:ascii="Times New Roman" w:hAnsiTheme="minorEastAsia"/>
          <w:b/>
          <w:color w:val="000000" w:themeColor="text1"/>
          <w:sz w:val="24"/>
          <w:szCs w:val="24"/>
          <w14:textFill>
            <w14:solidFill>
              <w14:schemeClr w14:val="tx1"/>
            </w14:solidFill>
          </w14:textFill>
        </w:rPr>
      </w:pPr>
      <w:bookmarkStart w:id="486" w:name="_Toc28505"/>
      <w:bookmarkStart w:id="487" w:name="_Toc24835"/>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.2.6.1预测评价范围</w:t>
      </w:r>
      <w:bookmarkEnd w:id="486"/>
      <w:bookmarkEnd w:id="487"/>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预测评价范围一般与现状调查范围一致，根据导则7.2.2章节：“建设项目(除线性工程外)土壤环境影响现状调查评价范围可根据建设项目影响类型、污染途径、气象条件、地形地貌、水文地质条件等确定并说明，或参考表5确定。本项目评价工作等级为二级，确定项目现状调查范围为0.2km 范围内，因此本报告预测评价范围确定为项目占地范围外0.2km内。</w:t>
      </w:r>
    </w:p>
    <w:p>
      <w:pPr>
        <w:pStyle w:val="380"/>
        <w:adjustRightInd w:val="0"/>
        <w:snapToGrid w:val="0"/>
        <w:spacing w:before="48" w:beforeLines="20" w:after="48" w:afterLines="20" w:line="520" w:lineRule="exact"/>
        <w:ind w:firstLine="0" w:firstLineChars="0"/>
        <w:jc w:val="left"/>
        <w:outlineLvl w:val="2"/>
        <w:rPr>
          <w:rFonts w:ascii="Times New Roman" w:hAnsiTheme="minorEastAsia"/>
          <w:b/>
          <w:color w:val="000000" w:themeColor="text1"/>
          <w:sz w:val="24"/>
          <w:szCs w:val="24"/>
          <w14:textFill>
            <w14:solidFill>
              <w14:schemeClr w14:val="tx1"/>
            </w14:solidFill>
          </w14:textFill>
        </w:rPr>
      </w:pPr>
      <w:bookmarkStart w:id="488" w:name="_Toc32404"/>
      <w:bookmarkStart w:id="489" w:name="_Toc27169"/>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.2.6.2土壤环境概述</w:t>
      </w:r>
      <w:bookmarkEnd w:id="488"/>
      <w:bookmarkEnd w:id="489"/>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宜昌境内有黄棕壤，水稻土、潮土、紫色土、石灰土5个土类，11个亚类，31个土属143个土种。黄棕壤、水稻土两个土类为第四纪河湖沉积物（粘土）母质。潮土</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为近代河流冲积物母质。其中耕地106个土种，林荒地37个土种。耕地中，旱地56个土种，以正土、纯土、油沙土、含水沙4个土种为主，占旱地土种面积的68.4%； 水田土种50个，以白善泥、黄泥、面黄泥3个土种为主，占水田土种面积的74.9%。从查明的土壤种类看种植的适宜性很广，对宜昌的农、林业发展十分有利。</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项目建设区土壤主要为黄棕壤、水稻土为主，剖面为Aa-Ap-W-C型，厚1m以上， 土壤无石灰反应，但由于石灰岩地区水中含有较多的钙质，水耕后复盐基作用明显， 土壤呈微酸性至中性，pH5.6-7.2。阳离子代换量15.0me/100g 土左右。盐基饱和度50-60%。土壤质地粘重，多为壤质粘土，粘粒含量在35%以上。Aa层平均厚13cm； Ap层平均厚12cm，粘粒沉积较明显；W层平均厚 56cm，以淡灰黄色为主。据农化样分析结果统计（n=173）：根据亚热带农业区域生态数据库，水稻的作物养分含量中有机质含量1.0-2.3%，全氮1.045%，全磷0.17%， 全钾0.9%。</w:t>
      </w:r>
    </w:p>
    <w:p>
      <w:pPr>
        <w:pStyle w:val="380"/>
        <w:adjustRightInd w:val="0"/>
        <w:snapToGrid w:val="0"/>
        <w:spacing w:before="48" w:beforeLines="20" w:after="48" w:afterLines="20" w:line="520" w:lineRule="exact"/>
        <w:ind w:firstLine="0" w:firstLineChars="0"/>
        <w:jc w:val="left"/>
        <w:outlineLvl w:val="2"/>
        <w:rPr>
          <w:rFonts w:ascii="Times New Roman" w:hAnsiTheme="minorEastAsia"/>
          <w:b/>
          <w:color w:val="000000" w:themeColor="text1"/>
          <w:sz w:val="24"/>
          <w:szCs w:val="24"/>
          <w14:textFill>
            <w14:solidFill>
              <w14:schemeClr w14:val="tx1"/>
            </w14:solidFill>
          </w14:textFill>
        </w:rPr>
      </w:pPr>
      <w:bookmarkStart w:id="490" w:name="_Toc15587"/>
      <w:bookmarkStart w:id="491" w:name="_Toc2881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.2.6.3影响类型和途径</w:t>
      </w:r>
      <w:bookmarkEnd w:id="490"/>
      <w:bookmarkEnd w:id="491"/>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建设项目污染物排放进入土壤的途径主要有大气沉降、地面漫流、入渗等。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本项目营运期排放的废气涉及氟化物等对土壤有大气沉降影响。本项目建设有事故应急池/初期雨水收集池。鉴于本项目全厂采取分区防渗，在涉及废水的所有环节均采用了严格的清污分流、初期雨水收集系统，以及地下水防渗措施，在正常运行下不会对土壤造成垂直入渗和地面漫流影响。仅在防渗层发生破损下将会对土壤造成垂直入渗影响。</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本项目正常工况情况下，本项目对土壤的主要污染途径为：氟化物等以大气污染物质的形式，通过干、湿沉降进入土壤。污染物进入土壤后会发生一系列的物理、化学和生物学过程。污染物在土壤中的主要迁移和转化过程包括：扩散、浓缩、吸附、降解、淋溶、径流迁移、植物吸收和生物迁移、沉淀溶解、氧化还原造成的污染物形态变化。</w:t>
      </w:r>
    </w:p>
    <w:p>
      <w:pPr>
        <w:pStyle w:val="380"/>
        <w:adjustRightInd w:val="0"/>
        <w:snapToGrid w:val="0"/>
        <w:spacing w:before="48" w:beforeLines="20" w:after="48" w:afterLines="20" w:line="520" w:lineRule="exact"/>
        <w:ind w:firstLine="0" w:firstLineChars="0"/>
        <w:jc w:val="left"/>
        <w:outlineLvl w:val="2"/>
        <w:rPr>
          <w:rFonts w:ascii="Times New Roman" w:hAnsiTheme="minorEastAsia"/>
          <w:b/>
          <w:color w:val="000000" w:themeColor="text1"/>
          <w:sz w:val="24"/>
          <w:szCs w:val="24"/>
          <w14:textFill>
            <w14:solidFill>
              <w14:schemeClr w14:val="tx1"/>
            </w14:solidFill>
          </w14:textFill>
        </w:rPr>
      </w:pPr>
      <w:bookmarkStart w:id="492" w:name="_Toc27235"/>
      <w:bookmarkStart w:id="493" w:name="_Toc17498"/>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.2.6.4预测方法及结果分析</w:t>
      </w:r>
      <w:bookmarkEnd w:id="492"/>
      <w:bookmarkEnd w:id="493"/>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①预测评价范围、时段和预测情景设置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项目的预测评价范围与调查评价范围一致，评价时段为项目运营期。以项目正常运营为预测工况。废气中的特征因子在干湿沉降作用下进入土壤层，进入土壤的特征因子多为难溶态，在土壤吸附、络合、沉淀和阻留作用下，迁移速度较缓慢，大部分残留在土壤耕作层，极少向下层土壤迁移。本次评价假定废气中污染物全部沉降在耕作层中，不考虑其输出影响；废气污染源排放量保持不变，均匀沉降在固定区域内；按最不利排放情况的影响进行考虑。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②预测评价因子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根据工程分析及环境影响识别结果，本次选取氟化物进行影响预测。</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③预测方法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单位质量土壤中某种物质的增量可用下式计算：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             </w:t>
      </w:r>
      <w:r>
        <w:rPr>
          <w:rFonts w:hint="eastAsia" w:ascii="Times New Roman" w:hAnsiTheme="minorEastAsia" w:eastAsiaTheme="minorEastAsia"/>
          <w:color w:val="000000" w:themeColor="text1"/>
          <w:sz w:val="24"/>
          <w14:textFill>
            <w14:solidFill>
              <w14:schemeClr w14:val="tx1"/>
            </w14:solidFill>
          </w14:textFill>
        </w:rPr>
        <w:drawing>
          <wp:inline distT="0" distB="0" distL="114300" distR="114300">
            <wp:extent cx="2209800" cy="219075"/>
            <wp:effectExtent l="0" t="0" r="0" b="9525"/>
            <wp:docPr id="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pic:cNvPicPr>
                      <a:picLocks noChangeAspect="1"/>
                    </pic:cNvPicPr>
                  </pic:nvPicPr>
                  <pic:blipFill>
                    <a:blip r:embed="rId38"/>
                    <a:stretch>
                      <a:fillRect/>
                    </a:stretch>
                  </pic:blipFill>
                  <pic:spPr>
                    <a:xfrm>
                      <a:off x="0" y="0"/>
                      <a:ext cx="2209800" cy="219075"/>
                    </a:xfrm>
                    <a:prstGeom prst="rect">
                      <a:avLst/>
                    </a:prstGeom>
                    <a:noFill/>
                    <a:ln>
                      <a:noFill/>
                    </a:ln>
                  </pic:spPr>
                </pic:pic>
              </a:graphicData>
            </a:graphic>
          </wp:inline>
        </w:drawing>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式中：</w:t>
      </w:r>
      <w:r>
        <w:rPr>
          <w:rFonts w:ascii="Times New Roman" w:hAnsiTheme="minorEastAsia" w:eastAsiaTheme="minorEastAsia"/>
          <w:color w:val="000000" w:themeColor="text1"/>
          <w:sz w:val="24"/>
          <w14:textFill>
            <w14:solidFill>
              <w14:schemeClr w14:val="tx1"/>
            </w14:solidFill>
          </w14:textFill>
        </w:rPr>
        <w:t>ΔS——</w:t>
      </w:r>
      <w:r>
        <w:rPr>
          <w:rFonts w:hint="eastAsia" w:ascii="Times New Roman" w:hAnsiTheme="minorEastAsia" w:eastAsiaTheme="minorEastAsia"/>
          <w:color w:val="000000" w:themeColor="text1"/>
          <w:sz w:val="24"/>
          <w14:textFill>
            <w14:solidFill>
              <w14:schemeClr w14:val="tx1"/>
            </w14:solidFill>
          </w14:textFill>
        </w:rPr>
        <w:t>单位质量表层土壤中某种物质的增量，</w:t>
      </w:r>
      <w:r>
        <w:rPr>
          <w:rFonts w:ascii="Times New Roman" w:hAnsiTheme="minorEastAsia" w:eastAsiaTheme="minorEastAsia"/>
          <w:color w:val="000000" w:themeColor="text1"/>
          <w:sz w:val="24"/>
          <w14:textFill>
            <w14:solidFill>
              <w14:schemeClr w14:val="tx1"/>
            </w14:solidFill>
          </w14:textFill>
        </w:rPr>
        <w:t>mg/kg</w:t>
      </w:r>
      <w:r>
        <w:rPr>
          <w:rFonts w:hint="eastAsia" w:ascii="Times New Roman" w:hAnsiTheme="minorEastAsia" w:eastAsiaTheme="minorEastAsia"/>
          <w:color w:val="000000" w:themeColor="text1"/>
          <w:sz w:val="24"/>
          <w14:textFill>
            <w14:solidFill>
              <w14:schemeClr w14:val="tx1"/>
            </w14:solidFill>
          </w14:textFill>
        </w:rPr>
        <w:t xml:space="preserve">；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IS ——</w:t>
      </w:r>
      <w:r>
        <w:rPr>
          <w:rFonts w:hint="eastAsia" w:ascii="Times New Roman" w:hAnsiTheme="minorEastAsia" w:eastAsiaTheme="minorEastAsia"/>
          <w:color w:val="000000" w:themeColor="text1"/>
          <w:sz w:val="24"/>
          <w14:textFill>
            <w14:solidFill>
              <w14:schemeClr w14:val="tx1"/>
            </w14:solidFill>
          </w14:textFill>
        </w:rPr>
        <w:t>预测评价范围内单位年份表层土壤中某种物质的输入量，</w:t>
      </w:r>
      <w:r>
        <w:rPr>
          <w:rFonts w:ascii="Times New Roman" w:hAnsiTheme="minorEastAsia" w:eastAsiaTheme="minorEastAsia"/>
          <w:color w:val="000000" w:themeColor="text1"/>
          <w:sz w:val="24"/>
          <w14:textFill>
            <w14:solidFill>
              <w14:schemeClr w14:val="tx1"/>
            </w14:solidFill>
          </w14:textFill>
        </w:rPr>
        <w:t>mg</w:t>
      </w:r>
      <w:r>
        <w:rPr>
          <w:rFonts w:hint="eastAsia" w:ascii="Times New Roman" w:hAnsiTheme="minorEastAsia" w:eastAsiaTheme="minorEastAsia"/>
          <w:color w:val="000000" w:themeColor="text1"/>
          <w:sz w:val="24"/>
          <w14:textFill>
            <w14:solidFill>
              <w14:schemeClr w14:val="tx1"/>
            </w14:solidFill>
          </w14:textFill>
        </w:rPr>
        <w:t xml:space="preserve">；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LS——预测评价范围内单位年份表层土壤中某种物质经淋溶排出的量，mg；</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 xml:space="preserve">RS——预测评价范围内单位年份表层土壤中某种物质经径流排出的量，mg；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ρb——表层土壤容重，kg/m</w:t>
      </w:r>
      <w:r>
        <w:rPr>
          <w:rFonts w:ascii="Times New Roman" w:hAnsiTheme="minorEastAsia"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，取 1.33×10</w:t>
      </w:r>
      <w:r>
        <w:rPr>
          <w:rFonts w:ascii="Times New Roman" w:hAnsiTheme="minorEastAsia"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 xml:space="preserve"> kg/m</w:t>
      </w:r>
      <w:r>
        <w:rPr>
          <w:rFonts w:ascii="Times New Roman" w:hAnsiTheme="minorEastAsia"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 xml:space="preserve">（北京地区重金属在土壤中的纵向分布和迁移，《环境科学学报》，1985年，夏增禄）；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A——预测评价范围，m</w:t>
      </w:r>
      <w:r>
        <w:rPr>
          <w:rFonts w:ascii="Times New Roman" w:hAnsiTheme="minorEastAsia" w:eastAsiaTheme="minorEastAsia"/>
          <w:color w:val="000000" w:themeColor="text1"/>
          <w:sz w:val="24"/>
          <w:vertAlign w:val="superscript"/>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，本项目的预测评价范围为0.</w:t>
      </w:r>
      <w:r>
        <w:rPr>
          <w:rFonts w:hint="eastAsia" w:ascii="Times New Roman" w:hAnsiTheme="minorEastAsia" w:eastAsiaTheme="minorEastAsia"/>
          <w:color w:val="000000" w:themeColor="text1"/>
          <w:sz w:val="24"/>
          <w14:textFill>
            <w14:solidFill>
              <w14:schemeClr w14:val="tx1"/>
            </w14:solidFill>
          </w14:textFill>
        </w:rPr>
        <w:t>138</w:t>
      </w:r>
      <w:r>
        <w:rPr>
          <w:rFonts w:ascii="Times New Roman" w:hAnsiTheme="minorEastAsia" w:eastAsiaTheme="minorEastAsia"/>
          <w:color w:val="000000" w:themeColor="text1"/>
          <w:sz w:val="24"/>
          <w14:textFill>
            <w14:solidFill>
              <w14:schemeClr w14:val="tx1"/>
            </w14:solidFill>
          </w14:textFill>
        </w:rPr>
        <w:t>km</w:t>
      </w:r>
      <w:r>
        <w:rPr>
          <w:rFonts w:ascii="Times New Roman" w:hAnsiTheme="minorEastAsia" w:eastAsiaTheme="minorEastAsia"/>
          <w:color w:val="000000" w:themeColor="text1"/>
          <w:sz w:val="24"/>
          <w:vertAlign w:val="superscript"/>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（即土壤调查评价范围，含厂内）；</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 xml:space="preserve">D——表层土壤深度，一般取0.2m，可根据实际情况适当调整；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 xml:space="preserve">n——持续年份，30a。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根据土壤导则附录E，项目涉及大气沉降影响的，可不考虑输出量，因此上述公式可简化为如下：</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                           </w:t>
      </w:r>
      <w:r>
        <w:rPr>
          <w:rFonts w:hint="eastAsia" w:ascii="Times New Roman" w:hAnsiTheme="minorEastAsia" w:eastAsiaTheme="minorEastAsia"/>
          <w:color w:val="000000" w:themeColor="text1"/>
          <w:sz w:val="24"/>
          <w14:textFill>
            <w14:solidFill>
              <w14:schemeClr w14:val="tx1"/>
            </w14:solidFill>
          </w14:textFill>
        </w:rPr>
        <w:drawing>
          <wp:inline distT="0" distB="0" distL="114300" distR="114300">
            <wp:extent cx="1619250" cy="257175"/>
            <wp:effectExtent l="0" t="0" r="0" b="9525"/>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39"/>
                    <a:stretch>
                      <a:fillRect/>
                    </a:stretch>
                  </pic:blipFill>
                  <pic:spPr>
                    <a:xfrm>
                      <a:off x="0" y="0"/>
                      <a:ext cx="1619250" cy="257175"/>
                    </a:xfrm>
                    <a:prstGeom prst="rect">
                      <a:avLst/>
                    </a:prstGeom>
                    <a:noFill/>
                    <a:ln>
                      <a:noFill/>
                    </a:ln>
                  </pic:spPr>
                </pic:pic>
              </a:graphicData>
            </a:graphic>
          </wp:inline>
        </w:drawing>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单位质量土壤中某种物质的预测值可根据其增量叠加现状值进行计算：</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drawing>
          <wp:anchor distT="0" distB="0" distL="114300" distR="114300" simplePos="0" relativeHeight="251692032" behindDoc="0" locked="0" layoutInCell="1" allowOverlap="1">
            <wp:simplePos x="0" y="0"/>
            <wp:positionH relativeFrom="column">
              <wp:posOffset>2571750</wp:posOffset>
            </wp:positionH>
            <wp:positionV relativeFrom="paragraph">
              <wp:posOffset>64135</wp:posOffset>
            </wp:positionV>
            <wp:extent cx="904875" cy="285750"/>
            <wp:effectExtent l="0" t="0" r="9525" b="0"/>
            <wp:wrapNone/>
            <wp:docPr id="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7"/>
                    <pic:cNvPicPr>
                      <a:picLocks noChangeAspect="1"/>
                    </pic:cNvPicPr>
                  </pic:nvPicPr>
                  <pic:blipFill>
                    <a:blip r:embed="rId40"/>
                    <a:stretch>
                      <a:fillRect/>
                    </a:stretch>
                  </pic:blipFill>
                  <pic:spPr>
                    <a:xfrm>
                      <a:off x="0" y="0"/>
                      <a:ext cx="904875" cy="285750"/>
                    </a:xfrm>
                    <a:prstGeom prst="rect">
                      <a:avLst/>
                    </a:prstGeom>
                    <a:noFill/>
                    <a:ln>
                      <a:noFill/>
                    </a:ln>
                  </pic:spPr>
                </pic:pic>
              </a:graphicData>
            </a:graphic>
          </wp:anchor>
        </w:drawing>
      </w:r>
      <w:r>
        <w:rPr>
          <w:rFonts w:hint="eastAsia" w:ascii="Times New Roman" w:hAnsiTheme="minorEastAsia" w:eastAsiaTheme="minorEastAsia"/>
          <w:color w:val="000000" w:themeColor="text1"/>
          <w:sz w:val="24"/>
          <w14:textFill>
            <w14:solidFill>
              <w14:schemeClr w14:val="tx1"/>
            </w14:solidFill>
          </w14:textFill>
        </w:rPr>
        <w:t xml:space="preserve">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式中：Sb——单位质量表层土壤中某种物质的现状值，mg/kg； </w:t>
      </w:r>
    </w:p>
    <w:p>
      <w:pPr>
        <w:adjustRightInd w:val="0"/>
        <w:snapToGrid w:val="0"/>
        <w:spacing w:line="520" w:lineRule="exact"/>
        <w:ind w:firstLine="1200" w:firstLineChars="5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S——单位质量表层土壤中某种物质的预测值，mg/kg。</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④沉降量</w:t>
      </w:r>
      <w:r>
        <w:rPr>
          <w:rFonts w:ascii="Times New Roman" w:hAnsiTheme="minorEastAsia" w:eastAsiaTheme="minorEastAsia"/>
          <w:color w:val="000000" w:themeColor="text1"/>
          <w:sz w:val="24"/>
          <w14:textFill>
            <w14:solidFill>
              <w14:schemeClr w14:val="tx1"/>
            </w14:solidFill>
          </w14:textFill>
        </w:rPr>
        <w:t>Is</w:t>
      </w:r>
      <w:r>
        <w:rPr>
          <w:rFonts w:hint="eastAsia" w:ascii="Times New Roman" w:hAnsiTheme="minorEastAsia" w:eastAsiaTheme="minorEastAsia"/>
          <w:color w:val="000000" w:themeColor="text1"/>
          <w:sz w:val="24"/>
          <w14:textFill>
            <w14:solidFill>
              <w14:schemeClr w14:val="tx1"/>
            </w14:solidFill>
          </w14:textFill>
        </w:rPr>
        <w:t>的计算方法</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氟化物主要通过干湿沉降影响土壤环境，其中干沉降是指在重力作用或与其它物体碰撞后发生的沉降，湿沉降是由于雨、雪等降水冲刷产生的沉降。</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a.干沉降的计算</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干沉降的计算公式如下：</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drawing>
          <wp:anchor distT="0" distB="0" distL="114300" distR="114300" simplePos="0" relativeHeight="251691008" behindDoc="0" locked="0" layoutInCell="1" allowOverlap="1">
            <wp:simplePos x="0" y="0"/>
            <wp:positionH relativeFrom="column">
              <wp:posOffset>1971675</wp:posOffset>
            </wp:positionH>
            <wp:positionV relativeFrom="paragraph">
              <wp:posOffset>99060</wp:posOffset>
            </wp:positionV>
            <wp:extent cx="1685925" cy="400050"/>
            <wp:effectExtent l="0" t="0" r="9525" b="0"/>
            <wp:wrapNone/>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pic:cNvPicPr>
                  </pic:nvPicPr>
                  <pic:blipFill>
                    <a:blip r:embed="rId41"/>
                    <a:stretch>
                      <a:fillRect/>
                    </a:stretch>
                  </pic:blipFill>
                  <pic:spPr>
                    <a:xfrm>
                      <a:off x="0" y="0"/>
                      <a:ext cx="1685925" cy="400050"/>
                    </a:xfrm>
                    <a:prstGeom prst="rect">
                      <a:avLst/>
                    </a:prstGeom>
                    <a:noFill/>
                    <a:ln>
                      <a:noFill/>
                    </a:ln>
                  </pic:spPr>
                </pic:pic>
              </a:graphicData>
            </a:graphic>
          </wp:anchor>
        </w:drawing>
      </w:r>
    </w:p>
    <w:p>
      <w:pPr>
        <w:adjustRightInd w:val="0"/>
        <w:snapToGrid w:val="0"/>
        <w:spacing w:line="520" w:lineRule="exact"/>
        <w:rPr>
          <w:rFonts w:ascii="Times New Roman" w:hAnsiTheme="minorEastAsia" w:eastAsiaTheme="minorEastAsia"/>
          <w:color w:val="000000" w:themeColor="text1"/>
          <w:sz w:val="24"/>
          <w14:textFill>
            <w14:solidFill>
              <w14:schemeClr w14:val="tx1"/>
            </w14:solidFill>
          </w14:textFill>
        </w:rPr>
      </w:pP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式中：</w:t>
      </w:r>
      <w:r>
        <w:rPr>
          <w:rFonts w:ascii="Times New Roman" w:hAnsiTheme="minorEastAsia" w:eastAsiaTheme="minorEastAsia"/>
          <w:color w:val="000000" w:themeColor="text1"/>
          <w:sz w:val="24"/>
          <w14:textFill>
            <w14:solidFill>
              <w14:schemeClr w14:val="tx1"/>
            </w14:solidFill>
          </w14:textFill>
        </w:rPr>
        <w:t>C—</w:t>
      </w:r>
      <w:r>
        <w:rPr>
          <w:rFonts w:hint="eastAsia" w:ascii="Times New Roman" w:hAnsiTheme="minorEastAsia" w:eastAsiaTheme="minorEastAsia"/>
          <w:color w:val="000000" w:themeColor="text1"/>
          <w:sz w:val="24"/>
          <w:lang w:val="en-US" w:eastAsia="zh-CN"/>
          <w14:textFill>
            <w14:solidFill>
              <w14:schemeClr w14:val="tx1"/>
            </w14:solidFill>
          </w14:textFill>
        </w:rPr>
        <w:t>氟化物</w:t>
      </w:r>
      <w:r>
        <w:rPr>
          <w:rFonts w:hint="eastAsia" w:ascii="Times New Roman" w:hAnsiTheme="minorEastAsia" w:eastAsiaTheme="minorEastAsia"/>
          <w:color w:val="000000" w:themeColor="text1"/>
          <w:sz w:val="24"/>
          <w14:textFill>
            <w14:solidFill>
              <w14:schemeClr w14:val="tx1"/>
            </w14:solidFill>
          </w14:textFill>
        </w:rPr>
        <w:t>的最大年平均落地浓度，</w:t>
      </w:r>
      <w:r>
        <w:rPr>
          <w:rFonts w:ascii="Times New Roman" w:hAnsiTheme="minorEastAsia" w:eastAsiaTheme="minorEastAsia"/>
          <w:color w:val="000000" w:themeColor="text1"/>
          <w:sz w:val="24"/>
          <w14:textFill>
            <w14:solidFill>
              <w14:schemeClr w14:val="tx1"/>
            </w14:solidFill>
          </w14:textFill>
        </w:rPr>
        <w:t>mg/m</w:t>
      </w:r>
      <w:r>
        <w:rPr>
          <w:rFonts w:ascii="Times New Roman" w:hAnsiTheme="minorEastAsia" w:eastAsiaTheme="minorEastAsia"/>
          <w:color w:val="000000" w:themeColor="text1"/>
          <w:sz w:val="24"/>
          <w:vertAlign w:val="superscript"/>
          <w14:textFill>
            <w14:solidFill>
              <w14:schemeClr w14:val="tx1"/>
            </w14:solidFill>
          </w14:textFill>
        </w:rPr>
        <w:t>3</w:t>
      </w:r>
      <w:r>
        <w:rPr>
          <w:rFonts w:hint="eastAsia" w:ascii="Times New Roman" w:hAnsiTheme="minorEastAsia" w:eastAsiaTheme="minorEastAsia"/>
          <w:color w:val="000000" w:themeColor="text1"/>
          <w:sz w:val="24"/>
          <w14:textFill>
            <w14:solidFill>
              <w14:schemeClr w14:val="tx1"/>
            </w14:solidFill>
          </w14:textFill>
        </w:rPr>
        <w:t>，根据大气影响预测结果，</w:t>
      </w:r>
      <w:r>
        <w:rPr>
          <w:rFonts w:hint="eastAsia" w:ascii="Times New Roman" w:hAnsiTheme="minorEastAsia" w:eastAsiaTheme="minorEastAsia"/>
          <w:color w:val="000000" w:themeColor="text1"/>
          <w:sz w:val="24"/>
          <w:lang w:val="en-US" w:eastAsia="zh-CN"/>
          <w14:textFill>
            <w14:solidFill>
              <w14:schemeClr w14:val="tx1"/>
            </w14:solidFill>
          </w14:textFill>
        </w:rPr>
        <w:t>氟化物</w:t>
      </w:r>
      <w:r>
        <w:rPr>
          <w:rFonts w:hint="eastAsia" w:ascii="Times New Roman" w:hAnsiTheme="minorEastAsia" w:eastAsiaTheme="minorEastAsia"/>
          <w:color w:val="000000" w:themeColor="text1"/>
          <w:sz w:val="24"/>
          <w14:textFill>
            <w14:solidFill>
              <w14:schemeClr w14:val="tx1"/>
            </w14:solidFill>
          </w14:textFill>
        </w:rPr>
        <w:t xml:space="preserve">年平均最大落地浓度为 </w:t>
      </w:r>
      <w:r>
        <w:rPr>
          <w:rFonts w:ascii="Times New Roman" w:hAnsiTheme="minorEastAsia" w:eastAsiaTheme="minorEastAsia"/>
          <w:color w:val="000000" w:themeColor="text1"/>
          <w:sz w:val="24"/>
          <w14:textFill>
            <w14:solidFill>
              <w14:schemeClr w14:val="tx1"/>
            </w14:solidFill>
          </w14:textFill>
        </w:rPr>
        <w:t>0.000</w:t>
      </w:r>
      <w:r>
        <w:rPr>
          <w:rFonts w:hint="eastAsia" w:ascii="Times New Roman" w:hAnsiTheme="minorEastAsia" w:eastAsiaTheme="minorEastAsia"/>
          <w:color w:val="000000" w:themeColor="text1"/>
          <w:sz w:val="24"/>
          <w14:textFill>
            <w14:solidFill>
              <w14:schemeClr w14:val="tx1"/>
            </w14:solidFill>
          </w14:textFill>
        </w:rPr>
        <w:t>2701</w:t>
      </w:r>
      <w:r>
        <w:rPr>
          <w:rFonts w:ascii="Times New Roman" w:hAnsiTheme="minorEastAsia" w:eastAsiaTheme="minorEastAsia"/>
          <w:color w:val="000000" w:themeColor="text1"/>
          <w:sz w:val="24"/>
          <w14:textFill>
            <w14:solidFill>
              <w14:schemeClr w14:val="tx1"/>
            </w14:solidFill>
          </w14:textFill>
        </w:rPr>
        <w:t>mg/m</w:t>
      </w:r>
      <w:r>
        <w:rPr>
          <w:rFonts w:ascii="Times New Roman" w:hAnsiTheme="minorEastAsia" w:eastAsiaTheme="minorEastAsia"/>
          <w:color w:val="000000" w:themeColor="text1"/>
          <w:sz w:val="24"/>
          <w:vertAlign w:val="superscript"/>
          <w14:textFill>
            <w14:solidFill>
              <w14:schemeClr w14:val="tx1"/>
            </w14:solidFill>
          </w14:textFill>
        </w:rPr>
        <w:t>3</w:t>
      </w:r>
      <w:r>
        <w:rPr>
          <w:rFonts w:hint="eastAsia" w:ascii="Times New Roman" w:hAnsiTheme="minorEastAsia" w:eastAsiaTheme="minorEastAsia"/>
          <w:color w:val="000000" w:themeColor="text1"/>
          <w:sz w:val="24"/>
          <w14:textFill>
            <w14:solidFill>
              <w14:schemeClr w14:val="tx1"/>
            </w14:solidFill>
          </w14:textFill>
        </w:rPr>
        <w:t xml:space="preserve">；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V</w:t>
      </w:r>
      <w:r>
        <w:rPr>
          <w:rFonts w:hint="eastAsia" w:ascii="Times New Roman" w:hAnsiTheme="minorEastAsia" w:eastAsiaTheme="minorEastAsia"/>
          <w:color w:val="000000" w:themeColor="text1"/>
          <w:sz w:val="24"/>
          <w14:textFill>
            <w14:solidFill>
              <w14:schemeClr w14:val="tx1"/>
            </w14:solidFill>
          </w14:textFill>
        </w:rPr>
        <w:t>—污染物沉降速率，</w:t>
      </w:r>
      <w:r>
        <w:rPr>
          <w:rFonts w:ascii="Times New Roman" w:hAnsiTheme="minorEastAsia" w:eastAsiaTheme="minorEastAsia"/>
          <w:color w:val="000000" w:themeColor="text1"/>
          <w:sz w:val="24"/>
          <w14:textFill>
            <w14:solidFill>
              <w14:schemeClr w14:val="tx1"/>
            </w14:solidFill>
          </w14:textFill>
        </w:rPr>
        <w:t>m/s</w:t>
      </w:r>
      <w:r>
        <w:rPr>
          <w:rFonts w:hint="eastAsia" w:ascii="Times New Roman" w:hAnsiTheme="minorEastAsia" w:eastAsiaTheme="minorEastAsia"/>
          <w:color w:val="000000" w:themeColor="text1"/>
          <w:sz w:val="24"/>
          <w14:textFill>
            <w14:solidFill>
              <w14:schemeClr w14:val="tx1"/>
            </w14:solidFill>
          </w14:textFill>
        </w:rPr>
        <w:t xml:space="preserve">；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T</w:t>
      </w:r>
      <w:r>
        <w:rPr>
          <w:rFonts w:hint="eastAsia" w:ascii="Times New Roman" w:hAnsiTheme="minorEastAsia" w:eastAsiaTheme="minorEastAsia"/>
          <w:color w:val="000000" w:themeColor="text1"/>
          <w:sz w:val="24"/>
          <w14:textFill>
            <w14:solidFill>
              <w14:schemeClr w14:val="tx1"/>
            </w14:solidFill>
          </w14:textFill>
        </w:rPr>
        <w:t>—沉降时间，</w:t>
      </w:r>
      <w:r>
        <w:rPr>
          <w:rFonts w:ascii="Times New Roman" w:hAnsiTheme="minorEastAsia" w:eastAsiaTheme="minorEastAsia"/>
          <w:color w:val="000000" w:themeColor="text1"/>
          <w:sz w:val="24"/>
          <w14:textFill>
            <w14:solidFill>
              <w14:schemeClr w14:val="tx1"/>
            </w14:solidFill>
          </w14:textFill>
        </w:rPr>
        <w:t>s</w:t>
      </w:r>
      <w:r>
        <w:rPr>
          <w:rFonts w:hint="eastAsia" w:ascii="Times New Roman" w:hAnsiTheme="minorEastAsia" w:eastAsiaTheme="minorEastAsia"/>
          <w:color w:val="000000" w:themeColor="text1"/>
          <w:sz w:val="24"/>
          <w14:textFill>
            <w14:solidFill>
              <w14:schemeClr w14:val="tx1"/>
            </w14:solidFill>
          </w14:textFill>
        </w:rPr>
        <w:t xml:space="preserve">；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A</w:t>
      </w:r>
      <w:r>
        <w:rPr>
          <w:rFonts w:hint="eastAsia" w:ascii="Times New Roman" w:hAnsiTheme="minorEastAsia" w:eastAsiaTheme="minorEastAsia"/>
          <w:color w:val="000000" w:themeColor="text1"/>
          <w:sz w:val="24"/>
          <w14:textFill>
            <w14:solidFill>
              <w14:schemeClr w14:val="tx1"/>
            </w14:solidFill>
          </w14:textFill>
        </w:rPr>
        <w:t>—评价区面积，</w:t>
      </w:r>
      <w:r>
        <w:rPr>
          <w:rFonts w:ascii="Times New Roman" w:hAnsiTheme="minorEastAsia" w:eastAsiaTheme="minorEastAsia"/>
          <w:color w:val="000000" w:themeColor="text1"/>
          <w:sz w:val="24"/>
          <w14:textFill>
            <w14:solidFill>
              <w14:schemeClr w14:val="tx1"/>
            </w14:solidFill>
          </w14:textFill>
        </w:rPr>
        <w:t>m</w:t>
      </w:r>
      <w:r>
        <w:rPr>
          <w:rFonts w:ascii="Times New Roman" w:hAnsiTheme="minorEastAsia" w:eastAsiaTheme="minorEastAsia"/>
          <w:color w:val="000000" w:themeColor="text1"/>
          <w:sz w:val="24"/>
          <w:vertAlign w:val="superscript"/>
          <w14:textFill>
            <w14:solidFill>
              <w14:schemeClr w14:val="tx1"/>
            </w14:solidFill>
          </w14:textFill>
        </w:rPr>
        <w:t>2</w:t>
      </w:r>
      <w:r>
        <w:rPr>
          <w:rFonts w:hint="eastAsia" w:ascii="Times New Roman" w:hAnsiTheme="minorEastAsia" w:eastAsiaTheme="minorEastAsia"/>
          <w:color w:val="000000" w:themeColor="text1"/>
          <w:sz w:val="24"/>
          <w14:textFill>
            <w14:solidFill>
              <w14:schemeClr w14:val="tx1"/>
            </w14:solidFill>
          </w14:textFill>
        </w:rPr>
        <w:t xml:space="preserve">。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干沉降的沉降速度</w:t>
      </w:r>
      <w:r>
        <w:rPr>
          <w:rFonts w:ascii="Times New Roman" w:hAnsiTheme="minorEastAsia" w:eastAsiaTheme="minorEastAsia"/>
          <w:color w:val="000000" w:themeColor="text1"/>
          <w:sz w:val="24"/>
          <w14:textFill>
            <w14:solidFill>
              <w14:schemeClr w14:val="tx1"/>
            </w14:solidFill>
          </w14:textFill>
        </w:rPr>
        <w:t>V</w:t>
      </w:r>
      <w:r>
        <w:rPr>
          <w:rFonts w:hint="eastAsia" w:ascii="Times New Roman" w:hAnsiTheme="minorEastAsia" w:eastAsiaTheme="minorEastAsia"/>
          <w:color w:val="000000" w:themeColor="text1"/>
          <w:sz w:val="24"/>
          <w14:textFill>
            <w14:solidFill>
              <w14:schemeClr w14:val="tx1"/>
            </w14:solidFill>
          </w14:textFill>
        </w:rPr>
        <w:t>应用斯托克斯定律（《环境化学》，</w:t>
      </w:r>
      <w:r>
        <w:rPr>
          <w:rFonts w:ascii="Times New Roman" w:hAnsiTheme="minorEastAsia" w:eastAsiaTheme="minorEastAsia"/>
          <w:color w:val="000000" w:themeColor="text1"/>
          <w:sz w:val="24"/>
          <w14:textFill>
            <w14:solidFill>
              <w14:schemeClr w14:val="tx1"/>
            </w14:solidFill>
          </w14:textFill>
        </w:rPr>
        <w:t>1993</w:t>
      </w:r>
      <w:r>
        <w:rPr>
          <w:rFonts w:hint="eastAsia" w:ascii="Times New Roman" w:hAnsiTheme="minorEastAsia" w:eastAsiaTheme="minorEastAsia"/>
          <w:color w:val="000000" w:themeColor="text1"/>
          <w:sz w:val="24"/>
          <w14:textFill>
            <w14:solidFill>
              <w14:schemeClr w14:val="tx1"/>
            </w14:solidFill>
          </w14:textFill>
        </w:rPr>
        <w:t>年，王晓蓉）计算：</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式中：</w:t>
      </w:r>
      <w:r>
        <w:rPr>
          <w:rFonts w:ascii="Times New Roman" w:hAnsiTheme="minorEastAsia" w:eastAsiaTheme="minorEastAsia"/>
          <w:color w:val="000000" w:themeColor="text1"/>
          <w:sz w:val="24"/>
          <w14:textFill>
            <w14:solidFill>
              <w14:schemeClr w14:val="tx1"/>
            </w14:solidFill>
          </w14:textFill>
        </w:rPr>
        <w:t>g</w:t>
      </w:r>
      <w:r>
        <w:rPr>
          <w:rFonts w:hint="eastAsia" w:ascii="Times New Roman" w:hAnsiTheme="minorEastAsia" w:eastAsiaTheme="minorEastAsia"/>
          <w:color w:val="000000" w:themeColor="text1"/>
          <w:sz w:val="24"/>
          <w14:textFill>
            <w14:solidFill>
              <w14:schemeClr w14:val="tx1"/>
            </w14:solidFill>
          </w14:textFill>
        </w:rPr>
        <w:t>—重力加速度，</w:t>
      </w:r>
      <w:r>
        <w:rPr>
          <w:rFonts w:ascii="Times New Roman" w:hAnsiTheme="minorEastAsia" w:eastAsiaTheme="minorEastAsia"/>
          <w:color w:val="000000" w:themeColor="text1"/>
          <w:sz w:val="24"/>
          <w14:textFill>
            <w14:solidFill>
              <w14:schemeClr w14:val="tx1"/>
            </w14:solidFill>
          </w14:textFill>
        </w:rPr>
        <w:t>m/s</w:t>
      </w:r>
      <w:r>
        <w:rPr>
          <w:rFonts w:ascii="Times New Roman" w:hAnsiTheme="minorEastAsia" w:eastAsiaTheme="minorEastAsia"/>
          <w:color w:val="000000" w:themeColor="text1"/>
          <w:sz w:val="24"/>
          <w:vertAlign w:val="superscript"/>
          <w14:textFill>
            <w14:solidFill>
              <w14:schemeClr w14:val="tx1"/>
            </w14:solidFill>
          </w14:textFill>
        </w:rPr>
        <w:t>2</w:t>
      </w:r>
      <w:r>
        <w:rPr>
          <w:rFonts w:hint="eastAsia" w:ascii="Times New Roman" w:hAnsiTheme="minorEastAsia" w:eastAsiaTheme="minorEastAsia"/>
          <w:color w:val="000000" w:themeColor="text1"/>
          <w:sz w:val="24"/>
          <w14:textFill>
            <w14:solidFill>
              <w14:schemeClr w14:val="tx1"/>
            </w14:solidFill>
          </w14:textFill>
        </w:rPr>
        <w:t xml:space="preserve">； </w:t>
      </w:r>
      <w:r>
        <w:rPr>
          <w:rFonts w:hint="eastAsia" w:ascii="Times New Roman" w:hAnsiTheme="minorEastAsia" w:eastAsiaTheme="minorEastAsia"/>
          <w:color w:val="000000" w:themeColor="text1"/>
          <w:sz w:val="24"/>
          <w14:textFill>
            <w14:solidFill>
              <w14:schemeClr w14:val="tx1"/>
            </w14:solidFill>
          </w14:textFill>
        </w:rPr>
        <w:drawing>
          <wp:anchor distT="0" distB="0" distL="114300" distR="114300" simplePos="0" relativeHeight="251689984" behindDoc="0" locked="0" layoutInCell="1" allowOverlap="1">
            <wp:simplePos x="0" y="0"/>
            <wp:positionH relativeFrom="column">
              <wp:posOffset>2402840</wp:posOffset>
            </wp:positionH>
            <wp:positionV relativeFrom="paragraph">
              <wp:posOffset>-345440</wp:posOffset>
            </wp:positionV>
            <wp:extent cx="1457325" cy="609600"/>
            <wp:effectExtent l="0" t="0" r="9525" b="0"/>
            <wp:wrapNone/>
            <wp:docPr id="2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9"/>
                    <pic:cNvPicPr>
                      <a:picLocks noChangeAspect="1"/>
                    </pic:cNvPicPr>
                  </pic:nvPicPr>
                  <pic:blipFill>
                    <a:blip r:embed="rId42"/>
                    <a:stretch>
                      <a:fillRect/>
                    </a:stretch>
                  </pic:blipFill>
                  <pic:spPr>
                    <a:xfrm>
                      <a:off x="0" y="0"/>
                      <a:ext cx="1457325" cy="609600"/>
                    </a:xfrm>
                    <a:prstGeom prst="rect">
                      <a:avLst/>
                    </a:prstGeom>
                    <a:noFill/>
                    <a:ln>
                      <a:noFill/>
                    </a:ln>
                  </pic:spPr>
                </pic:pic>
              </a:graphicData>
            </a:graphic>
          </wp:anchor>
        </w:drawing>
      </w:r>
    </w:p>
    <w:p>
      <w:pPr>
        <w:adjustRightInd w:val="0"/>
        <w:snapToGrid w:val="0"/>
        <w:spacing w:line="520" w:lineRule="exact"/>
        <w:ind w:firstLine="1200" w:firstLineChars="5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d—粒子直径，取10μm；</w:t>
      </w:r>
    </w:p>
    <w:p>
      <w:pPr>
        <w:adjustRightInd w:val="0"/>
        <w:snapToGrid w:val="0"/>
        <w:spacing w:line="520" w:lineRule="exact"/>
        <w:ind w:firstLine="1200" w:firstLineChars="5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ρ1、ρ2—颗粒密度和空气密度，ρ1取2.3×10</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kg/m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，ρ2取1.2kg/m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 xml:space="preserve">； </w:t>
      </w:r>
    </w:p>
    <w:p>
      <w:pPr>
        <w:adjustRightInd w:val="0"/>
        <w:snapToGrid w:val="0"/>
        <w:spacing w:line="520" w:lineRule="exact"/>
        <w:ind w:firstLine="1200" w:firstLineChars="500"/>
        <w:rPr>
          <w:rFonts w:ascii="Times New Roman" w:hAnsiTheme="minorEastAsia"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η—空气的粘度，Pa·s，1.8×10</w:t>
      </w:r>
      <w:r>
        <w:rPr>
          <w:rFonts w:ascii="Times New Roman" w:hAnsi="Times New Roman" w:eastAsiaTheme="minorEastAsia"/>
          <w:color w:val="000000" w:themeColor="text1"/>
          <w:sz w:val="24"/>
          <w:vertAlign w:val="superscript"/>
          <w14:textFill>
            <w14:solidFill>
              <w14:schemeClr w14:val="tx1"/>
            </w14:solidFill>
          </w14:textFill>
        </w:rPr>
        <w:t>-5</w:t>
      </w:r>
      <w:r>
        <w:rPr>
          <w:rFonts w:ascii="Times New Roman" w:hAnsi="Times New Roman" w:eastAsiaTheme="minorEastAsia"/>
          <w:color w:val="000000" w:themeColor="text1"/>
          <w:sz w:val="24"/>
          <w14:textFill>
            <w14:solidFill>
              <w14:schemeClr w14:val="tx1"/>
            </w14:solidFill>
          </w14:textFill>
        </w:rPr>
        <w:t xml:space="preserve"> Pa·s；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由上式计算可知，干沉降速度为：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V=9.8×</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10×10</w:t>
      </w:r>
      <w:r>
        <w:rPr>
          <w:rFonts w:ascii="Times New Roman" w:hAnsiTheme="minorEastAsia" w:eastAsiaTheme="minorEastAsia"/>
          <w:color w:val="000000" w:themeColor="text1"/>
          <w:sz w:val="24"/>
          <w:vertAlign w:val="superscript"/>
          <w14:textFill>
            <w14:solidFill>
              <w14:schemeClr w14:val="tx1"/>
            </w14:solidFill>
          </w14:textFill>
        </w:rPr>
        <w:t>-6</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vertAlign w:val="superscript"/>
          <w14:textFill>
            <w14:solidFill>
              <w14:schemeClr w14:val="tx1"/>
            </w14:solidFill>
          </w14:textFill>
        </w:rPr>
        <w:t>2</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2300-1.2</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(18×1.8×10</w:t>
      </w:r>
      <w:r>
        <w:rPr>
          <w:rFonts w:ascii="Times New Roman" w:hAnsiTheme="minorEastAsia" w:eastAsiaTheme="minorEastAsia"/>
          <w:color w:val="000000" w:themeColor="text1"/>
          <w:sz w:val="24"/>
          <w:vertAlign w:val="superscript"/>
          <w14:textFill>
            <w14:solidFill>
              <w14:schemeClr w14:val="tx1"/>
            </w14:solidFill>
          </w14:textFill>
        </w:rPr>
        <w:t>-5</w:t>
      </w:r>
      <w:r>
        <w:rPr>
          <w:rFonts w:ascii="Times New Roman" w:hAnsiTheme="minorEastAsia" w:eastAsiaTheme="minorEastAsia"/>
          <w:color w:val="000000" w:themeColor="text1"/>
          <w:sz w:val="24"/>
          <w14:textFill>
            <w14:solidFill>
              <w14:schemeClr w14:val="tx1"/>
            </w14:solidFill>
          </w14:textFill>
        </w:rPr>
        <w:t xml:space="preserve"> )=6.95×10</w:t>
      </w:r>
      <w:r>
        <w:rPr>
          <w:rFonts w:ascii="Times New Roman" w:hAnsiTheme="minorEastAsia"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 xml:space="preserve">m/s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则干沉降</w:t>
      </w:r>
      <w:r>
        <w:rPr>
          <w:rFonts w:ascii="Times New Roman" w:hAnsiTheme="minorEastAsia" w:eastAsiaTheme="minorEastAsia"/>
          <w:color w:val="000000" w:themeColor="text1"/>
          <w:sz w:val="24"/>
          <w14:textFill>
            <w14:solidFill>
              <w14:schemeClr w14:val="tx1"/>
            </w14:solidFill>
          </w14:textFill>
        </w:rPr>
        <w:t>1</w:t>
      </w:r>
      <w:r>
        <w:rPr>
          <w:rFonts w:hint="eastAsia" w:ascii="Times New Roman" w:hAnsiTheme="minorEastAsia" w:eastAsiaTheme="minorEastAsia"/>
          <w:color w:val="000000" w:themeColor="text1"/>
          <w:sz w:val="24"/>
          <w14:textFill>
            <w14:solidFill>
              <w14:schemeClr w14:val="tx1"/>
            </w14:solidFill>
          </w14:textFill>
        </w:rPr>
        <w:t xml:space="preserve">年输入量为：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Is</w:t>
      </w:r>
      <w:r>
        <w:rPr>
          <w:rFonts w:hint="eastAsia" w:ascii="Times New Roman" w:hAnsiTheme="minorEastAsia" w:eastAsiaTheme="minorEastAsia"/>
          <w:color w:val="000000" w:themeColor="text1"/>
          <w:sz w:val="24"/>
          <w14:textFill>
            <w14:solidFill>
              <w14:schemeClr w14:val="tx1"/>
            </w14:solidFill>
          </w14:textFill>
        </w:rPr>
        <w:t>干</w:t>
      </w:r>
      <w:r>
        <w:rPr>
          <w:rFonts w:ascii="Times New Roman" w:hAnsiTheme="minorEastAsia" w:eastAsiaTheme="minorEastAsia"/>
          <w:color w:val="000000" w:themeColor="text1"/>
          <w:sz w:val="24"/>
          <w14:textFill>
            <w14:solidFill>
              <w14:schemeClr w14:val="tx1"/>
            </w14:solidFill>
          </w14:textFill>
        </w:rPr>
        <w:t>=0.000</w:t>
      </w:r>
      <w:r>
        <w:rPr>
          <w:rFonts w:hint="eastAsia" w:ascii="Times New Roman" w:hAnsiTheme="minorEastAsia" w:eastAsiaTheme="minorEastAsia"/>
          <w:color w:val="000000" w:themeColor="text1"/>
          <w:sz w:val="24"/>
          <w14:textFill>
            <w14:solidFill>
              <w14:schemeClr w14:val="tx1"/>
            </w14:solidFill>
          </w14:textFill>
        </w:rPr>
        <w:t>271×（</w:t>
      </w:r>
      <w:r>
        <w:rPr>
          <w:rFonts w:ascii="Times New Roman" w:hAnsiTheme="minorEastAsia" w:eastAsiaTheme="minorEastAsia"/>
          <w:color w:val="000000" w:themeColor="text1"/>
          <w:sz w:val="24"/>
          <w14:textFill>
            <w14:solidFill>
              <w14:schemeClr w14:val="tx1"/>
            </w14:solidFill>
          </w14:textFill>
        </w:rPr>
        <w:t>6.95</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10</w:t>
      </w:r>
      <w:r>
        <w:rPr>
          <w:rFonts w:ascii="Times New Roman" w:hAnsiTheme="minorEastAsia" w:eastAsiaTheme="minorEastAsia"/>
          <w:color w:val="000000" w:themeColor="text1"/>
          <w:sz w:val="24"/>
          <w:vertAlign w:val="superscript"/>
          <w14:textFill>
            <w14:solidFill>
              <w14:schemeClr w14:val="tx1"/>
            </w14:solidFill>
          </w14:textFill>
        </w:rPr>
        <w:t>-3</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1</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365</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24</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3600</w:t>
      </w:r>
      <w:r>
        <w:rPr>
          <w:rFonts w:hint="eastAsia" w:ascii="Times New Roman" w:hAnsiTheme="minorEastAsia" w:eastAsiaTheme="minorEastAsia"/>
          <w:color w:val="000000" w:themeColor="text1"/>
          <w:sz w:val="24"/>
          <w14:textFill>
            <w14:solidFill>
              <w14:schemeClr w14:val="tx1"/>
            </w14:solidFill>
          </w14:textFill>
        </w:rPr>
        <w:t>）×138</w:t>
      </w:r>
      <w:r>
        <w:rPr>
          <w:rFonts w:ascii="Times New Roman" w:hAnsiTheme="minorEastAsia" w:eastAsiaTheme="minorEastAsia"/>
          <w:color w:val="000000" w:themeColor="text1"/>
          <w:sz w:val="24"/>
          <w14:textFill>
            <w14:solidFill>
              <w14:schemeClr w14:val="tx1"/>
            </w14:solidFill>
          </w14:textFill>
        </w:rPr>
        <w:t>000=</w:t>
      </w:r>
      <w:r>
        <w:rPr>
          <w:rFonts w:hint="eastAsia" w:ascii="Times New Roman" w:hAnsiTheme="minorEastAsia" w:eastAsiaTheme="minorEastAsia"/>
          <w:color w:val="000000" w:themeColor="text1"/>
          <w:sz w:val="24"/>
          <w14:textFill>
            <w14:solidFill>
              <w14:schemeClr w14:val="tx1"/>
            </w14:solidFill>
          </w14:textFill>
        </w:rPr>
        <w:t>8196714</w:t>
      </w:r>
      <w:r>
        <w:rPr>
          <w:rFonts w:ascii="Times New Roman" w:hAnsiTheme="minorEastAsia" w:eastAsiaTheme="minorEastAsia"/>
          <w:color w:val="000000" w:themeColor="text1"/>
          <w:sz w:val="24"/>
          <w14:textFill>
            <w14:solidFill>
              <w14:schemeClr w14:val="tx1"/>
            </w14:solidFill>
          </w14:textFill>
        </w:rPr>
        <w:t xml:space="preserve">.1mg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 xml:space="preserve">大气中颗粒物湿沉降约为 </w:t>
      </w:r>
      <w:r>
        <w:rPr>
          <w:rFonts w:ascii="Times New Roman" w:hAnsiTheme="minorEastAsia" w:eastAsiaTheme="minorEastAsia"/>
          <w:color w:val="000000" w:themeColor="text1"/>
          <w:sz w:val="24"/>
          <w14:textFill>
            <w14:solidFill>
              <w14:schemeClr w14:val="tx1"/>
            </w14:solidFill>
          </w14:textFill>
        </w:rPr>
        <w:t>80~90%</w:t>
      </w:r>
      <w:r>
        <w:rPr>
          <w:rFonts w:hint="eastAsia" w:ascii="Times New Roman" w:hAnsiTheme="minorEastAsia" w:eastAsiaTheme="minorEastAsia"/>
          <w:color w:val="000000" w:themeColor="text1"/>
          <w:sz w:val="24"/>
          <w14:textFill>
            <w14:solidFill>
              <w14:schemeClr w14:val="tx1"/>
            </w14:solidFill>
          </w14:textFill>
        </w:rPr>
        <w:t>，干沉降占</w:t>
      </w:r>
      <w:r>
        <w:rPr>
          <w:rFonts w:ascii="Times New Roman" w:hAnsiTheme="minorEastAsia" w:eastAsiaTheme="minorEastAsia"/>
          <w:color w:val="000000" w:themeColor="text1"/>
          <w:sz w:val="24"/>
          <w14:textFill>
            <w14:solidFill>
              <w14:schemeClr w14:val="tx1"/>
            </w14:solidFill>
          </w14:textFill>
        </w:rPr>
        <w:t>10~20%</w:t>
      </w:r>
      <w:r>
        <w:rPr>
          <w:rFonts w:hint="eastAsia" w:ascii="Times New Roman" w:hAnsiTheme="minorEastAsia" w:eastAsiaTheme="minorEastAsia"/>
          <w:color w:val="000000" w:themeColor="text1"/>
          <w:sz w:val="24"/>
          <w14:textFill>
            <w14:solidFill>
              <w14:schemeClr w14:val="tx1"/>
            </w14:solidFill>
          </w14:textFill>
        </w:rPr>
        <w:t>（《环境化学》，</w:t>
      </w:r>
      <w:r>
        <w:rPr>
          <w:rFonts w:ascii="Times New Roman" w:hAnsiTheme="minorEastAsia" w:eastAsiaTheme="minorEastAsia"/>
          <w:color w:val="000000" w:themeColor="text1"/>
          <w:sz w:val="24"/>
          <w14:textFill>
            <w14:solidFill>
              <w14:schemeClr w14:val="tx1"/>
            </w14:solidFill>
          </w14:textFill>
        </w:rPr>
        <w:t>1993</w:t>
      </w:r>
      <w:r>
        <w:rPr>
          <w:rFonts w:hint="eastAsia" w:ascii="Times New Roman" w:hAnsiTheme="minorEastAsia" w:eastAsiaTheme="minorEastAsia"/>
          <w:color w:val="000000" w:themeColor="text1"/>
          <w:sz w:val="24"/>
          <w14:textFill>
            <w14:solidFill>
              <w14:schemeClr w14:val="tx1"/>
            </w14:solidFill>
          </w14:textFill>
        </w:rPr>
        <w:t xml:space="preserve">年，王晓蓉）。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保守估计本项目按干沉降输入量占</w:t>
      </w:r>
      <w:r>
        <w:rPr>
          <w:rFonts w:ascii="Times New Roman" w:hAnsiTheme="minorEastAsia" w:eastAsiaTheme="minorEastAsia"/>
          <w:color w:val="000000" w:themeColor="text1"/>
          <w:sz w:val="24"/>
          <w14:textFill>
            <w14:solidFill>
              <w14:schemeClr w14:val="tx1"/>
            </w14:solidFill>
          </w14:textFill>
        </w:rPr>
        <w:t>10%</w:t>
      </w:r>
      <w:r>
        <w:rPr>
          <w:rFonts w:hint="eastAsia" w:ascii="Times New Roman" w:hAnsiTheme="minorEastAsia" w:eastAsiaTheme="minorEastAsia"/>
          <w:color w:val="000000" w:themeColor="text1"/>
          <w:sz w:val="24"/>
          <w14:textFill>
            <w14:solidFill>
              <w14:schemeClr w14:val="tx1"/>
            </w14:solidFill>
          </w14:textFill>
        </w:rPr>
        <w:t>考虑，则总沉降为干沉降的</w:t>
      </w:r>
      <w:r>
        <w:rPr>
          <w:rFonts w:ascii="Times New Roman" w:hAnsiTheme="minorEastAsia" w:eastAsiaTheme="minorEastAsia"/>
          <w:color w:val="000000" w:themeColor="text1"/>
          <w:sz w:val="24"/>
          <w14:textFill>
            <w14:solidFill>
              <w14:schemeClr w14:val="tx1"/>
            </w14:solidFill>
          </w14:textFill>
        </w:rPr>
        <w:t>10</w:t>
      </w:r>
      <w:r>
        <w:rPr>
          <w:rFonts w:hint="eastAsia" w:ascii="Times New Roman" w:hAnsiTheme="minorEastAsia" w:eastAsiaTheme="minorEastAsia"/>
          <w:color w:val="000000" w:themeColor="text1"/>
          <w:sz w:val="24"/>
          <w14:textFill>
            <w14:solidFill>
              <w14:schemeClr w14:val="tx1"/>
            </w14:solidFill>
          </w14:textFill>
        </w:rPr>
        <w:t xml:space="preserve">倍。 </w:t>
      </w:r>
    </w:p>
    <w:p>
      <w:pPr>
        <w:adjustRightInd w:val="0"/>
        <w:snapToGrid w:val="0"/>
        <w:spacing w:line="520" w:lineRule="exact"/>
        <w:ind w:firstLine="3120" w:firstLineChars="13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Is=10×Is</w:t>
      </w:r>
      <w:r>
        <w:rPr>
          <w:rFonts w:hint="eastAsia" w:ascii="Times New Roman" w:hAnsiTheme="minorEastAsia" w:eastAsiaTheme="minorEastAsia"/>
          <w:color w:val="000000" w:themeColor="text1"/>
          <w:sz w:val="24"/>
          <w14:textFill>
            <w14:solidFill>
              <w14:schemeClr w14:val="tx1"/>
            </w14:solidFill>
          </w14:textFill>
        </w:rPr>
        <w:t>干</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81967141</w:t>
      </w:r>
      <w:r>
        <w:rPr>
          <w:rFonts w:ascii="Times New Roman" w:hAnsiTheme="minorEastAsia" w:eastAsiaTheme="minorEastAsia"/>
          <w:color w:val="000000" w:themeColor="text1"/>
          <w:sz w:val="24"/>
          <w14:textFill>
            <w14:solidFill>
              <w14:schemeClr w14:val="tx1"/>
            </w14:solidFill>
          </w14:textFill>
        </w:rPr>
        <w:t>mg</w:t>
      </w:r>
    </w:p>
    <w:p>
      <w:pPr>
        <w:widowControl/>
        <w:adjustRightInd w:val="0"/>
        <w:snapToGrid w:val="0"/>
        <w:spacing w:line="360" w:lineRule="auto"/>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93056" behindDoc="0" locked="0" layoutInCell="1" allowOverlap="1">
            <wp:simplePos x="0" y="0"/>
            <wp:positionH relativeFrom="column">
              <wp:posOffset>1927225</wp:posOffset>
            </wp:positionH>
            <wp:positionV relativeFrom="paragraph">
              <wp:posOffset>171450</wp:posOffset>
            </wp:positionV>
            <wp:extent cx="1476375" cy="295275"/>
            <wp:effectExtent l="0" t="0" r="9525" b="9525"/>
            <wp:wrapNone/>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pic:cNvPicPr>
                      <a:picLocks noChangeAspect="1"/>
                    </pic:cNvPicPr>
                  </pic:nvPicPr>
                  <pic:blipFill>
                    <a:blip r:embed="rId43"/>
                    <a:stretch>
                      <a:fillRect/>
                    </a:stretch>
                  </pic:blipFill>
                  <pic:spPr>
                    <a:xfrm>
                      <a:off x="0" y="0"/>
                      <a:ext cx="1476375" cy="295275"/>
                    </a:xfrm>
                    <a:prstGeom prst="rect">
                      <a:avLst/>
                    </a:prstGeom>
                    <a:noFill/>
                    <a:ln>
                      <a:noFill/>
                    </a:ln>
                  </pic:spPr>
                </pic:pic>
              </a:graphicData>
            </a:graphic>
          </wp:anchor>
        </w:drawing>
      </w:r>
    </w:p>
    <w:p>
      <w:pPr>
        <w:widowControl/>
        <w:adjustRightInd w:val="0"/>
        <w:snapToGrid w:val="0"/>
        <w:spacing w:line="360" w:lineRule="auto"/>
        <w:ind w:firstLine="480" w:firstLineChars="200"/>
        <w:jc w:val="left"/>
        <w:rPr>
          <w:rFonts w:ascii="Times New Roman" w:hAnsi="Times New Roman"/>
          <w:color w:val="000000" w:themeColor="text1"/>
          <w:kern w:val="0"/>
          <w:sz w:val="24"/>
          <w:szCs w:val="24"/>
          <w:lang w:bidi="ar"/>
          <w14:textFill>
            <w14:solidFill>
              <w14:schemeClr w14:val="tx1"/>
            </w14:solidFill>
          </w14:textFill>
        </w:rPr>
      </w:pPr>
    </w:p>
    <w:p>
      <w:pPr>
        <w:widowControl/>
        <w:adjustRightInd w:val="0"/>
        <w:snapToGrid w:val="0"/>
        <w:spacing w:line="520" w:lineRule="exact"/>
        <w:ind w:firstLine="480" w:firstLineChars="200"/>
        <w:jc w:val="left"/>
        <w:rPr>
          <w:color w:val="000000" w:themeColor="text1"/>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ΔS——</w:t>
      </w:r>
      <w:r>
        <w:rPr>
          <w:rFonts w:hint="eastAsia" w:ascii="宋体" w:hAnsi="宋体" w:cs="宋体"/>
          <w:color w:val="000000" w:themeColor="text1"/>
          <w:kern w:val="0"/>
          <w:sz w:val="24"/>
          <w:szCs w:val="24"/>
          <w:lang w:bidi="ar"/>
          <w14:textFill>
            <w14:solidFill>
              <w14:schemeClr w14:val="tx1"/>
            </w14:solidFill>
          </w14:textFill>
        </w:rPr>
        <w:t>单位质量表层土壤中某种物质的增量，</w:t>
      </w:r>
      <w:r>
        <w:rPr>
          <w:rFonts w:ascii="Times New Roman" w:hAnsi="Times New Roman"/>
          <w:color w:val="000000" w:themeColor="text1"/>
          <w:kern w:val="0"/>
          <w:sz w:val="24"/>
          <w:szCs w:val="24"/>
          <w:lang w:bidi="ar"/>
          <w14:textFill>
            <w14:solidFill>
              <w14:schemeClr w14:val="tx1"/>
            </w14:solidFill>
          </w14:textFill>
        </w:rPr>
        <w:t>g/kg</w:t>
      </w:r>
      <w:r>
        <w:rPr>
          <w:rFonts w:hint="eastAsia" w:ascii="宋体" w:hAnsi="宋体" w:cs="宋体"/>
          <w:color w:val="000000" w:themeColor="text1"/>
          <w:kern w:val="0"/>
          <w:sz w:val="24"/>
          <w:szCs w:val="24"/>
          <w:lang w:bidi="ar"/>
          <w14:textFill>
            <w14:solidFill>
              <w14:schemeClr w14:val="tx1"/>
            </w14:solidFill>
          </w14:textFill>
        </w:rPr>
        <w:t xml:space="preserve">； </w:t>
      </w:r>
    </w:p>
    <w:p>
      <w:pPr>
        <w:widowControl/>
        <w:adjustRightInd w:val="0"/>
        <w:snapToGrid w:val="0"/>
        <w:spacing w:line="52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szCs w:val="24"/>
          <w:lang w:bidi="ar"/>
          <w14:textFill>
            <w14:solidFill>
              <w14:schemeClr w14:val="tx1"/>
            </w14:solidFill>
          </w14:textFill>
        </w:rPr>
        <w:t xml:space="preserve">持续沉降 </w:t>
      </w:r>
      <w:r>
        <w:rPr>
          <w:rFonts w:ascii="Times New Roman" w:hAnsi="Times New Roman"/>
          <w:color w:val="000000" w:themeColor="text1"/>
          <w:kern w:val="0"/>
          <w:sz w:val="24"/>
          <w:szCs w:val="24"/>
          <w:lang w:bidi="ar"/>
          <w14:textFill>
            <w14:solidFill>
              <w14:schemeClr w14:val="tx1"/>
            </w14:solidFill>
          </w14:textFill>
        </w:rPr>
        <w:t xml:space="preserve">30 </w:t>
      </w:r>
      <w:r>
        <w:rPr>
          <w:rFonts w:hint="eastAsia" w:ascii="宋体" w:hAnsi="宋体" w:cs="宋体"/>
          <w:color w:val="000000" w:themeColor="text1"/>
          <w:kern w:val="0"/>
          <w:sz w:val="24"/>
          <w:szCs w:val="24"/>
          <w:lang w:bidi="ar"/>
          <w14:textFill>
            <w14:solidFill>
              <w14:schemeClr w14:val="tx1"/>
            </w14:solidFill>
          </w14:textFill>
        </w:rPr>
        <w:t xml:space="preserve">年后，评价区域内单位质量表层土壤中的氟化物增量为： </w:t>
      </w:r>
    </w:p>
    <w:p>
      <w:pPr>
        <w:widowControl/>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ΔS=30</w:t>
      </w:r>
      <w:r>
        <w:rPr>
          <w:rFonts w:hint="eastAsia" w:ascii="宋体" w:hAnsi="宋体" w:cs="宋体"/>
          <w:color w:val="000000" w:themeColor="text1"/>
          <w:kern w:val="0"/>
          <w:sz w:val="24"/>
          <w:szCs w:val="24"/>
          <w:lang w:bidi="ar"/>
          <w14:textFill>
            <w14:solidFill>
              <w14:schemeClr w14:val="tx1"/>
            </w14:solidFill>
          </w14:textFill>
        </w:rPr>
        <w:t>×</w:t>
      </w:r>
      <w:r>
        <w:rPr>
          <w:rFonts w:hint="eastAsia" w:ascii="Times New Roman" w:hAnsi="Times New Roman"/>
          <w:color w:val="000000" w:themeColor="text1"/>
          <w:kern w:val="0"/>
          <w:sz w:val="24"/>
          <w:szCs w:val="24"/>
          <w:lang w:bidi="ar"/>
          <w14:textFill>
            <w14:solidFill>
              <w14:schemeClr w14:val="tx1"/>
            </w14:solidFill>
          </w14:textFill>
        </w:rPr>
        <w:t>81967141</w:t>
      </w:r>
      <w:r>
        <w:rPr>
          <w:rFonts w:hint="eastAsia" w:ascii="宋体" w:hAnsi="宋体" w:cs="宋体"/>
          <w:color w:val="000000" w:themeColor="text1"/>
          <w:kern w:val="0"/>
          <w:sz w:val="24"/>
          <w:szCs w:val="24"/>
          <w:lang w:bidi="ar"/>
          <w14:textFill>
            <w14:solidFill>
              <w14:schemeClr w14:val="tx1"/>
            </w14:solidFill>
          </w14:textFill>
        </w:rPr>
        <w:t>÷（</w:t>
      </w:r>
      <w:r>
        <w:rPr>
          <w:rFonts w:ascii="Times New Roman" w:hAnsi="Times New Roman"/>
          <w:color w:val="000000" w:themeColor="text1"/>
          <w:kern w:val="0"/>
          <w:sz w:val="24"/>
          <w:szCs w:val="24"/>
          <w:lang w:bidi="ar"/>
          <w14:textFill>
            <w14:solidFill>
              <w14:schemeClr w14:val="tx1"/>
            </w14:solidFill>
          </w14:textFill>
        </w:rPr>
        <w:t>1.33</w:t>
      </w:r>
      <w:r>
        <w:rPr>
          <w:rFonts w:hint="eastAsia" w:ascii="宋体" w:hAnsi="宋体" w:cs="宋体"/>
          <w:color w:val="000000" w:themeColor="text1"/>
          <w:kern w:val="0"/>
          <w:sz w:val="24"/>
          <w:szCs w:val="24"/>
          <w:lang w:bidi="ar"/>
          <w14:textFill>
            <w14:solidFill>
              <w14:schemeClr w14:val="tx1"/>
            </w14:solidFill>
          </w14:textFill>
        </w:rPr>
        <w:t>×</w:t>
      </w:r>
      <w:r>
        <w:rPr>
          <w:rFonts w:ascii="Times New Roman" w:hAnsi="Times New Roman"/>
          <w:color w:val="000000" w:themeColor="text1"/>
          <w:kern w:val="0"/>
          <w:sz w:val="24"/>
          <w:szCs w:val="24"/>
          <w:lang w:bidi="ar"/>
          <w14:textFill>
            <w14:solidFill>
              <w14:schemeClr w14:val="tx1"/>
            </w14:solidFill>
          </w14:textFill>
        </w:rPr>
        <w:t>10</w:t>
      </w:r>
      <w:r>
        <w:rPr>
          <w:rFonts w:ascii="Times New Roman" w:hAnsi="Times New Roman"/>
          <w:color w:val="000000" w:themeColor="text1"/>
          <w:kern w:val="0"/>
          <w:sz w:val="24"/>
          <w:szCs w:val="24"/>
          <w:vertAlign w:val="superscript"/>
          <w:lang w:bidi="ar"/>
          <w14:textFill>
            <w14:solidFill>
              <w14:schemeClr w14:val="tx1"/>
            </w14:solidFill>
          </w14:textFill>
        </w:rPr>
        <w:t>3</w:t>
      </w:r>
      <w:r>
        <w:rPr>
          <w:rFonts w:hint="eastAsia" w:ascii="宋体" w:hAnsi="宋体" w:cs="宋体"/>
          <w:color w:val="000000" w:themeColor="text1"/>
          <w:kern w:val="0"/>
          <w:sz w:val="24"/>
          <w:szCs w:val="24"/>
          <w:lang w:bidi="ar"/>
          <w14:textFill>
            <w14:solidFill>
              <w14:schemeClr w14:val="tx1"/>
            </w14:solidFill>
          </w14:textFill>
        </w:rPr>
        <w:t>×</w:t>
      </w:r>
      <w:r>
        <w:rPr>
          <w:rFonts w:hint="eastAsia" w:ascii="Times New Roman" w:hAnsi="Times New Roman"/>
          <w:color w:val="000000" w:themeColor="text1"/>
          <w:kern w:val="0"/>
          <w:sz w:val="24"/>
          <w:szCs w:val="24"/>
          <w:lang w:bidi="ar"/>
          <w14:textFill>
            <w14:solidFill>
              <w14:schemeClr w14:val="tx1"/>
            </w14:solidFill>
          </w14:textFill>
        </w:rPr>
        <w:t>138</w:t>
      </w:r>
      <w:r>
        <w:rPr>
          <w:rFonts w:ascii="Times New Roman" w:hAnsi="Times New Roman"/>
          <w:color w:val="000000" w:themeColor="text1"/>
          <w:kern w:val="0"/>
          <w:sz w:val="24"/>
          <w:szCs w:val="24"/>
          <w:lang w:bidi="ar"/>
          <w14:textFill>
            <w14:solidFill>
              <w14:schemeClr w14:val="tx1"/>
            </w14:solidFill>
          </w14:textFill>
        </w:rPr>
        <w:t>000</w:t>
      </w:r>
      <w:r>
        <w:rPr>
          <w:rFonts w:hint="eastAsia" w:ascii="宋体" w:hAnsi="宋体" w:cs="宋体"/>
          <w:color w:val="000000" w:themeColor="text1"/>
          <w:kern w:val="0"/>
          <w:sz w:val="24"/>
          <w:szCs w:val="24"/>
          <w:lang w:bidi="ar"/>
          <w14:textFill>
            <w14:solidFill>
              <w14:schemeClr w14:val="tx1"/>
            </w14:solidFill>
          </w14:textFill>
        </w:rPr>
        <w:t>×</w:t>
      </w:r>
      <w:r>
        <w:rPr>
          <w:rFonts w:ascii="Times New Roman" w:hAnsi="Times New Roman"/>
          <w:color w:val="000000" w:themeColor="text1"/>
          <w:kern w:val="0"/>
          <w:sz w:val="24"/>
          <w:szCs w:val="24"/>
          <w:lang w:bidi="ar"/>
          <w14:textFill>
            <w14:solidFill>
              <w14:schemeClr w14:val="tx1"/>
            </w14:solidFill>
          </w14:textFill>
        </w:rPr>
        <w:t>0.2</w:t>
      </w:r>
      <w:r>
        <w:rPr>
          <w:rFonts w:hint="eastAsia" w:ascii="宋体" w:hAnsi="宋体" w:cs="宋体"/>
          <w:color w:val="000000" w:themeColor="text1"/>
          <w:kern w:val="0"/>
          <w:sz w:val="24"/>
          <w:szCs w:val="24"/>
          <w:lang w:bidi="ar"/>
          <w14:textFill>
            <w14:solidFill>
              <w14:schemeClr w14:val="tx1"/>
            </w14:solidFill>
          </w14:textFill>
        </w:rPr>
        <w:t>）</w:t>
      </w:r>
      <w:r>
        <w:rPr>
          <w:rFonts w:ascii="Times New Roman" w:hAnsi="Times New Roman"/>
          <w:color w:val="000000" w:themeColor="text1"/>
          <w:kern w:val="0"/>
          <w:sz w:val="24"/>
          <w:szCs w:val="24"/>
          <w:lang w:bidi="ar"/>
          <w14:textFill>
            <w14:solidFill>
              <w14:schemeClr w14:val="tx1"/>
            </w14:solidFill>
          </w14:textFill>
        </w:rPr>
        <w:t>=</w:t>
      </w:r>
      <w:r>
        <w:rPr>
          <w:rFonts w:hint="eastAsia" w:ascii="Times New Roman" w:hAnsi="Times New Roman"/>
          <w:color w:val="000000" w:themeColor="text1"/>
          <w:kern w:val="0"/>
          <w:sz w:val="24"/>
          <w:szCs w:val="24"/>
          <w:lang w:bidi="ar"/>
          <w14:textFill>
            <w14:solidFill>
              <w14:schemeClr w14:val="tx1"/>
            </w14:solidFill>
          </w14:textFill>
        </w:rPr>
        <w:t>6.69</w:t>
      </w:r>
      <w:r>
        <w:rPr>
          <w:rFonts w:ascii="Times New Roman" w:hAnsi="Times New Roman"/>
          <w:color w:val="000000" w:themeColor="text1"/>
          <w:kern w:val="0"/>
          <w:sz w:val="24"/>
          <w:szCs w:val="24"/>
          <w:lang w:bidi="ar"/>
          <w14:textFill>
            <w14:solidFill>
              <w14:schemeClr w14:val="tx1"/>
            </w14:solidFill>
          </w14:textFill>
        </w:rPr>
        <w:t xml:space="preserve">mg/kg </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经查阅《土壤环境质量 建设用地土壤污染风险管控标准（试行）》（</w:t>
      </w:r>
      <w:r>
        <w:rPr>
          <w:rFonts w:ascii="Times New Roman" w:hAnsiTheme="minorEastAsia" w:eastAsiaTheme="minorEastAsia"/>
          <w:color w:val="000000" w:themeColor="text1"/>
          <w:sz w:val="24"/>
          <w14:textFill>
            <w14:solidFill>
              <w14:schemeClr w14:val="tx1"/>
            </w14:solidFill>
          </w14:textFill>
        </w:rPr>
        <w:t>GB36600-2018</w:t>
      </w:r>
      <w:r>
        <w:rPr>
          <w:rFonts w:hint="eastAsia" w:ascii="Times New Roman" w:hAnsiTheme="minorEastAsia" w:eastAsiaTheme="minorEastAsia"/>
          <w:color w:val="000000" w:themeColor="text1"/>
          <w:sz w:val="24"/>
          <w14:textFill>
            <w14:solidFill>
              <w14:schemeClr w14:val="tx1"/>
            </w14:solidFill>
          </w14:textFill>
        </w:rPr>
        <w:t xml:space="preserve">），氟化物无质量标准，根据上述计算结果可知本项目运行30年后，评价区域内氟化物大气沉降量极小，因此在采取有效防治措施后，本工程运营期大气沉降不会对评价区域内土壤环境造成不利影响。 </w:t>
      </w:r>
    </w:p>
    <w:p>
      <w:pPr>
        <w:pStyle w:val="380"/>
        <w:adjustRightInd w:val="0"/>
        <w:snapToGrid w:val="0"/>
        <w:spacing w:before="48" w:beforeLines="20" w:after="48" w:afterLines="20" w:line="520" w:lineRule="exact"/>
        <w:ind w:firstLine="0" w:firstLineChars="0"/>
        <w:jc w:val="left"/>
        <w:outlineLvl w:val="2"/>
        <w:rPr>
          <w:rFonts w:ascii="Times New Roman" w:hAnsiTheme="minorEastAsia"/>
          <w:b/>
          <w:color w:val="000000" w:themeColor="text1"/>
          <w:sz w:val="24"/>
          <w:szCs w:val="24"/>
          <w14:textFill>
            <w14:solidFill>
              <w14:schemeClr w14:val="tx1"/>
            </w14:solidFill>
          </w14:textFill>
        </w:rPr>
      </w:pPr>
      <w:bookmarkStart w:id="494" w:name="_Toc25414"/>
      <w:bookmarkStart w:id="495" w:name="_Toc28265"/>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.2.6.5土壤环境影响分析小结</w:t>
      </w:r>
      <w:bookmarkEnd w:id="494"/>
      <w:bookmarkEnd w:id="495"/>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根据土壤环境现状调查及土壤预测，在严格采取评价提出的环保措施前提下，拟建项目土壤环境影响可接受。</w:t>
      </w:r>
    </w:p>
    <w:p>
      <w:pPr>
        <w:pStyle w:val="380"/>
        <w:adjustRightInd w:val="0"/>
        <w:snapToGrid w:val="0"/>
        <w:spacing w:before="48" w:beforeLines="20" w:after="48" w:afterLines="20" w:line="520" w:lineRule="exact"/>
        <w:ind w:firstLine="0" w:firstLineChars="0"/>
        <w:jc w:val="left"/>
        <w:outlineLvl w:val="2"/>
        <w:rPr>
          <w:rFonts w:ascii="Times New Roman" w:hAnsiTheme="minorEastAsia" w:eastAsiaTheme="minorEastAsia"/>
          <w:color w:val="000000" w:themeColor="text1"/>
          <w:sz w:val="24"/>
          <w14:textFill>
            <w14:solidFill>
              <w14:schemeClr w14:val="tx1"/>
            </w14:solidFill>
          </w14:textFill>
        </w:rPr>
      </w:pPr>
      <w:bookmarkStart w:id="496" w:name="_Toc1124"/>
      <w:bookmarkStart w:id="497" w:name="_Toc12267"/>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.2.6.6土壤环境影响评价自查表</w:t>
      </w:r>
      <w:bookmarkEnd w:id="496"/>
      <w:bookmarkEnd w:id="497"/>
    </w:p>
    <w:p>
      <w:pPr>
        <w:pStyle w:val="2140"/>
        <w:snapToGrid w:val="0"/>
        <w:spacing w:line="360" w:lineRule="exact"/>
        <w:ind w:firstLine="0"/>
        <w:jc w:val="center"/>
        <w:textAlignment w:val="auto"/>
        <w:rPr>
          <w:rFonts w:eastAsia="宋体"/>
          <w:b/>
          <w:color w:val="000000" w:themeColor="text1"/>
          <w:szCs w:val="24"/>
          <w14:textFill>
            <w14:solidFill>
              <w14:schemeClr w14:val="tx1"/>
            </w14:solidFill>
          </w14:textFill>
        </w:rPr>
      </w:pPr>
      <w:r>
        <w:rPr>
          <w:rFonts w:eastAsia="宋体"/>
          <w:b/>
          <w:color w:val="000000" w:themeColor="text1"/>
          <w:sz w:val="21"/>
          <w:szCs w:val="21"/>
          <w14:textFill>
            <w14:solidFill>
              <w14:schemeClr w14:val="tx1"/>
            </w14:solidFill>
          </w14:textFill>
        </w:rPr>
        <w:t xml:space="preserve"> </w:t>
      </w:r>
      <w:r>
        <w:rPr>
          <w:rFonts w:hint="eastAsia" w:eastAsia="宋体"/>
          <w:b/>
          <w:color w:val="000000" w:themeColor="text1"/>
          <w:szCs w:val="24"/>
          <w14:textFill>
            <w14:solidFill>
              <w14:schemeClr w14:val="tx1"/>
            </w14:solidFill>
          </w14:textFill>
        </w:rPr>
        <w:t>表</w:t>
      </w:r>
      <w:r>
        <w:rPr>
          <w:rFonts w:hint="eastAsia" w:eastAsia="宋体"/>
          <w:b/>
          <w:color w:val="000000" w:themeColor="text1"/>
          <w:szCs w:val="24"/>
          <w:lang w:val="en-US" w:eastAsia="zh-CN"/>
          <w14:textFill>
            <w14:solidFill>
              <w14:schemeClr w14:val="tx1"/>
            </w14:solidFill>
          </w14:textFill>
        </w:rPr>
        <w:t>6</w:t>
      </w:r>
      <w:r>
        <w:rPr>
          <w:rFonts w:hint="eastAsia" w:eastAsia="宋体"/>
          <w:b/>
          <w:color w:val="000000" w:themeColor="text1"/>
          <w:szCs w:val="24"/>
          <w14:textFill>
            <w14:solidFill>
              <w14:schemeClr w14:val="tx1"/>
            </w14:solidFill>
          </w14:textFill>
        </w:rPr>
        <w:t>.2-34 土壤</w:t>
      </w:r>
      <w:r>
        <w:rPr>
          <w:rFonts w:eastAsia="宋体"/>
          <w:b/>
          <w:color w:val="000000" w:themeColor="text1"/>
          <w:szCs w:val="24"/>
          <w14:textFill>
            <w14:solidFill>
              <w14:schemeClr w14:val="tx1"/>
            </w14:solidFill>
          </w14:textFill>
        </w:rPr>
        <w:t>环境影响评价自查表</w:t>
      </w:r>
    </w:p>
    <w:tbl>
      <w:tblPr>
        <w:tblStyle w:val="87"/>
        <w:tblW w:w="89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33"/>
        <w:gridCol w:w="1536"/>
        <w:gridCol w:w="1573"/>
        <w:gridCol w:w="96"/>
        <w:gridCol w:w="1236"/>
        <w:gridCol w:w="636"/>
        <w:gridCol w:w="764"/>
        <w:gridCol w:w="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7" w:type="dxa"/>
            <w:gridSpan w:val="2"/>
            <w:tcBorders>
              <w:tl2br w:val="nil"/>
              <w:tr2bl w:val="nil"/>
            </w:tcBorders>
            <w:vAlign w:val="center"/>
          </w:tcPr>
          <w:p>
            <w:pPr>
              <w:pStyle w:val="2140"/>
              <w:snapToGrid w:val="0"/>
              <w:spacing w:line="240" w:lineRule="auto"/>
              <w:ind w:firstLine="0"/>
              <w:jc w:val="center"/>
              <w:textAlignment w:val="auto"/>
              <w:rPr>
                <w:rFonts w:eastAsia="宋体"/>
                <w:bCs/>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工作内容</w:t>
            </w:r>
          </w:p>
        </w:tc>
        <w:tc>
          <w:tcPr>
            <w:tcW w:w="5841" w:type="dxa"/>
            <w:gridSpan w:val="6"/>
            <w:tcBorders>
              <w:tl2br w:val="nil"/>
              <w:tr2bl w:val="nil"/>
            </w:tcBorders>
            <w:vAlign w:val="center"/>
          </w:tcPr>
          <w:p>
            <w:pPr>
              <w:pStyle w:val="2140"/>
              <w:snapToGrid w:val="0"/>
              <w:spacing w:line="240" w:lineRule="auto"/>
              <w:ind w:firstLine="0"/>
              <w:jc w:val="center"/>
              <w:textAlignment w:val="auto"/>
              <w:rPr>
                <w:rFonts w:eastAsia="宋体"/>
                <w:bCs/>
                <w:color w:val="000000" w:themeColor="text1"/>
                <w:sz w:val="18"/>
                <w:szCs w:val="18"/>
                <w14:textFill>
                  <w14:solidFill>
                    <w14:schemeClr w14:val="tx1"/>
                  </w14:solidFill>
                </w14:textFill>
              </w:rPr>
            </w:pPr>
            <w:r>
              <w:rPr>
                <w:rFonts w:hint="eastAsia" w:eastAsia="宋体"/>
                <w:bCs/>
                <w:color w:val="000000" w:themeColor="text1"/>
                <w:sz w:val="18"/>
                <w:szCs w:val="18"/>
                <w14:textFill>
                  <w14:solidFill>
                    <w14:schemeClr w14:val="tx1"/>
                  </w14:solidFill>
                </w14:textFill>
              </w:rPr>
              <w:t>完成情况</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bCs/>
                <w:color w:val="000000" w:themeColor="text1"/>
                <w:sz w:val="18"/>
                <w:szCs w:val="18"/>
                <w14:textFill>
                  <w14:solidFill>
                    <w14:schemeClr w14:val="tx1"/>
                  </w14:solidFill>
                </w14:textFill>
              </w:rPr>
            </w:pPr>
            <w:r>
              <w:rPr>
                <w:rFonts w:hint="eastAsia" w:eastAsia="宋体"/>
                <w:bCs/>
                <w:color w:val="000000" w:themeColor="text1"/>
                <w:sz w:val="18"/>
                <w:szCs w:val="18"/>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影响识别</w:t>
            </w: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影响类型</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污染影响型</w:t>
            </w:r>
            <w:r>
              <w:rPr>
                <w:rFonts w:hint="eastAsia" w:ascii="MS Mincho" w:hAnsi="MS Mincho" w:eastAsia="MS Mincho"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；生态影响型</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；两种兼有</w:t>
            </w:r>
            <w:r>
              <w:rPr>
                <w:rFonts w:hint="eastAsia" w:eastAsia="宋体"/>
                <w:color w:val="000000" w:themeColor="text1"/>
                <w:sz w:val="18"/>
                <w:szCs w:val="18"/>
                <w14:textFill>
                  <w14:solidFill>
                    <w14:schemeClr w14:val="tx1"/>
                  </w14:solidFill>
                </w14:textFill>
              </w:rPr>
              <w:sym w:font="Wingdings 2" w:char="00A3"/>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土地利用类型</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建设用地</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；农用地</w:t>
            </w:r>
            <w:r>
              <w:rPr>
                <w:rFonts w:hint="eastAsia" w:ascii="MS Mincho" w:hAnsi="MS Mincho" w:eastAsia="宋体"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；未利用地</w:t>
            </w:r>
            <w:r>
              <w:rPr>
                <w:rFonts w:hint="eastAsia" w:eastAsia="宋体"/>
                <w:color w:val="000000" w:themeColor="text1"/>
                <w:sz w:val="18"/>
                <w:szCs w:val="18"/>
                <w14:textFill>
                  <w14:solidFill>
                    <w14:schemeClr w14:val="tx1"/>
                  </w14:solidFill>
                </w14:textFill>
              </w:rPr>
              <w:sym w:font="Wingdings 2" w:char="00A3"/>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占地规模</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（1.2011）hm</w:t>
            </w:r>
            <w:r>
              <w:rPr>
                <w:rFonts w:hint="eastAsia" w:eastAsia="宋体"/>
                <w:color w:val="000000" w:themeColor="text1"/>
                <w:sz w:val="18"/>
                <w:szCs w:val="18"/>
                <w:vertAlign w:val="superscript"/>
                <w14:textFill>
                  <w14:solidFill>
                    <w14:schemeClr w14:val="tx1"/>
                  </w14:solidFill>
                </w14:textFill>
              </w:rPr>
              <w:t>2</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敏感目标信息</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敏感目标（）、方位（）、距离（50m）</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影响途径</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大气沉降</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；地面漫流</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；垂直入渗</w:t>
            </w:r>
            <w:r>
              <w:rPr>
                <w:rFonts w:hint="eastAsia" w:ascii="MS Mincho" w:hAnsi="MS Mincho" w:eastAsia="MS Mincho"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；地下水位</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；其他（   ）</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全部污染物</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氯化氢、氟化物、颗粒物</w:t>
            </w:r>
            <w:r>
              <w:rPr>
                <w:rFonts w:eastAsia="宋体"/>
                <w:color w:val="000000" w:themeColor="text1"/>
                <w:sz w:val="18"/>
                <w:szCs w:val="18"/>
                <w14:textFill>
                  <w14:solidFill>
                    <w14:schemeClr w14:val="tx1"/>
                  </w14:solidFill>
                </w14:textFill>
              </w:rPr>
              <w:t>等</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特征因子</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氯化氢、氟化物、颗粒物</w:t>
            </w:r>
            <w:r>
              <w:rPr>
                <w:rFonts w:eastAsia="宋体"/>
                <w:color w:val="000000" w:themeColor="text1"/>
                <w:sz w:val="18"/>
                <w:szCs w:val="18"/>
                <w14:textFill>
                  <w14:solidFill>
                    <w14:schemeClr w14:val="tx1"/>
                  </w14:solidFill>
                </w14:textFill>
              </w:rPr>
              <w:t>等</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所属土壤环境影响评价项目类别</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Ⅰ类</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；Ⅱ类</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；Ⅲ类</w:t>
            </w:r>
            <w:r>
              <w:rPr>
                <w:rFonts w:hint="eastAsia" w:ascii="MS Mincho" w:hAnsi="MS Mincho" w:eastAsia="宋体"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；Ⅳ类</w:t>
            </w:r>
            <w:r>
              <w:rPr>
                <w:rFonts w:hint="eastAsia" w:eastAsia="宋体"/>
                <w:color w:val="000000" w:themeColor="text1"/>
                <w:sz w:val="18"/>
                <w:szCs w:val="18"/>
                <w14:textFill>
                  <w14:solidFill>
                    <w14:schemeClr w14:val="tx1"/>
                  </w14:solidFill>
                </w14:textFill>
              </w:rPr>
              <w:sym w:font="Wingdings 2" w:char="00A3"/>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敏感程度</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敏感</w:t>
            </w:r>
            <w:r>
              <w:rPr>
                <w:rFonts w:hint="eastAsia" w:ascii="MS Mincho" w:hAnsi="MS Mincho" w:eastAsia="宋体"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；较敏感</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；不敏感</w:t>
            </w:r>
            <w:r>
              <w:rPr>
                <w:rFonts w:hint="eastAsia" w:eastAsia="宋体"/>
                <w:color w:val="000000" w:themeColor="text1"/>
                <w:sz w:val="18"/>
                <w:szCs w:val="18"/>
                <w14:textFill>
                  <w14:solidFill>
                    <w14:schemeClr w14:val="tx1"/>
                  </w14:solidFill>
                </w14:textFill>
              </w:rPr>
              <w:sym w:font="Wingdings 2" w:char="0052"/>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7"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评价工作等级</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一级</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；二级</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；三级</w:t>
            </w:r>
            <w:r>
              <w:rPr>
                <w:rFonts w:hint="eastAsia" w:ascii="MS Mincho" w:hAnsi="MS Mincho" w:eastAsia="宋体" w:cs="MS Mincho"/>
                <w:color w:val="000000" w:themeColor="text1"/>
                <w:sz w:val="18"/>
                <w:szCs w:val="18"/>
                <w14:textFill>
                  <w14:solidFill>
                    <w14:schemeClr w14:val="tx1"/>
                  </w14:solidFill>
                </w14:textFill>
              </w:rPr>
              <w:t>□</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现状调查内容</w:t>
            </w: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资料收集</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a）</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；b）</w:t>
            </w:r>
            <w:r>
              <w:rPr>
                <w:rFonts w:hint="eastAsia" w:ascii="MS Mincho" w:hAnsi="MS Mincho" w:eastAsia="MS Mincho"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；c）</w:t>
            </w:r>
            <w:r>
              <w:rPr>
                <w:rFonts w:hint="eastAsia" w:ascii="MS Mincho" w:hAnsi="MS Mincho" w:eastAsia="MS Mincho"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；d）</w:t>
            </w:r>
            <w:r>
              <w:rPr>
                <w:rFonts w:hint="eastAsia" w:ascii="MS Mincho" w:hAnsi="MS Mincho" w:eastAsia="MS Mincho" w:cs="MS Mincho"/>
                <w:color w:val="000000" w:themeColor="text1"/>
                <w:sz w:val="18"/>
                <w:szCs w:val="18"/>
                <w14:textFill>
                  <w14:solidFill>
                    <w14:schemeClr w14:val="tx1"/>
                  </w14:solidFill>
                </w14:textFill>
              </w:rPr>
              <w:t>☑</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理化特性</w:t>
            </w:r>
          </w:p>
        </w:tc>
        <w:tc>
          <w:tcPr>
            <w:tcW w:w="5841" w:type="dxa"/>
            <w:gridSpan w:val="6"/>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土壤结构、土壤质地、土壤容重、孔隙度等</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同附录C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现状监测点位</w:t>
            </w:r>
          </w:p>
        </w:tc>
        <w:tc>
          <w:tcPr>
            <w:tcW w:w="1536"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669"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占地范围内</w:t>
            </w:r>
          </w:p>
        </w:tc>
        <w:tc>
          <w:tcPr>
            <w:tcW w:w="1872"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占地范围外</w:t>
            </w:r>
          </w:p>
        </w:tc>
        <w:tc>
          <w:tcPr>
            <w:tcW w:w="764"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深度</w:t>
            </w:r>
          </w:p>
        </w:tc>
        <w:tc>
          <w:tcPr>
            <w:tcW w:w="998"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点位布置图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6"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表层样点数</w:t>
            </w:r>
          </w:p>
        </w:tc>
        <w:tc>
          <w:tcPr>
            <w:tcW w:w="1669"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1</w:t>
            </w:r>
          </w:p>
        </w:tc>
        <w:tc>
          <w:tcPr>
            <w:tcW w:w="1872"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2</w:t>
            </w:r>
          </w:p>
        </w:tc>
        <w:tc>
          <w:tcPr>
            <w:tcW w:w="764"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998"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6"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柱状样点数</w:t>
            </w:r>
          </w:p>
        </w:tc>
        <w:tc>
          <w:tcPr>
            <w:tcW w:w="1669"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3</w:t>
            </w:r>
          </w:p>
        </w:tc>
        <w:tc>
          <w:tcPr>
            <w:tcW w:w="1872"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0</w:t>
            </w:r>
          </w:p>
        </w:tc>
        <w:tc>
          <w:tcPr>
            <w:tcW w:w="764"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w:t>
            </w:r>
          </w:p>
        </w:tc>
        <w:tc>
          <w:tcPr>
            <w:tcW w:w="998"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现状监测因子</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砷、镉、铬（六价）、铜、铅、汞、镍；四氯化碳、氯仿、氯甲烷、1，1-二氯乙烷、1，2-二氯乙烷、1，1-二氯乙烯、顺-1，2-二氯乙烯、反-1，2-二氯乙烯、二氯甲烷、1，2-二氯丙烷、1，1，1，2-四氯乙烷、1，1，2，2-四氯乙烷、四氯乙烯、1，1，1-三氯乙烷、1，1，2-三氯乙烷、三氯乙烯、1， 2，3-三氯丙烷、氯乙烯、苯、氯苯、1，2-二氯苯、1，4-二氯苯、乙苯、苯乙烯、甲苯、间二甲苯+对二甲苯、邻二甲苯；硝基苯、苯胺、2-氯酚、苯并[a]蒽、苯并[a]芘、苯并[b]荧蒽、苯并[k]荧蒽、䓛、二苯并[a，h]蒽、茚并[1，2，3-cd]芘、萘、酚类</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现状评价</w:t>
            </w: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评价因子</w:t>
            </w:r>
          </w:p>
        </w:tc>
        <w:tc>
          <w:tcPr>
            <w:tcW w:w="5841" w:type="dxa"/>
            <w:gridSpan w:val="6"/>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砷、镉、铬（六价）、铜、铅、汞、镍；四氯化碳、氯仿、氯甲烷、1，1-二氯乙烷、1，2-二氯乙烷、1，1-二氯乙烯、顺-1，2-二氯乙烯、反-1，2-二氯乙烯、二氯甲烷、1，2-二氯丙烷、1，1，1，2-四氯乙烷、1，1，2，2-四氯乙烷、四氯乙烯、1，1，1-三氯乙烷、1，1，2-三氯乙烷、三氯乙烯、1， 2，3-三氯丙烷、氯乙烯、苯、氯苯、1，2-二氯苯、1，4-二氯苯、乙苯、苯乙烯、甲苯、间二甲苯+对二甲苯、邻二甲苯；硝基苯、苯胺、2-氯酚、苯并[a]蒽、苯并[a]芘、苯并[b]荧蒽、苯并[k]荧蒽、䓛、二苯并[a，h]蒽、茚并[1，2，3-cd]芘、萘、酚类</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评价标准</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GB15618</w:t>
            </w:r>
            <w:r>
              <w:rPr>
                <w:rFonts w:hint="eastAsia" w:ascii="MS Mincho" w:hAnsi="MS Mincho" w:eastAsia="宋体" w:cs="MS Mincho"/>
                <w:color w:val="000000" w:themeColor="text1"/>
                <w:sz w:val="18"/>
                <w:szCs w:val="18"/>
                <w14:textFill>
                  <w14:solidFill>
                    <w14:schemeClr w14:val="tx1"/>
                  </w14:solidFill>
                </w14:textFill>
              </w:rPr>
              <w:t>□</w:t>
            </w:r>
            <w:r>
              <w:rPr>
                <w:rFonts w:hint="eastAsia" w:eastAsia="宋体"/>
                <w:color w:val="000000" w:themeColor="text1"/>
                <w:sz w:val="18"/>
                <w:szCs w:val="18"/>
                <w14:textFill>
                  <w14:solidFill>
                    <w14:schemeClr w14:val="tx1"/>
                  </w14:solidFill>
                </w14:textFill>
              </w:rPr>
              <w:t>；GB36600</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；表D.1</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；表D.2</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；其他（   ）</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现状评价结论</w:t>
            </w:r>
          </w:p>
        </w:tc>
        <w:tc>
          <w:tcPr>
            <w:tcW w:w="5841" w:type="dxa"/>
            <w:gridSpan w:val="6"/>
            <w:tcBorders>
              <w:tl2br w:val="nil"/>
              <w:tr2bl w:val="nil"/>
            </w:tcBorders>
            <w:vAlign w:val="center"/>
          </w:tcPr>
          <w:p>
            <w:pPr>
              <w:pStyle w:val="2140"/>
              <w:snapToGrid w:val="0"/>
              <w:spacing w:line="240" w:lineRule="auto"/>
              <w:ind w:firstLine="0"/>
              <w:jc w:val="center"/>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达标</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影响预测</w:t>
            </w: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预测因子</w:t>
            </w:r>
          </w:p>
        </w:tc>
        <w:tc>
          <w:tcPr>
            <w:tcW w:w="5841" w:type="dxa"/>
            <w:gridSpan w:val="6"/>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氟化物</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预测方法</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附录E</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；附录F</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；其他（类比分析）</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预测分析内容</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影响范围（厂区用地范围）</w:t>
            </w:r>
          </w:p>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影响程度（轻微）</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预测结论</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达标结论：a）</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；b）</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；c）</w:t>
            </w:r>
            <w:r>
              <w:rPr>
                <w:rFonts w:hint="eastAsia" w:eastAsia="宋体"/>
                <w:color w:val="000000" w:themeColor="text1"/>
                <w:sz w:val="18"/>
                <w:szCs w:val="18"/>
                <w14:textFill>
                  <w14:solidFill>
                    <w14:schemeClr w14:val="tx1"/>
                  </w14:solidFill>
                </w14:textFill>
              </w:rPr>
              <w:sym w:font="Wingdings 2" w:char="00A3"/>
            </w:r>
          </w:p>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不达标结论：a）</w:t>
            </w:r>
            <w:r>
              <w:rPr>
                <w:rFonts w:hint="eastAsia" w:eastAsia="宋体"/>
                <w:color w:val="000000" w:themeColor="text1"/>
                <w:sz w:val="18"/>
                <w:szCs w:val="18"/>
                <w14:textFill>
                  <w14:solidFill>
                    <w14:schemeClr w14:val="tx1"/>
                  </w14:solidFill>
                </w14:textFill>
              </w:rPr>
              <w:sym w:font="Wingdings 2" w:char="00A3"/>
            </w:r>
            <w:r>
              <w:rPr>
                <w:rFonts w:hint="eastAsia" w:eastAsia="宋体"/>
                <w:color w:val="000000" w:themeColor="text1"/>
                <w:sz w:val="18"/>
                <w:szCs w:val="18"/>
                <w14:textFill>
                  <w14:solidFill>
                    <w14:schemeClr w14:val="tx1"/>
                  </w14:solidFill>
                </w14:textFill>
              </w:rPr>
              <w:t>；b）</w:t>
            </w:r>
            <w:r>
              <w:rPr>
                <w:rFonts w:hint="eastAsia" w:eastAsia="宋体"/>
                <w:color w:val="000000" w:themeColor="text1"/>
                <w:sz w:val="18"/>
                <w:szCs w:val="18"/>
                <w14:textFill>
                  <w14:solidFill>
                    <w14:schemeClr w14:val="tx1"/>
                  </w14:solidFill>
                </w14:textFill>
              </w:rPr>
              <w:sym w:font="Wingdings 2" w:char="00A3"/>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防治措施</w:t>
            </w: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防控措施</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土壤环境质量现状保障</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；源头控制</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；过程防控</w:t>
            </w:r>
            <w:r>
              <w:rPr>
                <w:rFonts w:hint="eastAsia" w:eastAsia="宋体"/>
                <w:color w:val="000000" w:themeColor="text1"/>
                <w:sz w:val="18"/>
                <w:szCs w:val="18"/>
                <w14:textFill>
                  <w14:solidFill>
                    <w14:schemeClr w14:val="tx1"/>
                  </w14:solidFill>
                </w14:textFill>
              </w:rPr>
              <w:sym w:font="Wingdings 2" w:char="0052"/>
            </w:r>
            <w:r>
              <w:rPr>
                <w:rFonts w:hint="eastAsia" w:eastAsia="宋体"/>
                <w:color w:val="000000" w:themeColor="text1"/>
                <w:sz w:val="18"/>
                <w:szCs w:val="18"/>
                <w14:textFill>
                  <w14:solidFill>
                    <w14:schemeClr w14:val="tx1"/>
                  </w14:solidFill>
                </w14:textFill>
              </w:rPr>
              <w:t>；其他（    ）</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vMerge w:val="restart"/>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跟踪监测</w:t>
            </w:r>
          </w:p>
        </w:tc>
        <w:tc>
          <w:tcPr>
            <w:tcW w:w="3109"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监测点数</w:t>
            </w:r>
          </w:p>
        </w:tc>
        <w:tc>
          <w:tcPr>
            <w:tcW w:w="1332"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监测指标</w:t>
            </w:r>
          </w:p>
        </w:tc>
        <w:tc>
          <w:tcPr>
            <w:tcW w:w="1400"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监测频次</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3109" w:type="dxa"/>
            <w:gridSpan w:val="2"/>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6个（同现状监测点位）</w:t>
            </w:r>
          </w:p>
        </w:tc>
        <w:tc>
          <w:tcPr>
            <w:tcW w:w="1332"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上述评价因子</w:t>
            </w:r>
          </w:p>
        </w:tc>
        <w:tc>
          <w:tcPr>
            <w:tcW w:w="1400"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5年1次</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4" w:type="dxa"/>
            <w:vMerge w:val="continue"/>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c>
          <w:tcPr>
            <w:tcW w:w="1533"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信息公开指标</w:t>
            </w:r>
          </w:p>
        </w:tc>
        <w:tc>
          <w:tcPr>
            <w:tcW w:w="5841" w:type="dxa"/>
            <w:gridSpan w:val="6"/>
            <w:tcBorders>
              <w:tl2br w:val="nil"/>
              <w:tr2bl w:val="nil"/>
            </w:tcBorders>
            <w:vAlign w:val="center"/>
          </w:tcPr>
          <w:p>
            <w:pPr>
              <w:pStyle w:val="2140"/>
              <w:snapToGrid w:val="0"/>
              <w:spacing w:line="240" w:lineRule="auto"/>
              <w:ind w:firstLine="0"/>
              <w:jc w:val="left"/>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基础信息、监测时间、监测点位、样品数量、监测方法、监测项目、执行标准、监测结果、超达标情况、超标原因分析、达标管理计划等</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7" w:type="dxa"/>
            <w:gridSpan w:val="2"/>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评价结论</w:t>
            </w:r>
          </w:p>
        </w:tc>
        <w:tc>
          <w:tcPr>
            <w:tcW w:w="5841" w:type="dxa"/>
            <w:gridSpan w:val="6"/>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r>
              <w:rPr>
                <w:rFonts w:hint="eastAsia" w:eastAsia="宋体"/>
                <w:color w:val="000000" w:themeColor="text1"/>
                <w:sz w:val="18"/>
                <w:szCs w:val="18"/>
                <w14:textFill>
                  <w14:solidFill>
                    <w14:schemeClr w14:val="tx1"/>
                  </w14:solidFill>
                </w14:textFill>
              </w:rPr>
              <w:t>可以接受</w:t>
            </w:r>
          </w:p>
        </w:tc>
        <w:tc>
          <w:tcPr>
            <w:tcW w:w="998" w:type="dxa"/>
            <w:tcBorders>
              <w:tl2br w:val="nil"/>
              <w:tr2bl w:val="nil"/>
            </w:tcBorders>
            <w:vAlign w:val="center"/>
          </w:tcPr>
          <w:p>
            <w:pPr>
              <w:pStyle w:val="2140"/>
              <w:snapToGrid w:val="0"/>
              <w:spacing w:line="240" w:lineRule="auto"/>
              <w:ind w:firstLine="0"/>
              <w:jc w:val="center"/>
              <w:textAlignment w:val="auto"/>
              <w:rPr>
                <w:rFonts w:eastAsia="宋体"/>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38" w:type="dxa"/>
            <w:gridSpan w:val="8"/>
            <w:tcBorders>
              <w:tl2br w:val="nil"/>
              <w:tr2bl w:val="nil"/>
            </w:tcBorders>
            <w:vAlign w:val="center"/>
          </w:tcPr>
          <w:p>
            <w:pPr>
              <w:pStyle w:val="2140"/>
              <w:snapToGrid w:val="0"/>
              <w:spacing w:line="240" w:lineRule="auto"/>
              <w:ind w:firstLine="336" w:firstLineChars="200"/>
              <w:textAlignment w:val="auto"/>
              <w:rPr>
                <w:rFonts w:eastAsia="宋体"/>
                <w:color w:val="000000" w:themeColor="text1"/>
                <w:spacing w:val="-6"/>
                <w:sz w:val="18"/>
                <w:szCs w:val="18"/>
                <w14:textFill>
                  <w14:solidFill>
                    <w14:schemeClr w14:val="tx1"/>
                  </w14:solidFill>
                </w14:textFill>
              </w:rPr>
            </w:pPr>
            <w:r>
              <w:rPr>
                <w:rFonts w:hint="eastAsia" w:eastAsia="宋体"/>
                <w:color w:val="000000" w:themeColor="text1"/>
                <w:spacing w:val="-6"/>
                <w:sz w:val="18"/>
                <w:szCs w:val="18"/>
                <w14:textFill>
                  <w14:solidFill>
                    <w14:schemeClr w14:val="tx1"/>
                  </w14:solidFill>
                </w14:textFill>
              </w:rPr>
              <w:t>注1：“</w:t>
            </w:r>
            <w:r>
              <w:rPr>
                <w:rFonts w:hint="eastAsia" w:ascii="宋体" w:hAnsi="宋体"/>
                <w:color w:val="000000" w:themeColor="text1"/>
                <w:kern w:val="0"/>
                <w:sz w:val="18"/>
                <w:szCs w:val="18"/>
                <w14:textFill>
                  <w14:solidFill>
                    <w14:schemeClr w14:val="tx1"/>
                  </w14:solidFill>
                </w14:textFill>
              </w:rPr>
              <w:t>□</w:t>
            </w:r>
            <w:r>
              <w:rPr>
                <w:rFonts w:hint="eastAsia" w:eastAsia="宋体"/>
                <w:color w:val="000000" w:themeColor="text1"/>
                <w:spacing w:val="-6"/>
                <w:sz w:val="18"/>
                <w:szCs w:val="18"/>
                <w14:textFill>
                  <w14:solidFill>
                    <w14:schemeClr w14:val="tx1"/>
                  </w14:solidFill>
                </w14:textFill>
              </w:rPr>
              <w:t xml:space="preserve">”为勾选项，可√；“（ </w:t>
            </w:r>
            <w:r>
              <w:rPr>
                <w:rFonts w:eastAsia="宋体"/>
                <w:color w:val="000000" w:themeColor="text1"/>
                <w:spacing w:val="-6"/>
                <w:sz w:val="18"/>
                <w:szCs w:val="18"/>
                <w14:textFill>
                  <w14:solidFill>
                    <w14:schemeClr w14:val="tx1"/>
                  </w14:solidFill>
                </w14:textFill>
              </w:rPr>
              <w:t xml:space="preserve"> </w:t>
            </w:r>
            <w:r>
              <w:rPr>
                <w:rFonts w:hint="eastAsia" w:eastAsia="宋体"/>
                <w:color w:val="000000" w:themeColor="text1"/>
                <w:spacing w:val="-6"/>
                <w:sz w:val="18"/>
                <w:szCs w:val="18"/>
                <w14:textFill>
                  <w14:solidFill>
                    <w14:schemeClr w14:val="tx1"/>
                  </w14:solidFill>
                </w14:textFill>
              </w:rPr>
              <w:t>）”为内容填写项；“备注”为其他补充内容。</w:t>
            </w:r>
          </w:p>
          <w:p>
            <w:pPr>
              <w:pStyle w:val="2140"/>
              <w:snapToGrid w:val="0"/>
              <w:spacing w:line="240" w:lineRule="auto"/>
              <w:ind w:firstLine="336" w:firstLineChars="200"/>
              <w:textAlignment w:val="auto"/>
              <w:rPr>
                <w:rFonts w:eastAsia="宋体"/>
                <w:color w:val="000000" w:themeColor="text1"/>
                <w:spacing w:val="-6"/>
                <w:sz w:val="18"/>
                <w:szCs w:val="18"/>
                <w14:textFill>
                  <w14:solidFill>
                    <w14:schemeClr w14:val="tx1"/>
                  </w14:solidFill>
                </w14:textFill>
              </w:rPr>
            </w:pPr>
            <w:r>
              <w:rPr>
                <w:rFonts w:hint="eastAsia" w:eastAsia="宋体"/>
                <w:color w:val="000000" w:themeColor="text1"/>
                <w:spacing w:val="-6"/>
                <w:sz w:val="18"/>
                <w:szCs w:val="18"/>
                <w14:textFill>
                  <w14:solidFill>
                    <w14:schemeClr w14:val="tx1"/>
                  </w14:solidFill>
                </w14:textFill>
              </w:rPr>
              <w:t>注2：需要分别开展土壤环境影响评级工作的，分别填写自查表。</w:t>
            </w:r>
          </w:p>
        </w:tc>
        <w:tc>
          <w:tcPr>
            <w:tcW w:w="998" w:type="dxa"/>
            <w:tcBorders>
              <w:tl2br w:val="nil"/>
              <w:tr2bl w:val="nil"/>
            </w:tcBorders>
            <w:vAlign w:val="center"/>
          </w:tcPr>
          <w:p>
            <w:pPr>
              <w:pStyle w:val="2140"/>
              <w:snapToGrid w:val="0"/>
              <w:spacing w:line="240" w:lineRule="auto"/>
              <w:ind w:firstLine="0"/>
              <w:textAlignment w:val="auto"/>
              <w:rPr>
                <w:rFonts w:eastAsia="宋体"/>
                <w:color w:val="000000" w:themeColor="text1"/>
                <w:spacing w:val="-6"/>
                <w:sz w:val="18"/>
                <w:szCs w:val="18"/>
                <w14:textFill>
                  <w14:solidFill>
                    <w14:schemeClr w14:val="tx1"/>
                  </w14:solidFill>
                </w14:textFill>
              </w:rPr>
            </w:pPr>
          </w:p>
        </w:tc>
      </w:tr>
    </w:tbl>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28"/>
          <w:szCs w:val="28"/>
          <w14:textFill>
            <w14:solidFill>
              <w14:schemeClr w14:val="tx1"/>
            </w14:solidFill>
          </w14:textFill>
        </w:rPr>
      </w:pPr>
      <w:bookmarkStart w:id="498" w:name="_Toc23689"/>
      <w:bookmarkStart w:id="499" w:name="_Toc478757773"/>
      <w:bookmarkStart w:id="500" w:name="_Toc3559"/>
      <w:r>
        <w:rPr>
          <w:rFonts w:hint="eastAsia" w:ascii="Times New Roman" w:hAnsi="Times New Roman" w:eastAsia="黑体"/>
          <w:b/>
          <w:color w:val="000000" w:themeColor="text1"/>
          <w:sz w:val="28"/>
          <w:szCs w:val="28"/>
          <w:lang w:val="en-US" w:eastAsia="zh-CN"/>
          <w14:textFill>
            <w14:solidFill>
              <w14:schemeClr w14:val="tx1"/>
            </w14:solidFill>
          </w14:textFill>
        </w:rPr>
        <w:t>6</w:t>
      </w:r>
      <w:r>
        <w:rPr>
          <w:rFonts w:ascii="Times New Roman" w:hAnsi="Times New Roman" w:eastAsia="黑体"/>
          <w:b/>
          <w:color w:val="000000" w:themeColor="text1"/>
          <w:sz w:val="28"/>
          <w:szCs w:val="28"/>
          <w14:textFill>
            <w14:solidFill>
              <w14:schemeClr w14:val="tx1"/>
            </w14:solidFill>
          </w14:textFill>
        </w:rPr>
        <w:t>.2.7</w:t>
      </w:r>
      <w:r>
        <w:rPr>
          <w:rFonts w:hint="eastAsia" w:ascii="黑体" w:hAnsi="黑体" w:eastAsia="黑体"/>
          <w:b/>
          <w:color w:val="000000" w:themeColor="text1"/>
          <w:sz w:val="28"/>
          <w:szCs w:val="28"/>
          <w14:textFill>
            <w14:solidFill>
              <w14:schemeClr w14:val="tx1"/>
            </w14:solidFill>
          </w14:textFill>
        </w:rPr>
        <w:t>固体废物环境影响评价</w:t>
      </w:r>
      <w:bookmarkEnd w:id="498"/>
      <w:bookmarkEnd w:id="499"/>
      <w:bookmarkEnd w:id="500"/>
    </w:p>
    <w:p>
      <w:pPr>
        <w:pStyle w:val="380"/>
        <w:adjustRightInd w:val="0"/>
        <w:snapToGrid w:val="0"/>
        <w:spacing w:before="48" w:beforeLines="20" w:after="48" w:afterLines="20" w:line="520" w:lineRule="exact"/>
        <w:ind w:firstLine="0" w:firstLineChars="0"/>
        <w:jc w:val="left"/>
        <w:outlineLvl w:val="2"/>
        <w:rPr>
          <w:rFonts w:ascii="Times New Roman" w:hAnsiTheme="minorEastAsia" w:eastAsiaTheme="minorEastAsia"/>
          <w:color w:val="000000" w:themeColor="text1"/>
          <w:sz w:val="24"/>
          <w14:textFill>
            <w14:solidFill>
              <w14:schemeClr w14:val="tx1"/>
            </w14:solidFill>
          </w14:textFill>
        </w:rPr>
      </w:pPr>
      <w:bookmarkStart w:id="501" w:name="_Toc14902"/>
      <w:bookmarkStart w:id="502" w:name="_Toc1297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.2.7.1固体废物产生情况</w:t>
      </w:r>
      <w:bookmarkEnd w:id="501"/>
      <w:bookmarkEnd w:id="502"/>
    </w:p>
    <w:p>
      <w:pPr>
        <w:autoSpaceDE w:val="0"/>
        <w:autoSpaceDN w:val="0"/>
        <w:spacing w:line="520" w:lineRule="exact"/>
        <w:ind w:firstLine="480" w:firstLineChars="200"/>
        <w:rPr>
          <w:rFonts w:ascii="Times New Roman" w:hAnsiTheme="minorEastAsia" w:eastAsiaTheme="minorEastAsia"/>
          <w:b/>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根据工程分析，本项目各类固废汇总情况详见表</w:t>
      </w:r>
      <w:r>
        <w:rPr>
          <w:rFonts w:hint="eastAsia" w:ascii="Times New Roman" w:hAnsiTheme="minorEastAsia" w:eastAsiaTheme="minorEastAsia"/>
          <w:color w:val="000000" w:themeColor="text1"/>
          <w:sz w:val="24"/>
          <w:lang w:val="en-US" w:eastAsia="zh-CN"/>
          <w14:textFill>
            <w14:solidFill>
              <w14:schemeClr w14:val="tx1"/>
            </w14:solidFill>
          </w14:textFill>
        </w:rPr>
        <w:t>6</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35</w:t>
      </w:r>
      <w:r>
        <w:rPr>
          <w:rFonts w:ascii="Times New Roman" w:hAnsiTheme="minorEastAsia" w:eastAsiaTheme="minorEastAsia"/>
          <w:color w:val="000000" w:themeColor="text1"/>
          <w:sz w:val="24"/>
          <w14:textFill>
            <w14:solidFill>
              <w14:schemeClr w14:val="tx1"/>
            </w14:solidFill>
          </w14:textFill>
        </w:rPr>
        <w:t>。</w:t>
      </w:r>
    </w:p>
    <w:p>
      <w:pPr>
        <w:spacing w:line="520" w:lineRule="exact"/>
        <w:ind w:firstLine="482" w:firstLineChars="200"/>
        <w:jc w:val="center"/>
        <w:rPr>
          <w:rFonts w:ascii="Times New Roman" w:hAnsiTheme="minorEastAsia" w:eastAsiaTheme="minorEastAsia"/>
          <w:b/>
          <w:color w:val="000000" w:themeColor="text1"/>
          <w:sz w:val="24"/>
          <w14:textFill>
            <w14:solidFill>
              <w14:schemeClr w14:val="tx1"/>
            </w14:solidFill>
          </w14:textFill>
        </w:rPr>
      </w:pPr>
      <w:r>
        <w:rPr>
          <w:rFonts w:ascii="Times New Roman" w:hAnsiTheme="minorEastAsia" w:eastAsiaTheme="minorEastAsia"/>
          <w:b/>
          <w:color w:val="000000" w:themeColor="text1"/>
          <w:sz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6</w:t>
      </w:r>
      <w:r>
        <w:rPr>
          <w:rFonts w:hint="eastAsia" w:ascii="Times New Roman" w:hAnsi="Times New Roman" w:eastAsiaTheme="minorEastAsia"/>
          <w:b/>
          <w:color w:val="000000" w:themeColor="text1"/>
          <w:sz w:val="24"/>
          <w:szCs w:val="24"/>
          <w14:textFill>
            <w14:solidFill>
              <w14:schemeClr w14:val="tx1"/>
            </w14:solidFill>
          </w14:textFill>
        </w:rPr>
        <w:t>.2</w:t>
      </w:r>
      <w:r>
        <w:rPr>
          <w:rFonts w:hint="eastAsia" w:ascii="Times New Roman" w:hAnsi="Times New Roman"/>
          <w:b/>
          <w:color w:val="000000" w:themeColor="text1"/>
          <w:sz w:val="24"/>
          <w:szCs w:val="24"/>
          <w14:textFill>
            <w14:solidFill>
              <w14:schemeClr w14:val="tx1"/>
            </w14:solidFill>
          </w14:textFill>
        </w:rPr>
        <w:t xml:space="preserve">-35 </w:t>
      </w:r>
      <w:r>
        <w:rPr>
          <w:rFonts w:ascii="Times New Roman" w:hAnsi="Times New Roman" w:eastAsiaTheme="minorEastAsia"/>
          <w:b/>
          <w:color w:val="000000" w:themeColor="text1"/>
          <w:sz w:val="24"/>
          <w14:textFill>
            <w14:solidFill>
              <w14:schemeClr w14:val="tx1"/>
            </w14:solidFill>
          </w14:textFill>
        </w:rPr>
        <w:t xml:space="preserve"> </w:t>
      </w:r>
      <w:r>
        <w:rPr>
          <w:rFonts w:hint="eastAsia" w:ascii="Times New Roman" w:hAnsi="Times New Roman" w:eastAsiaTheme="minorEastAsia"/>
          <w:b/>
          <w:color w:val="000000" w:themeColor="text1"/>
          <w:sz w:val="24"/>
          <w14:textFill>
            <w14:solidFill>
              <w14:schemeClr w14:val="tx1"/>
            </w14:solidFill>
          </w14:textFill>
        </w:rPr>
        <w:t>本项目</w:t>
      </w:r>
      <w:r>
        <w:rPr>
          <w:rFonts w:ascii="Times New Roman" w:hAnsiTheme="minorEastAsia" w:eastAsiaTheme="minorEastAsia"/>
          <w:b/>
          <w:color w:val="000000" w:themeColor="text1"/>
          <w:sz w:val="24"/>
          <w14:textFill>
            <w14:solidFill>
              <w14:schemeClr w14:val="tx1"/>
            </w14:solidFill>
          </w14:textFill>
        </w:rPr>
        <w:t>固废种类、产生量及处理处置去向</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640"/>
        <w:gridCol w:w="1023"/>
        <w:gridCol w:w="1022"/>
        <w:gridCol w:w="852"/>
        <w:gridCol w:w="1022"/>
        <w:gridCol w:w="1022"/>
        <w:gridCol w:w="1022"/>
        <w:gridCol w:w="618"/>
        <w:gridCol w:w="618"/>
        <w:gridCol w:w="12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640"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023"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固废名称</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固废类型</w:t>
            </w:r>
          </w:p>
        </w:tc>
        <w:tc>
          <w:tcPr>
            <w:tcW w:w="85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危废类别</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危废代码</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年产生量（</w:t>
            </w:r>
            <w:r>
              <w:rPr>
                <w:rFonts w:ascii="Times New Roman" w:hAnsi="Times New Roman"/>
                <w:color w:val="000000" w:themeColor="text1"/>
                <w:kern w:val="0"/>
                <w:sz w:val="18"/>
                <w:szCs w:val="18"/>
                <w14:textFill>
                  <w14:solidFill>
                    <w14:schemeClr w14:val="tx1"/>
                  </w14:solidFill>
                </w14:textFill>
              </w:rPr>
              <w:t>t/a</w:t>
            </w:r>
            <w:r>
              <w:rPr>
                <w:rFonts w:hint="eastAsia" w:ascii="宋体" w:hAnsi="宋体" w:cs="宋体"/>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产生位置</w:t>
            </w:r>
          </w:p>
        </w:tc>
        <w:tc>
          <w:tcPr>
            <w:tcW w:w="618"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形态</w:t>
            </w:r>
          </w:p>
        </w:tc>
        <w:tc>
          <w:tcPr>
            <w:tcW w:w="618"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周期</w:t>
            </w:r>
          </w:p>
        </w:tc>
        <w:tc>
          <w:tcPr>
            <w:tcW w:w="1256"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640"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c>
          <w:tcPr>
            <w:tcW w:w="1023"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生活垃圾</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生活垃圾</w:t>
            </w:r>
          </w:p>
        </w:tc>
        <w:tc>
          <w:tcPr>
            <w:tcW w:w="85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2.16</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办公生活</w:t>
            </w:r>
          </w:p>
        </w:tc>
        <w:tc>
          <w:tcPr>
            <w:tcW w:w="618"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固态</w:t>
            </w:r>
          </w:p>
        </w:tc>
        <w:tc>
          <w:tcPr>
            <w:tcW w:w="618"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256"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640"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c>
          <w:tcPr>
            <w:tcW w:w="1023"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废包装材料</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一般固废</w:t>
            </w:r>
          </w:p>
        </w:tc>
        <w:tc>
          <w:tcPr>
            <w:tcW w:w="85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综合仓库</w:t>
            </w:r>
          </w:p>
        </w:tc>
        <w:tc>
          <w:tcPr>
            <w:tcW w:w="618"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固态</w:t>
            </w:r>
          </w:p>
        </w:tc>
        <w:tc>
          <w:tcPr>
            <w:tcW w:w="618"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256"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物资部门回收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640"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w:t>
            </w:r>
          </w:p>
        </w:tc>
        <w:tc>
          <w:tcPr>
            <w:tcW w:w="1023"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压滤废渣</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一般固废</w:t>
            </w:r>
          </w:p>
        </w:tc>
        <w:tc>
          <w:tcPr>
            <w:tcW w:w="85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9613.648</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板框压滤</w:t>
            </w:r>
          </w:p>
        </w:tc>
        <w:tc>
          <w:tcPr>
            <w:tcW w:w="618"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固态</w:t>
            </w:r>
          </w:p>
        </w:tc>
        <w:tc>
          <w:tcPr>
            <w:tcW w:w="618"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256" w:type="dxa"/>
            <w:tcBorders>
              <w:tl2br w:val="nil"/>
              <w:tr2bl w:val="nil"/>
            </w:tcBorders>
            <w:shd w:val="clear" w:color="auto" w:fill="auto"/>
            <w:vAlign w:val="center"/>
          </w:tcPr>
          <w:p>
            <w:pPr>
              <w:widowControl/>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外售</w:t>
            </w:r>
            <w:r>
              <w:rPr>
                <w:rFonts w:hint="eastAsia" w:ascii="宋体" w:hAnsi="宋体" w:cs="宋体"/>
                <w:color w:val="000000" w:themeColor="text1"/>
                <w:kern w:val="0"/>
                <w:sz w:val="18"/>
                <w:szCs w:val="18"/>
                <w:lang w:eastAsia="zh-CN"/>
                <w14:textFill>
                  <w14:solidFill>
                    <w14:schemeClr w14:val="tx1"/>
                  </w14:solidFill>
                </w14:textFill>
              </w:rPr>
              <w:t>砖厂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454" w:hRule="atLeast"/>
          <w:jc w:val="center"/>
        </w:trPr>
        <w:tc>
          <w:tcPr>
            <w:tcW w:w="640"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w:t>
            </w:r>
          </w:p>
        </w:tc>
        <w:tc>
          <w:tcPr>
            <w:tcW w:w="1023"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布袋除尘器收集粉尘</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一般固废</w:t>
            </w:r>
          </w:p>
        </w:tc>
        <w:tc>
          <w:tcPr>
            <w:tcW w:w="85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198</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布袋除尘</w:t>
            </w:r>
          </w:p>
        </w:tc>
        <w:tc>
          <w:tcPr>
            <w:tcW w:w="618"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固态</w:t>
            </w:r>
          </w:p>
        </w:tc>
        <w:tc>
          <w:tcPr>
            <w:tcW w:w="618"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256"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作为产品外售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640"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w:t>
            </w:r>
          </w:p>
        </w:tc>
        <w:tc>
          <w:tcPr>
            <w:tcW w:w="1023"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废机油</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危险废物</w:t>
            </w:r>
          </w:p>
        </w:tc>
        <w:tc>
          <w:tcPr>
            <w:tcW w:w="852" w:type="dxa"/>
            <w:tcBorders>
              <w:tl2br w:val="nil"/>
              <w:tr2bl w:val="nil"/>
            </w:tcBorders>
            <w:shd w:val="clear" w:color="auto" w:fill="auto"/>
            <w:vAlign w:val="center"/>
          </w:tcPr>
          <w:p>
            <w:pPr>
              <w:topLinePunct/>
              <w:adjustRightInd w:val="0"/>
              <w:snapToGrid w:val="0"/>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HW08</w:t>
            </w:r>
          </w:p>
        </w:tc>
        <w:tc>
          <w:tcPr>
            <w:tcW w:w="1022" w:type="dxa"/>
            <w:tcBorders>
              <w:tl2br w:val="nil"/>
              <w:tr2bl w:val="nil"/>
            </w:tcBorders>
            <w:shd w:val="clear" w:color="auto" w:fill="auto"/>
            <w:vAlign w:val="center"/>
          </w:tcPr>
          <w:p>
            <w:pPr>
              <w:topLinePunct/>
              <w:adjustRightInd w:val="0"/>
              <w:snapToGrid w:val="0"/>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900-214-08</w:t>
            </w:r>
          </w:p>
        </w:tc>
        <w:tc>
          <w:tcPr>
            <w:tcW w:w="1022" w:type="dxa"/>
            <w:tcBorders>
              <w:tl2br w:val="nil"/>
              <w:tr2bl w:val="nil"/>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w:t>
            </w:r>
          </w:p>
        </w:tc>
        <w:tc>
          <w:tcPr>
            <w:tcW w:w="1022"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设备维修</w:t>
            </w:r>
          </w:p>
        </w:tc>
        <w:tc>
          <w:tcPr>
            <w:tcW w:w="618"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液态</w:t>
            </w:r>
          </w:p>
        </w:tc>
        <w:tc>
          <w:tcPr>
            <w:tcW w:w="618" w:type="dxa"/>
            <w:tcBorders>
              <w:tl2br w:val="nil"/>
              <w:tr2bl w:val="nil"/>
            </w:tcBorders>
            <w:shd w:val="clear" w:color="auto" w:fill="auto"/>
            <w:vAlign w:val="center"/>
          </w:tcPr>
          <w:p>
            <w:pPr>
              <w:widowControl/>
              <w:ind w:firstLine="180" w:firstLineChars="10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1年</w:t>
            </w:r>
          </w:p>
        </w:tc>
        <w:tc>
          <w:tcPr>
            <w:tcW w:w="1256" w:type="dxa"/>
            <w:tcBorders>
              <w:tl2br w:val="nil"/>
              <w:tr2bl w:val="nil"/>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暂存于危废暂存间后委托有资质单位处置</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503" w:name="_Toc27759"/>
      <w:bookmarkStart w:id="504" w:name="_Toc19944"/>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.2.7.2危险废物的收集</w:t>
      </w:r>
      <w:bookmarkEnd w:id="503"/>
      <w:bookmarkEnd w:id="50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05" w:name="_Toc15172"/>
      <w:bookmarkStart w:id="506" w:name="_Toc20005"/>
      <w:r>
        <w:rPr>
          <w:rFonts w:ascii="Times New Roman" w:hAnsi="Times New Roman"/>
          <w:bCs/>
          <w:color w:val="000000" w:themeColor="text1"/>
          <w:sz w:val="24"/>
          <w:szCs w:val="24"/>
          <w14:textFill>
            <w14:solidFill>
              <w14:schemeClr w14:val="tx1"/>
            </w14:solidFill>
          </w14:textFill>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bookmarkEnd w:id="505"/>
      <w:bookmarkEnd w:id="50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07" w:name="_Toc15738"/>
      <w:bookmarkStart w:id="508" w:name="_Toc5868"/>
      <w:r>
        <w:rPr>
          <w:rFonts w:ascii="Times New Roman" w:hAnsi="Times New Roman"/>
          <w:bCs/>
          <w:color w:val="000000" w:themeColor="text1"/>
          <w:sz w:val="24"/>
          <w:szCs w:val="24"/>
          <w14:textFill>
            <w14:solidFill>
              <w14:schemeClr w14:val="tx1"/>
            </w14:solidFill>
          </w14:textFill>
        </w:rPr>
        <w:t>危险废物的收集应制定详细的操作规程，内容至少应包括适用范围、操作程序和方法、专用设备和工具、转移和交接、安全保障和应急防护等。</w:t>
      </w:r>
      <w:bookmarkEnd w:id="507"/>
      <w:bookmarkEnd w:id="50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09" w:name="_Toc19749"/>
      <w:bookmarkStart w:id="510" w:name="_Toc25231"/>
      <w:r>
        <w:rPr>
          <w:rFonts w:ascii="Times New Roman" w:hAnsi="Times New Roman"/>
          <w:bCs/>
          <w:color w:val="000000" w:themeColor="text1"/>
          <w:sz w:val="24"/>
          <w:szCs w:val="24"/>
          <w14:textFill>
            <w14:solidFill>
              <w14:schemeClr w14:val="tx1"/>
            </w14:solidFill>
          </w14:textFill>
        </w:rPr>
        <w:t>危险废物收集和转运作业人员应根据工作需要配备必要的个人防护装备，如手套、防护镜、防护服、防毒面具或口罩等。在危险废物的收集和转运过程中，应采取相应的安全防护和污染防治措施，包括防爆、防火、防中毒、防感染、防泄露、防飞扬、防雨或其它防止污染环境的措施。</w:t>
      </w:r>
      <w:bookmarkEnd w:id="509"/>
      <w:bookmarkEnd w:id="51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11" w:name="_Toc29674"/>
      <w:bookmarkStart w:id="512" w:name="_Toc18034"/>
      <w:r>
        <w:rPr>
          <w:rFonts w:ascii="Times New Roman" w:hAnsi="Times New Roman"/>
          <w:bCs/>
          <w:color w:val="000000" w:themeColor="text1"/>
          <w:sz w:val="24"/>
          <w:szCs w:val="24"/>
          <w14:textFill>
            <w14:solidFill>
              <w14:schemeClr w14:val="tx1"/>
            </w14:solidFill>
          </w14:textFill>
        </w:rPr>
        <w:t>危险废物收集时应根据危险废物的种类、数量、危险特性、物理形态、运输要求等因素确定包装形式，具体包装应符合如下要求：</w:t>
      </w:r>
      <w:bookmarkEnd w:id="511"/>
      <w:bookmarkEnd w:id="51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13" w:name="_Toc29759"/>
      <w:bookmarkStart w:id="514" w:name="_Toc23636"/>
      <w:r>
        <w:rPr>
          <w:rFonts w:ascii="Times New Roman" w:hAnsi="Times New Roman"/>
          <w:bCs/>
          <w:color w:val="000000" w:themeColor="text1"/>
          <w:sz w:val="24"/>
          <w:szCs w:val="24"/>
          <w14:textFill>
            <w14:solidFill>
              <w14:schemeClr w14:val="tx1"/>
            </w14:solidFill>
          </w14:textFill>
        </w:rPr>
        <w:t>①包装材质要与危险废物相容，可根据废物特性选择钢、铝、塑料等材质。</w:t>
      </w:r>
      <w:bookmarkEnd w:id="513"/>
      <w:bookmarkEnd w:id="51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15" w:name="_Toc29578"/>
      <w:bookmarkStart w:id="516" w:name="_Toc21567"/>
      <w:r>
        <w:rPr>
          <w:rFonts w:ascii="Times New Roman" w:hAnsi="Times New Roman"/>
          <w:bCs/>
          <w:color w:val="000000" w:themeColor="text1"/>
          <w:sz w:val="24"/>
          <w:szCs w:val="24"/>
          <w14:textFill>
            <w14:solidFill>
              <w14:schemeClr w14:val="tx1"/>
            </w14:solidFill>
          </w14:textFill>
        </w:rPr>
        <w:t>②性质类似的废物可收集到同一容器中，性质不相容的危险废物不应混合包装。</w:t>
      </w:r>
      <w:bookmarkEnd w:id="515"/>
      <w:bookmarkEnd w:id="51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17" w:name="_Toc6711"/>
      <w:bookmarkStart w:id="518" w:name="_Toc1335"/>
      <w:r>
        <w:rPr>
          <w:rFonts w:ascii="Times New Roman" w:hAnsi="Times New Roman"/>
          <w:bCs/>
          <w:color w:val="000000" w:themeColor="text1"/>
          <w:sz w:val="24"/>
          <w:szCs w:val="24"/>
          <w14:textFill>
            <w14:solidFill>
              <w14:schemeClr w14:val="tx1"/>
            </w14:solidFill>
          </w14:textFill>
        </w:rPr>
        <w:t>③危险废物包装应能有效隔断危险废物迁移扩散途径，并达到防渗、防漏要求。</w:t>
      </w:r>
      <w:bookmarkEnd w:id="517"/>
      <w:bookmarkEnd w:id="51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19" w:name="_Toc2095"/>
      <w:bookmarkStart w:id="520" w:name="_Toc6102"/>
      <w:r>
        <w:rPr>
          <w:rFonts w:ascii="Times New Roman" w:hAnsi="Times New Roman"/>
          <w:bCs/>
          <w:color w:val="000000" w:themeColor="text1"/>
          <w:sz w:val="24"/>
          <w:szCs w:val="24"/>
          <w14:textFill>
            <w14:solidFill>
              <w14:schemeClr w14:val="tx1"/>
            </w14:solidFill>
          </w14:textFill>
        </w:rPr>
        <w:t>④包装好的危险废物应设置相应的标签，标签信息应填写完整翔实。</w:t>
      </w:r>
      <w:bookmarkEnd w:id="519"/>
      <w:bookmarkEnd w:id="52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21" w:name="_Toc26937"/>
      <w:bookmarkStart w:id="522" w:name="_Toc24660"/>
      <w:r>
        <w:rPr>
          <w:rFonts w:ascii="Times New Roman" w:hAnsi="Times New Roman"/>
          <w:bCs/>
          <w:color w:val="000000" w:themeColor="text1"/>
          <w:sz w:val="24"/>
          <w:szCs w:val="24"/>
          <w14:textFill>
            <w14:solidFill>
              <w14:schemeClr w14:val="tx1"/>
            </w14:solidFill>
          </w14:textFill>
        </w:rPr>
        <w:t>⑤盛装过危险废物的包装袋或包装容器破损后应按危险废物进行管理和处置。</w:t>
      </w:r>
      <w:bookmarkEnd w:id="521"/>
      <w:bookmarkEnd w:id="52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23" w:name="_Toc4728"/>
      <w:bookmarkStart w:id="524" w:name="_Toc29436"/>
      <w:r>
        <w:rPr>
          <w:rFonts w:ascii="Times New Roman" w:hAnsi="Times New Roman"/>
          <w:bCs/>
          <w:color w:val="000000" w:themeColor="text1"/>
          <w:sz w:val="24"/>
          <w:szCs w:val="24"/>
          <w14:textFill>
            <w14:solidFill>
              <w14:schemeClr w14:val="tx1"/>
            </w14:solidFill>
          </w14:textFill>
        </w:rPr>
        <w:t>⑥危险废物还应根据危险货物运输包装通用技术条件（GB12463-2009）的有关要求进行运输包装。</w:t>
      </w:r>
      <w:bookmarkEnd w:id="523"/>
      <w:bookmarkEnd w:id="52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25" w:name="_Toc2584"/>
      <w:bookmarkStart w:id="526" w:name="_Toc28427"/>
      <w:r>
        <w:rPr>
          <w:rFonts w:ascii="Times New Roman" w:hAnsi="Times New Roman"/>
          <w:bCs/>
          <w:color w:val="000000" w:themeColor="text1"/>
          <w:sz w:val="24"/>
          <w:szCs w:val="24"/>
          <w14:textFill>
            <w14:solidFill>
              <w14:schemeClr w14:val="tx1"/>
            </w14:solidFill>
          </w14:textFill>
        </w:rPr>
        <w:t>危险废物的收集作业应满足如下要求：</w:t>
      </w:r>
      <w:bookmarkEnd w:id="525"/>
      <w:bookmarkEnd w:id="52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27" w:name="_Toc32720"/>
      <w:bookmarkStart w:id="528" w:name="_Toc13692"/>
      <w:r>
        <w:rPr>
          <w:rFonts w:ascii="Times New Roman" w:hAnsi="Times New Roman"/>
          <w:bCs/>
          <w:color w:val="000000" w:themeColor="text1"/>
          <w:sz w:val="24"/>
          <w:szCs w:val="24"/>
          <w14:textFill>
            <w14:solidFill>
              <w14:schemeClr w14:val="tx1"/>
            </w14:solidFill>
          </w14:textFill>
        </w:rPr>
        <w:t>①应根据收集设备、转运车辆以及现场人员等实际情况确定相应作业区域，同时要设置作业界限标志和警示牌。</w:t>
      </w:r>
      <w:bookmarkEnd w:id="527"/>
      <w:bookmarkEnd w:id="52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29" w:name="_Toc9428"/>
      <w:bookmarkStart w:id="530" w:name="_Toc28223"/>
      <w:r>
        <w:rPr>
          <w:rFonts w:ascii="Times New Roman" w:hAnsi="Times New Roman"/>
          <w:bCs/>
          <w:color w:val="000000" w:themeColor="text1"/>
          <w:sz w:val="24"/>
          <w:szCs w:val="24"/>
          <w14:textFill>
            <w14:solidFill>
              <w14:schemeClr w14:val="tx1"/>
            </w14:solidFill>
          </w14:textFill>
        </w:rPr>
        <w:t>②作业区域内应设置危险废物收集专用通道和人员避险通道。</w:t>
      </w:r>
      <w:bookmarkEnd w:id="529"/>
      <w:bookmarkEnd w:id="53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31" w:name="_Toc3950"/>
      <w:bookmarkStart w:id="532" w:name="_Toc11236"/>
      <w:r>
        <w:rPr>
          <w:rFonts w:ascii="Times New Roman" w:hAnsi="Times New Roman"/>
          <w:bCs/>
          <w:color w:val="000000" w:themeColor="text1"/>
          <w:sz w:val="24"/>
          <w:szCs w:val="24"/>
          <w14:textFill>
            <w14:solidFill>
              <w14:schemeClr w14:val="tx1"/>
            </w14:solidFill>
          </w14:textFill>
        </w:rPr>
        <w:t>③收集时应配备必要的收集工具和包装物，以及必要的应急监测设备及应急装备。</w:t>
      </w:r>
      <w:bookmarkEnd w:id="531"/>
      <w:bookmarkEnd w:id="53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33" w:name="_Toc15896"/>
      <w:bookmarkStart w:id="534" w:name="_Toc22165"/>
      <w:r>
        <w:rPr>
          <w:rFonts w:ascii="Times New Roman" w:hAnsi="Times New Roman"/>
          <w:bCs/>
          <w:color w:val="000000" w:themeColor="text1"/>
          <w:sz w:val="24"/>
          <w:szCs w:val="24"/>
          <w14:textFill>
            <w14:solidFill>
              <w14:schemeClr w14:val="tx1"/>
            </w14:solidFill>
          </w14:textFill>
        </w:rPr>
        <w:t>④危险废物收集应填写记录表，并将记录表作为危险废物管理的重要档案妥善保存。</w:t>
      </w:r>
      <w:bookmarkEnd w:id="533"/>
      <w:bookmarkEnd w:id="53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35" w:name="_Toc13412"/>
      <w:bookmarkStart w:id="536" w:name="_Toc6485"/>
      <w:r>
        <w:rPr>
          <w:rFonts w:ascii="Times New Roman" w:hAnsi="Times New Roman"/>
          <w:bCs/>
          <w:color w:val="000000" w:themeColor="text1"/>
          <w:sz w:val="24"/>
          <w:szCs w:val="24"/>
          <w14:textFill>
            <w14:solidFill>
              <w14:schemeClr w14:val="tx1"/>
            </w14:solidFill>
          </w14:textFill>
        </w:rPr>
        <w:t>⑤收集结束后应清理和恢复收集作业区域，确保作业区域环境整洁安全。</w:t>
      </w:r>
      <w:bookmarkEnd w:id="535"/>
      <w:bookmarkEnd w:id="53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37" w:name="_Toc8597"/>
      <w:bookmarkStart w:id="538" w:name="_Toc7319"/>
      <w:r>
        <w:rPr>
          <w:rFonts w:ascii="Times New Roman" w:hAnsi="Times New Roman"/>
          <w:bCs/>
          <w:color w:val="000000" w:themeColor="text1"/>
          <w:sz w:val="24"/>
          <w:szCs w:val="24"/>
          <w14:textFill>
            <w14:solidFill>
              <w14:schemeClr w14:val="tx1"/>
            </w14:solidFill>
          </w14:textFill>
        </w:rPr>
        <w:t>⑥收集过危险废物的容器、设备、设施、场所及其它物品转作它用时，应消除污染，确保其使用安全。</w:t>
      </w:r>
      <w:bookmarkEnd w:id="537"/>
      <w:bookmarkEnd w:id="53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39" w:name="_Toc9459"/>
      <w:bookmarkStart w:id="540" w:name="_Toc1225"/>
      <w:r>
        <w:rPr>
          <w:rFonts w:ascii="Times New Roman" w:hAnsi="Times New Roman"/>
          <w:bCs/>
          <w:color w:val="000000" w:themeColor="text1"/>
          <w:sz w:val="24"/>
          <w:szCs w:val="24"/>
          <w14:textFill>
            <w14:solidFill>
              <w14:schemeClr w14:val="tx1"/>
            </w14:solidFill>
          </w14:textFill>
        </w:rPr>
        <w:t>危险废物内部转运作业应满足如下要求：</w:t>
      </w:r>
      <w:bookmarkEnd w:id="539"/>
      <w:bookmarkEnd w:id="54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41" w:name="_Toc18550"/>
      <w:bookmarkStart w:id="542" w:name="_Toc17170"/>
      <w:r>
        <w:rPr>
          <w:rFonts w:ascii="Times New Roman" w:hAnsi="Times New Roman"/>
          <w:bCs/>
          <w:color w:val="000000" w:themeColor="text1"/>
          <w:sz w:val="24"/>
          <w:szCs w:val="24"/>
          <w14:textFill>
            <w14:solidFill>
              <w14:schemeClr w14:val="tx1"/>
            </w14:solidFill>
          </w14:textFill>
        </w:rPr>
        <w:t>①危险废物内部转运应综合考虑厂区的实际情况确定转运路线，尽量避开办公区和生活区。</w:t>
      </w:r>
      <w:bookmarkEnd w:id="541"/>
      <w:bookmarkEnd w:id="54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43" w:name="_Toc27076"/>
      <w:bookmarkStart w:id="544" w:name="_Toc17801"/>
      <w:r>
        <w:rPr>
          <w:rFonts w:ascii="Times New Roman" w:hAnsi="Times New Roman"/>
          <w:bCs/>
          <w:color w:val="000000" w:themeColor="text1"/>
          <w:sz w:val="24"/>
          <w:szCs w:val="24"/>
          <w14:textFill>
            <w14:solidFill>
              <w14:schemeClr w14:val="tx1"/>
            </w14:solidFill>
          </w14:textFill>
        </w:rPr>
        <w:t>②危险废物内部转运作业应采用专用的工具，危险废物内部转运应填写《危险废物厂内转运记录表。</w:t>
      </w:r>
      <w:bookmarkEnd w:id="543"/>
      <w:bookmarkEnd w:id="54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45" w:name="_Toc25667"/>
      <w:bookmarkStart w:id="546" w:name="_Toc24674"/>
      <w:r>
        <w:rPr>
          <w:rFonts w:ascii="Times New Roman" w:hAnsi="Times New Roman"/>
          <w:bCs/>
          <w:color w:val="000000" w:themeColor="text1"/>
          <w:sz w:val="24"/>
          <w:szCs w:val="24"/>
          <w14:textFill>
            <w14:solidFill>
              <w14:schemeClr w14:val="tx1"/>
            </w14:solidFill>
          </w14:textFill>
        </w:rPr>
        <w:t>③危险废物内部转运结束后，应对转运路线进行检查和清理，确保无危险废物遗失在转运路线上，并对转运工具进行清洗。</w:t>
      </w:r>
      <w:bookmarkEnd w:id="545"/>
      <w:bookmarkEnd w:id="54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47" w:name="_Toc5053"/>
      <w:bookmarkStart w:id="548" w:name="_Toc23182"/>
      <w:r>
        <w:rPr>
          <w:rFonts w:ascii="Times New Roman" w:hAnsi="Times New Roman"/>
          <w:bCs/>
          <w:color w:val="000000" w:themeColor="text1"/>
          <w:sz w:val="24"/>
          <w:szCs w:val="24"/>
          <w14:textFill>
            <w14:solidFill>
              <w14:schemeClr w14:val="tx1"/>
            </w14:solidFill>
          </w14:textFill>
        </w:rPr>
        <w:t>收集不具备运输包装条件的危险废物时，且危险特性不会对环境和操作人员造成重大危害，可在临时包装后进行暂时贮存，但正式运输前应按要求进行包装。</w:t>
      </w:r>
      <w:bookmarkEnd w:id="547"/>
      <w:bookmarkEnd w:id="548"/>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549" w:name="_Toc14815"/>
      <w:bookmarkStart w:id="550" w:name="_Toc14228"/>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.2.7.3危险废物的贮存</w:t>
      </w:r>
      <w:bookmarkEnd w:id="549"/>
      <w:bookmarkEnd w:id="55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51" w:name="_Toc13691"/>
      <w:bookmarkStart w:id="552" w:name="_Toc31442"/>
      <w:r>
        <w:rPr>
          <w:rFonts w:ascii="Times New Roman" w:hAnsi="Times New Roman"/>
          <w:bCs/>
          <w:color w:val="000000" w:themeColor="text1"/>
          <w:sz w:val="24"/>
          <w:szCs w:val="24"/>
          <w14:textFill>
            <w14:solidFill>
              <w14:schemeClr w14:val="tx1"/>
            </w14:solidFill>
          </w14:textFill>
        </w:rPr>
        <w:t>危险废物贮存设施的选址、设计、建设、运行管理应满足《危险废物贮存污染控制标准》（GB18597-2001）及修改单的有关要求。危险废物贮存设施应配备通讯设备、照明设施和消防设施。贮存危险废物时应按危险废物的种类和特性进行分区贮存，每个贮存区域之间宜设置挡墙间隔，并应设置防雨、防火、防雷、防扬尘装置。贮存易燃易爆危险废物应配置有机气体报警、火灾报警装置和导出静电的接地装置。废弃危险化学品贮存应满足《常用化学危险品贮存通则》、《危险化学品安全管理条例》、《废弃危险化学品污染环境防治办法》的要求。贮存废弃剧毒化学品还应充分考虑防盗要求，采用双钥匙封闭式管理，且有专人24小时看管。</w:t>
      </w:r>
      <w:bookmarkEnd w:id="551"/>
      <w:bookmarkEnd w:id="55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53" w:name="_Toc5520"/>
      <w:bookmarkStart w:id="554" w:name="_Toc11096"/>
      <w:r>
        <w:rPr>
          <w:rFonts w:ascii="Times New Roman" w:hAnsi="Times New Roman"/>
          <w:bCs/>
          <w:color w:val="000000" w:themeColor="text1"/>
          <w:sz w:val="24"/>
          <w:szCs w:val="24"/>
          <w14:textFill>
            <w14:solidFill>
              <w14:schemeClr w14:val="tx1"/>
            </w14:solidFill>
          </w14:textFill>
        </w:rPr>
        <w:t>危险废物贮存期限应符合《中华人民共和国固体废物污染环境防治法》的有关规定，贮存危险废物必须采取符合国家环境保护标准的防护措施，并不得超过一年。危险废物贮存单位应建立危险废物贮存的台帐制度，危险废物出入库应填写交接记录。危险废物贮存设施应根据贮存的废物种类和特性设置标志。危险废物贮存设施的关闭应按照《危险废物贮存污染控制标准》（GB18597-2001）及修改单的有关规定执行。</w:t>
      </w:r>
      <w:bookmarkEnd w:id="553"/>
      <w:bookmarkEnd w:id="55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55" w:name="_Toc26054"/>
      <w:bookmarkStart w:id="556" w:name="_Toc20346"/>
      <w:r>
        <w:rPr>
          <w:rFonts w:ascii="Times New Roman" w:hAnsi="Times New Roman"/>
          <w:bCs/>
          <w:color w:val="000000" w:themeColor="text1"/>
          <w:sz w:val="24"/>
          <w:szCs w:val="24"/>
          <w14:textFill>
            <w14:solidFill>
              <w14:schemeClr w14:val="tx1"/>
            </w14:solidFill>
          </w14:textFill>
        </w:rPr>
        <w:t>目前项目危险废物暂存间按照《危险废物贮存污染控制标准》（GB18597-2001）及修改单中的相关规定要求建设。主要包括：</w:t>
      </w:r>
      <w:bookmarkEnd w:id="555"/>
      <w:bookmarkEnd w:id="55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57" w:name="_Toc10290"/>
      <w:bookmarkStart w:id="558" w:name="_Toc5284"/>
      <w:r>
        <w:rPr>
          <w:rFonts w:ascii="Times New Roman" w:hAnsi="Times New Roman"/>
          <w:bCs/>
          <w:color w:val="000000" w:themeColor="text1"/>
          <w:sz w:val="24"/>
          <w:szCs w:val="24"/>
          <w14:textFill>
            <w14:solidFill>
              <w14:schemeClr w14:val="tx1"/>
            </w14:solidFill>
          </w14:textFill>
        </w:rPr>
        <w:t>①危废暂存间地面基础采取了防渗，采用5mm 塑料薄膜隔离层、100mmC30P6抗渗混凝土、50mm 耐磨地面措施，避免渗漏（渗透系数≤10-10cm/s）。</w:t>
      </w:r>
      <w:bookmarkEnd w:id="557"/>
      <w:bookmarkEnd w:id="55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59" w:name="_Toc31351"/>
      <w:bookmarkStart w:id="560" w:name="_Toc30818"/>
      <w:r>
        <w:rPr>
          <w:rFonts w:ascii="Times New Roman" w:hAnsi="Times New Roman"/>
          <w:bCs/>
          <w:color w:val="000000" w:themeColor="text1"/>
          <w:sz w:val="24"/>
          <w:szCs w:val="24"/>
          <w14:textFill>
            <w14:solidFill>
              <w14:schemeClr w14:val="tx1"/>
            </w14:solidFill>
          </w14:textFill>
        </w:rPr>
        <w:t>②暂存间内不同危险废物进行隔离存放，隔离区已留出搬运通道；且暂存间内设有安全照明设施和观察窗口，满足相关规范要求。</w:t>
      </w:r>
      <w:bookmarkEnd w:id="559"/>
      <w:bookmarkEnd w:id="56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61" w:name="_Toc24316"/>
      <w:bookmarkStart w:id="562" w:name="_Toc7076"/>
      <w:r>
        <w:rPr>
          <w:rFonts w:ascii="Times New Roman" w:hAnsi="Times New Roman"/>
          <w:bCs/>
          <w:color w:val="000000" w:themeColor="text1"/>
          <w:sz w:val="24"/>
          <w:szCs w:val="24"/>
          <w14:textFill>
            <w14:solidFill>
              <w14:schemeClr w14:val="tx1"/>
            </w14:solidFill>
          </w14:textFill>
        </w:rPr>
        <w:t>③企业已对危险废物储运场所进行警示标示，危险废物包装物张贴警示标签。</w:t>
      </w:r>
      <w:bookmarkEnd w:id="561"/>
      <w:bookmarkEnd w:id="56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63" w:name="_Toc26530"/>
      <w:bookmarkStart w:id="564" w:name="_Toc19933"/>
      <w:r>
        <w:rPr>
          <w:rFonts w:ascii="Times New Roman" w:hAnsi="Times New Roman"/>
          <w:bCs/>
          <w:color w:val="000000" w:themeColor="text1"/>
          <w:sz w:val="24"/>
          <w:szCs w:val="24"/>
          <w14:textFill>
            <w14:solidFill>
              <w14:schemeClr w14:val="tx1"/>
            </w14:solidFill>
          </w14:textFill>
        </w:rPr>
        <w:t>④危险废物仓库应设计堵截泄漏的裙脚，地面与裙脚所围建的容积不低于截堵最大容器的最大储量或总储量的1/5。</w:t>
      </w:r>
      <w:bookmarkEnd w:id="563"/>
      <w:bookmarkEnd w:id="56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65" w:name="_Toc4742"/>
      <w:bookmarkStart w:id="566" w:name="_Toc3301"/>
      <w:r>
        <w:rPr>
          <w:rFonts w:ascii="Times New Roman" w:hAnsi="Times New Roman"/>
          <w:bCs/>
          <w:color w:val="000000" w:themeColor="text1"/>
          <w:sz w:val="24"/>
          <w:szCs w:val="24"/>
          <w14:textFill>
            <w14:solidFill>
              <w14:schemeClr w14:val="tx1"/>
            </w14:solidFill>
          </w14:textFill>
        </w:rPr>
        <w:t>⑤须有泄漏液体收集装置及气体导出口和气体净化装置。</w:t>
      </w:r>
      <w:bookmarkEnd w:id="565"/>
      <w:bookmarkEnd w:id="56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67" w:name="_Toc19717"/>
      <w:bookmarkStart w:id="568" w:name="_Toc4515"/>
      <w:r>
        <w:rPr>
          <w:rFonts w:ascii="Times New Roman" w:hAnsi="Times New Roman"/>
          <w:bCs/>
          <w:color w:val="000000" w:themeColor="text1"/>
          <w:sz w:val="24"/>
          <w:szCs w:val="24"/>
          <w14:textFill>
            <w14:solidFill>
              <w14:schemeClr w14:val="tx1"/>
            </w14:solidFill>
          </w14:textFill>
        </w:rPr>
        <w:t>⑥用于存放液体、半固体危险废物的地方，还须有耐腐蚀的硬化地面，地面无裂隙。</w:t>
      </w:r>
      <w:bookmarkEnd w:id="567"/>
      <w:bookmarkEnd w:id="56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69" w:name="_Toc3829"/>
      <w:bookmarkStart w:id="570" w:name="_Toc13597"/>
      <w:r>
        <w:rPr>
          <w:rFonts w:ascii="Times New Roman" w:hAnsi="Times New Roman"/>
          <w:bCs/>
          <w:color w:val="000000" w:themeColor="text1"/>
          <w:sz w:val="24"/>
          <w:szCs w:val="24"/>
          <w14:textFill>
            <w14:solidFill>
              <w14:schemeClr w14:val="tx1"/>
            </w14:solidFill>
          </w14:textFill>
        </w:rPr>
        <w:t>⑦不相容的危险废物堆放区必须有隔离间隔断。</w:t>
      </w:r>
      <w:bookmarkEnd w:id="569"/>
      <w:bookmarkEnd w:id="570"/>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94080" behindDoc="0" locked="0" layoutInCell="1" allowOverlap="1">
            <wp:simplePos x="0" y="0"/>
            <wp:positionH relativeFrom="column">
              <wp:posOffset>114300</wp:posOffset>
            </wp:positionH>
            <wp:positionV relativeFrom="paragraph">
              <wp:posOffset>111760</wp:posOffset>
            </wp:positionV>
            <wp:extent cx="5212080" cy="2103120"/>
            <wp:effectExtent l="0" t="0" r="7620" b="11430"/>
            <wp:wrapNone/>
            <wp:docPr id="2" name="图片 8" descr="b0644a2eb6385ddf5fcd6f8b3e4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b0644a2eb6385ddf5fcd6f8b3e46976"/>
                    <pic:cNvPicPr>
                      <a:picLocks noChangeAspect="1"/>
                    </pic:cNvPicPr>
                  </pic:nvPicPr>
                  <pic:blipFill>
                    <a:blip r:embed="rId44"/>
                    <a:srcRect l="3828" t="8235" r="4329"/>
                    <a:stretch>
                      <a:fillRect/>
                    </a:stretch>
                  </pic:blipFill>
                  <pic:spPr>
                    <a:xfrm>
                      <a:off x="0" y="0"/>
                      <a:ext cx="5212080" cy="2103120"/>
                    </a:xfrm>
                    <a:prstGeom prst="rect">
                      <a:avLst/>
                    </a:prstGeom>
                    <a:noFill/>
                    <a:ln>
                      <a:noFill/>
                    </a:ln>
                  </pic:spPr>
                </pic:pic>
              </a:graphicData>
            </a:graphic>
          </wp:anchor>
        </w:drawing>
      </w:r>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p>
    <w:p>
      <w:pPr>
        <w:rPr>
          <w:color w:val="000000" w:themeColor="text1"/>
          <w14:textFill>
            <w14:solidFill>
              <w14:schemeClr w14:val="tx1"/>
            </w14:solidFill>
          </w14:textFill>
        </w:rPr>
      </w:pPr>
    </w:p>
    <w:p>
      <w:pPr>
        <w:pStyle w:val="80"/>
        <w:widowControl w:val="0"/>
        <w:autoSpaceDE w:val="0"/>
        <w:autoSpaceDN w:val="0"/>
        <w:adjustRightInd w:val="0"/>
        <w:snapToGrid w:val="0"/>
        <w:spacing w:before="0" w:beforeAutospacing="0" w:after="0" w:afterAutospacing="0" w:line="360" w:lineRule="auto"/>
        <w:ind w:firstLine="2650" w:firstLineChars="110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eastAsia="宋体" w:cs="Times New Roman"/>
          <w:b/>
          <w:color w:val="000000" w:themeColor="text1"/>
          <w:kern w:val="2"/>
          <w:szCs w:val="24"/>
          <w:lang w:bidi="ar"/>
          <w14:textFill>
            <w14:solidFill>
              <w14:schemeClr w14:val="tx1"/>
            </w14:solidFill>
          </w14:textFill>
        </w:rPr>
        <w:t>图</w:t>
      </w:r>
      <w:r>
        <w:rPr>
          <w:rFonts w:hint="eastAsia" w:ascii="Times New Roman" w:hAnsi="Times New Roman" w:eastAsia="宋体" w:cs="Times New Roman"/>
          <w:b/>
          <w:color w:val="000000" w:themeColor="text1"/>
          <w:kern w:val="2"/>
          <w:szCs w:val="24"/>
          <w:lang w:val="en-US" w:eastAsia="zh-CN" w:bidi="ar"/>
          <w14:textFill>
            <w14:solidFill>
              <w14:schemeClr w14:val="tx1"/>
            </w14:solidFill>
          </w14:textFill>
        </w:rPr>
        <w:t>6</w:t>
      </w:r>
      <w:r>
        <w:rPr>
          <w:rFonts w:ascii="Times New Roman" w:hAnsi="Times New Roman" w:eastAsia="宋体" w:cs="Times New Roman"/>
          <w:b/>
          <w:color w:val="000000" w:themeColor="text1"/>
          <w:kern w:val="2"/>
          <w:szCs w:val="24"/>
          <w:lang w:bidi="ar"/>
          <w14:textFill>
            <w14:solidFill>
              <w14:schemeClr w14:val="tx1"/>
            </w14:solidFill>
          </w14:textFill>
        </w:rPr>
        <w:t>.2-</w:t>
      </w:r>
      <w:r>
        <w:rPr>
          <w:rFonts w:hint="eastAsia" w:ascii="Times New Roman" w:hAnsi="Times New Roman" w:eastAsia="宋体" w:cs="Times New Roman"/>
          <w:b/>
          <w:color w:val="000000" w:themeColor="text1"/>
          <w:kern w:val="2"/>
          <w:szCs w:val="24"/>
          <w:lang w:val="en-US" w:eastAsia="zh-CN" w:bidi="ar"/>
          <w14:textFill>
            <w14:solidFill>
              <w14:schemeClr w14:val="tx1"/>
            </w14:solidFill>
          </w14:textFill>
        </w:rPr>
        <w:t>8</w:t>
      </w:r>
      <w:r>
        <w:rPr>
          <w:rFonts w:ascii="Times New Roman" w:hAnsi="Times New Roman" w:eastAsia="宋体" w:cs="Times New Roman"/>
          <w:b/>
          <w:color w:val="000000" w:themeColor="text1"/>
          <w:kern w:val="2"/>
          <w:szCs w:val="24"/>
          <w:lang w:bidi="ar"/>
          <w14:textFill>
            <w14:solidFill>
              <w14:schemeClr w14:val="tx1"/>
            </w14:solidFill>
          </w14:textFill>
        </w:rPr>
        <w:t xml:space="preserve"> 规范化危险废物标识</w:t>
      </w:r>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bookmarkStart w:id="571" w:name="_Toc18030"/>
      <w:bookmarkStart w:id="572" w:name="_Toc3169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.2.7.4危险废物的运输</w:t>
      </w:r>
      <w:bookmarkEnd w:id="571"/>
      <w:bookmarkEnd w:id="57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73" w:name="_Toc21244"/>
      <w:bookmarkStart w:id="574" w:name="_Toc15131"/>
      <w:r>
        <w:rPr>
          <w:rFonts w:ascii="Times New Roman" w:hAnsi="Times New Roman"/>
          <w:bCs/>
          <w:color w:val="000000" w:themeColor="text1"/>
          <w:sz w:val="24"/>
          <w:szCs w:val="24"/>
          <w14:textFill>
            <w14:solidFill>
              <w14:schemeClr w14:val="tx1"/>
            </w14:solidFill>
          </w14:textFill>
        </w:rPr>
        <w:t>危险废物运输应由持有危险废物经营许可证的单位按照其许可证的经营范围组织实施，承担危险废物运输的单位应获得交通运输部门颁布的危险货物运输资质。危险废物公路运输应按照《道路危险货物运输管理规定》(交通部令[2005 年]第9 号)、JT617以及JT618 执行；危险废物铁路运输应按《铁路危险货物运输管理规则》(铁运[2006]79号)规定执行；危险废物水路运输应按《水路危险货物运输规则》(交通部令[1996 年]第10号)规定执行。</w:t>
      </w:r>
      <w:bookmarkEnd w:id="573"/>
      <w:bookmarkEnd w:id="57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75" w:name="_Toc18499"/>
      <w:bookmarkStart w:id="576" w:name="_Toc25265"/>
      <w:r>
        <w:rPr>
          <w:rFonts w:ascii="Times New Roman" w:hAnsi="Times New Roman"/>
          <w:bCs/>
          <w:color w:val="000000" w:themeColor="text1"/>
          <w:sz w:val="24"/>
          <w:szCs w:val="24"/>
          <w14:textFill>
            <w14:solidFill>
              <w14:schemeClr w14:val="tx1"/>
            </w14:solidFill>
          </w14:textFill>
        </w:rPr>
        <w:t>废弃危险化学品的运输应执行《危险化学品安全管理条例》有关运输的规定。运输单位承运危险废物时，应在危险废物包装上按照GB18597 附录A 设置标志。危险废物公路运输时，运输车辆应按GB13392设置车辆标志。铁路运输和水路运输危险废物时应在集装箱外按GB190规定悬挂标志。</w:t>
      </w:r>
      <w:bookmarkEnd w:id="575"/>
      <w:bookmarkEnd w:id="57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77" w:name="_Toc11726"/>
      <w:bookmarkStart w:id="578" w:name="_Toc9020"/>
      <w:r>
        <w:rPr>
          <w:rFonts w:ascii="Times New Roman" w:hAnsi="Times New Roman"/>
          <w:bCs/>
          <w:color w:val="000000" w:themeColor="text1"/>
          <w:sz w:val="24"/>
          <w:szCs w:val="24"/>
          <w14:textFill>
            <w14:solidFill>
              <w14:schemeClr w14:val="tx1"/>
            </w14:solidFill>
          </w14:textFill>
        </w:rPr>
        <w:t>危险废物运输时的中转、装卸过程应遵守如下技术要求：</w:t>
      </w:r>
      <w:bookmarkEnd w:id="577"/>
      <w:bookmarkEnd w:id="57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79" w:name="_Toc10876"/>
      <w:bookmarkStart w:id="580" w:name="_Toc17570"/>
      <w:r>
        <w:rPr>
          <w:rFonts w:ascii="Times New Roman" w:hAnsi="Times New Roman"/>
          <w:bCs/>
          <w:color w:val="000000" w:themeColor="text1"/>
          <w:sz w:val="24"/>
          <w:szCs w:val="24"/>
          <w14:textFill>
            <w14:solidFill>
              <w14:schemeClr w14:val="tx1"/>
            </w14:solidFill>
          </w14:textFill>
        </w:rPr>
        <w:t>①卸载区的工作人员应熟悉废物的危险特性，并配备适当的个人防护装备，装卸剧毒废物应配备特殊的防护装备。</w:t>
      </w:r>
      <w:bookmarkEnd w:id="579"/>
      <w:bookmarkEnd w:id="58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81" w:name="_Toc29751"/>
      <w:bookmarkStart w:id="582" w:name="_Toc28920"/>
      <w:r>
        <w:rPr>
          <w:rFonts w:ascii="Times New Roman" w:hAnsi="Times New Roman"/>
          <w:bCs/>
          <w:color w:val="000000" w:themeColor="text1"/>
          <w:sz w:val="24"/>
          <w:szCs w:val="24"/>
          <w14:textFill>
            <w14:solidFill>
              <w14:schemeClr w14:val="tx1"/>
            </w14:solidFill>
          </w14:textFill>
        </w:rPr>
        <w:t>②卸载区应配备必要的消防设备和设施，并设置明显的指示标志。</w:t>
      </w:r>
      <w:bookmarkEnd w:id="581"/>
      <w:bookmarkEnd w:id="58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83" w:name="_Toc16547"/>
      <w:bookmarkStart w:id="584" w:name="_Toc28144"/>
      <w:r>
        <w:rPr>
          <w:rFonts w:ascii="Times New Roman" w:hAnsi="Times New Roman"/>
          <w:bCs/>
          <w:color w:val="000000" w:themeColor="text1"/>
          <w:sz w:val="24"/>
          <w:szCs w:val="24"/>
          <w14:textFill>
            <w14:solidFill>
              <w14:schemeClr w14:val="tx1"/>
            </w14:solidFill>
          </w14:textFill>
        </w:rPr>
        <w:t>③危险废物装卸区应设置隔离设施，液态废物卸载区应设置收集槽和缓冲罐。</w:t>
      </w:r>
      <w:bookmarkEnd w:id="583"/>
      <w:bookmarkEnd w:id="58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85" w:name="_Toc25521"/>
      <w:bookmarkStart w:id="586" w:name="_Toc7213"/>
      <w:r>
        <w:rPr>
          <w:rFonts w:ascii="Times New Roman" w:hAnsi="Times New Roman"/>
          <w:bCs/>
          <w:color w:val="000000" w:themeColor="text1"/>
          <w:sz w:val="24"/>
          <w:szCs w:val="24"/>
          <w14:textFill>
            <w14:solidFill>
              <w14:schemeClr w14:val="tx1"/>
            </w14:solidFill>
          </w14:textFill>
        </w:rPr>
        <w:t>④运输单位应具有危险货物运输资质和对危险废物包装发生破裂、泄露或其他事故进行处理的能力。</w:t>
      </w:r>
      <w:bookmarkEnd w:id="585"/>
      <w:bookmarkEnd w:id="58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87" w:name="_Toc4611"/>
      <w:bookmarkStart w:id="588" w:name="_Toc26172"/>
      <w:r>
        <w:rPr>
          <w:rFonts w:ascii="Times New Roman" w:hAnsi="Times New Roman"/>
          <w:bCs/>
          <w:color w:val="000000" w:themeColor="text1"/>
          <w:sz w:val="24"/>
          <w:szCs w:val="24"/>
          <w14:textFill>
            <w14:solidFill>
              <w14:schemeClr w14:val="tx1"/>
            </w14:solidFill>
          </w14:textFill>
        </w:rPr>
        <w:t>⑤运输车辆在公路上行驶应持有通行证。其上应证明废物的来源、性质、运往地点，必要时须有单位人员负责押运工作。</w:t>
      </w:r>
      <w:bookmarkEnd w:id="587"/>
      <w:bookmarkEnd w:id="58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89" w:name="_Toc28489"/>
      <w:bookmarkStart w:id="590" w:name="_Toc32044"/>
      <w:r>
        <w:rPr>
          <w:rFonts w:ascii="Times New Roman" w:hAnsi="Times New Roman"/>
          <w:bCs/>
          <w:color w:val="000000" w:themeColor="text1"/>
          <w:sz w:val="24"/>
          <w:szCs w:val="24"/>
          <w14:textFill>
            <w14:solidFill>
              <w14:schemeClr w14:val="tx1"/>
            </w14:solidFill>
          </w14:textFill>
        </w:rPr>
        <w:t>⑥运输单位应制定详细的运输方案及路线，并制定事故应急预案，配备事故应急及个人防护设备，以保证在收集、运输过程中发生事故时能有效地减少以至防止对环境的污染。</w:t>
      </w:r>
      <w:bookmarkEnd w:id="589"/>
      <w:bookmarkEnd w:id="59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91" w:name="_Toc21170"/>
      <w:bookmarkStart w:id="592" w:name="_Toc16053"/>
      <w:r>
        <w:rPr>
          <w:rFonts w:ascii="Times New Roman" w:hAnsi="Times New Roman"/>
          <w:bCs/>
          <w:color w:val="000000" w:themeColor="text1"/>
          <w:sz w:val="24"/>
          <w:szCs w:val="24"/>
          <w14:textFill>
            <w14:solidFill>
              <w14:schemeClr w14:val="tx1"/>
            </w14:solidFill>
          </w14:textFill>
        </w:rPr>
        <w:t>⑦运输时应采取有效的包装措施，以防止危废中有害成分的泄漏污染。</w:t>
      </w:r>
      <w:bookmarkEnd w:id="591"/>
      <w:bookmarkEnd w:id="59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93" w:name="_Toc23286"/>
      <w:bookmarkStart w:id="594" w:name="_Toc30212"/>
      <w:r>
        <w:rPr>
          <w:rFonts w:ascii="Times New Roman" w:hAnsi="Times New Roman"/>
          <w:bCs/>
          <w:color w:val="000000" w:themeColor="text1"/>
          <w:sz w:val="24"/>
          <w:szCs w:val="24"/>
          <w14:textFill>
            <w14:solidFill>
              <w14:schemeClr w14:val="tx1"/>
            </w14:solidFill>
          </w14:textFill>
        </w:rPr>
        <w:t>⑧运输车辆驾驶员和押运人员等必须经过危险废物和应急救援方面的培训，包括防火、防泄漏以及应急联络等。</w:t>
      </w:r>
      <w:bookmarkEnd w:id="593"/>
      <w:bookmarkEnd w:id="59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95" w:name="_Toc32289"/>
      <w:bookmarkStart w:id="596" w:name="_Toc28547"/>
      <w:r>
        <w:rPr>
          <w:rFonts w:ascii="Times New Roman" w:hAnsi="Times New Roman"/>
          <w:bCs/>
          <w:color w:val="000000" w:themeColor="text1"/>
          <w:sz w:val="24"/>
          <w:szCs w:val="24"/>
          <w14:textFill>
            <w14:solidFill>
              <w14:schemeClr w14:val="tx1"/>
            </w14:solidFill>
          </w14:textFill>
        </w:rPr>
        <w:t>危险废物的转移应按照《危险废物转移联单管理办法》的相关要求执行：</w:t>
      </w:r>
      <w:bookmarkEnd w:id="595"/>
      <w:bookmarkEnd w:id="59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97" w:name="_Toc9837"/>
      <w:bookmarkStart w:id="598" w:name="_Toc11050"/>
      <w:r>
        <w:rPr>
          <w:rFonts w:ascii="Times New Roman" w:hAnsi="Times New Roman"/>
          <w:bCs/>
          <w:color w:val="000000" w:themeColor="text1"/>
          <w:sz w:val="24"/>
          <w:szCs w:val="24"/>
          <w14:textFill>
            <w14:solidFill>
              <w14:schemeClr w14:val="tx1"/>
            </w14:solidFill>
          </w14:textFill>
        </w:rPr>
        <w:t>①在转移危险废物前，须按照国家有关规定报批危险废物转移计划，经批准后，建设单位应当向当地环保部门申请领取联单。</w:t>
      </w:r>
      <w:bookmarkEnd w:id="597"/>
      <w:bookmarkEnd w:id="598"/>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599" w:name="_Toc27603"/>
      <w:bookmarkStart w:id="600" w:name="_Toc11388"/>
      <w:r>
        <w:rPr>
          <w:rFonts w:ascii="Times New Roman" w:hAnsi="Times New Roman"/>
          <w:bCs/>
          <w:color w:val="000000" w:themeColor="text1"/>
          <w:sz w:val="24"/>
          <w:szCs w:val="24"/>
          <w14:textFill>
            <w14:solidFill>
              <w14:schemeClr w14:val="tx1"/>
            </w14:solidFill>
          </w14:textFill>
        </w:rPr>
        <w:t>②应当在危险废物转移前三日内报告当地环境保护行政主管部门，并同时将预期到达时间报告接受地环境保护行政主管部门。</w:t>
      </w:r>
      <w:bookmarkEnd w:id="599"/>
      <w:bookmarkEnd w:id="60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601" w:name="_Toc28669"/>
      <w:bookmarkStart w:id="602" w:name="_Toc17828"/>
      <w:r>
        <w:rPr>
          <w:rFonts w:ascii="Times New Roman" w:hAnsi="Times New Roman"/>
          <w:bCs/>
          <w:color w:val="000000" w:themeColor="text1"/>
          <w:sz w:val="24"/>
          <w:szCs w:val="24"/>
          <w14:textFill>
            <w14:solidFill>
              <w14:schemeClr w14:val="tx1"/>
            </w14:solidFill>
          </w14:textFill>
        </w:rPr>
        <w:t>③每转移一车同类危险废物，应当填写一份联单。每车有多类危险废物的，应当按每一类危险废物填写一份联单。</w:t>
      </w:r>
      <w:bookmarkEnd w:id="601"/>
      <w:bookmarkEnd w:id="602"/>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603" w:name="_Toc30903"/>
      <w:bookmarkStart w:id="604" w:name="_Toc13568"/>
      <w:r>
        <w:rPr>
          <w:rFonts w:ascii="Times New Roman" w:hAnsi="Times New Roman"/>
          <w:bCs/>
          <w:color w:val="000000" w:themeColor="text1"/>
          <w:sz w:val="24"/>
          <w:szCs w:val="24"/>
          <w14:textFill>
            <w14:solidFill>
              <w14:schemeClr w14:val="tx1"/>
            </w14:solidFill>
          </w14:textFill>
        </w:rPr>
        <w:t>④应当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bookmarkEnd w:id="603"/>
      <w:bookmarkEnd w:id="604"/>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605" w:name="_Toc23634"/>
      <w:bookmarkStart w:id="606" w:name="_Toc16354"/>
      <w:r>
        <w:rPr>
          <w:rFonts w:ascii="Times New Roman" w:hAnsi="Times New Roman"/>
          <w:bCs/>
          <w:color w:val="000000" w:themeColor="text1"/>
          <w:sz w:val="24"/>
          <w:szCs w:val="24"/>
          <w14:textFill>
            <w14:solidFill>
              <w14:schemeClr w14:val="tx1"/>
            </w14:solidFill>
          </w14:textFill>
        </w:rPr>
        <w:t>⑤危险废物运输单位应当如实填写联单的运输单位栏目，按照国家有关危险物品运输的规定，将危险废物安全运抵联单载明的接受地点，并将联单第一联、第二联副联、第三联、第四联、第五联随转移的危险废物交付危险废物接受单位。</w:t>
      </w:r>
      <w:bookmarkEnd w:id="605"/>
      <w:bookmarkEnd w:id="606"/>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607" w:name="_Toc12366"/>
      <w:bookmarkStart w:id="608" w:name="_Toc14347"/>
      <w:r>
        <w:rPr>
          <w:rFonts w:ascii="Times New Roman" w:hAnsi="Times New Roman"/>
          <w:bCs/>
          <w:color w:val="000000" w:themeColor="text1"/>
          <w:sz w:val="24"/>
          <w:szCs w:val="24"/>
          <w14:textFill>
            <w14:solidFill>
              <w14:schemeClr w14:val="tx1"/>
            </w14:solidFill>
          </w14:textFill>
        </w:rPr>
        <w:t>⑥接受单位应当将联单第一联、第二联副联自接受危险废物之日起十日内交付公司，联单第一联由公司自留存档，联单第二联副联由公司在二日内报送当地环境保护行政主管部门；接受单位将联单第三联交付运输单位存档；将联单第四联自留存档；将联单第五联自接受危险废物之日起二日内报送接受地环境保护行政主管部门。</w:t>
      </w:r>
      <w:bookmarkEnd w:id="607"/>
      <w:bookmarkEnd w:id="608"/>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bookmarkStart w:id="609" w:name="_Toc15267"/>
      <w:bookmarkStart w:id="610" w:name="_Toc23056"/>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hint="eastAsia" w:ascii="Times New Roman" w:hAnsi="Times New Roman" w:eastAsia="黑体"/>
          <w:b/>
          <w:color w:val="000000" w:themeColor="text1"/>
          <w:sz w:val="24"/>
          <w:szCs w:val="24"/>
          <w14:textFill>
            <w14:solidFill>
              <w14:schemeClr w14:val="tx1"/>
            </w14:solidFill>
          </w14:textFill>
        </w:rPr>
        <w:t>.2.7.5危险废物暂存间选址要求</w:t>
      </w:r>
      <w:bookmarkEnd w:id="609"/>
      <w:bookmarkEnd w:id="610"/>
    </w:p>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611" w:name="_Toc14523"/>
      <w:bookmarkStart w:id="612" w:name="_Toc5558"/>
      <w:r>
        <w:rPr>
          <w:rFonts w:ascii="Times New Roman" w:hAnsi="Times New Roman"/>
          <w:bCs/>
          <w:color w:val="000000" w:themeColor="text1"/>
          <w:sz w:val="24"/>
          <w:szCs w:val="24"/>
          <w14:textFill>
            <w14:solidFill>
              <w14:schemeClr w14:val="tx1"/>
            </w14:solidFill>
          </w14:textFill>
        </w:rPr>
        <w:t>项目危险废物贮存设施的选址按照《危险废物贮存污染控制标准》中贮存设施选址要求，详见表</w:t>
      </w:r>
      <w:r>
        <w:rPr>
          <w:rFonts w:hint="eastAsia" w:ascii="Times New Roman" w:hAnsi="Times New Roman"/>
          <w:bCs/>
          <w:color w:val="000000" w:themeColor="text1"/>
          <w:sz w:val="24"/>
          <w:szCs w:val="24"/>
          <w:lang w:val="en-US" w:eastAsia="zh-CN"/>
          <w14:textFill>
            <w14:solidFill>
              <w14:schemeClr w14:val="tx1"/>
            </w14:solidFill>
          </w14:textFill>
        </w:rPr>
        <w:t>6</w:t>
      </w:r>
      <w:r>
        <w:rPr>
          <w:rFonts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2</w:t>
      </w:r>
      <w:r>
        <w:rPr>
          <w:rFonts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36</w:t>
      </w:r>
      <w:r>
        <w:rPr>
          <w:rFonts w:ascii="Times New Roman" w:hAnsi="Times New Roman"/>
          <w:bCs/>
          <w:color w:val="000000" w:themeColor="text1"/>
          <w:sz w:val="24"/>
          <w:szCs w:val="24"/>
          <w14:textFill>
            <w14:solidFill>
              <w14:schemeClr w14:val="tx1"/>
            </w14:solidFill>
          </w14:textFill>
        </w:rPr>
        <w:t>。</w:t>
      </w:r>
      <w:bookmarkEnd w:id="611"/>
      <w:bookmarkEnd w:id="612"/>
    </w:p>
    <w:p>
      <w:pPr>
        <w:pStyle w:val="380"/>
        <w:adjustRightInd w:val="0"/>
        <w:snapToGrid w:val="0"/>
        <w:spacing w:before="48" w:beforeLines="20" w:after="48" w:afterLines="20" w:line="520" w:lineRule="exact"/>
        <w:ind w:firstLine="1205" w:firstLineChars="500"/>
        <w:jc w:val="left"/>
        <w:outlineLvl w:val="2"/>
        <w:rPr>
          <w:rFonts w:ascii="Times New Roman" w:hAnsi="Times New Roman"/>
          <w:b/>
          <w:color w:val="000000" w:themeColor="text1"/>
          <w:sz w:val="24"/>
          <w:szCs w:val="24"/>
          <w14:textFill>
            <w14:solidFill>
              <w14:schemeClr w14:val="tx1"/>
            </w14:solidFill>
          </w14:textFill>
        </w:rPr>
      </w:pPr>
      <w:bookmarkStart w:id="613" w:name="_Toc1375"/>
      <w:bookmarkStart w:id="614" w:name="_Toc31255"/>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6</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36</w:t>
      </w:r>
      <w:r>
        <w:rPr>
          <w:rFonts w:ascii="Times New Roman" w:hAnsi="Times New Roman"/>
          <w:b/>
          <w:color w:val="000000" w:themeColor="text1"/>
          <w:sz w:val="24"/>
          <w:szCs w:val="24"/>
          <w14:textFill>
            <w14:solidFill>
              <w14:schemeClr w14:val="tx1"/>
            </w14:solidFill>
          </w14:textFill>
        </w:rPr>
        <w:t xml:space="preserve"> 《危险废物贮存污染控制标准》中选址要求一览表</w:t>
      </w:r>
      <w:bookmarkEnd w:id="613"/>
      <w:bookmarkEnd w:id="614"/>
    </w:p>
    <w:tbl>
      <w:tblPr>
        <w:tblStyle w:val="87"/>
        <w:tblW w:w="8940"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1805"/>
        <w:gridCol w:w="713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60" w:hRule="atLeast"/>
          <w:jc w:val="center"/>
        </w:trPr>
        <w:tc>
          <w:tcPr>
            <w:tcW w:w="1805" w:type="dxa"/>
            <w:tcBorders>
              <w:top w:val="single" w:color="000000" w:sz="12" w:space="0"/>
              <w:left w:val="single" w:color="000000" w:sz="12" w:space="0"/>
              <w:bottom w:val="single" w:color="000000" w:sz="2" w:space="0"/>
              <w:right w:val="single" w:color="000000" w:sz="2" w:space="0"/>
            </w:tcBorders>
            <w:shd w:val="clear" w:color="auto" w:fill="auto"/>
            <w:vAlign w:val="center"/>
          </w:tcPr>
          <w:p>
            <w:pPr>
              <w:pStyle w:val="80"/>
              <w:spacing w:before="0" w:beforeAutospacing="0" w:after="0" w:afterAutospacing="0"/>
              <w:ind w:firstLine="42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编号</w:t>
            </w:r>
          </w:p>
        </w:tc>
        <w:tc>
          <w:tcPr>
            <w:tcW w:w="7135" w:type="dxa"/>
            <w:tcBorders>
              <w:top w:val="single" w:color="000000" w:sz="12" w:space="0"/>
              <w:left w:val="single" w:color="000000" w:sz="2" w:space="0"/>
              <w:bottom w:val="single" w:color="000000" w:sz="2" w:space="0"/>
              <w:right w:val="single" w:color="000000" w:sz="12" w:space="0"/>
            </w:tcBorders>
            <w:shd w:val="clear" w:color="auto" w:fill="auto"/>
            <w:vAlign w:val="center"/>
          </w:tcPr>
          <w:p>
            <w:pPr>
              <w:pStyle w:val="80"/>
              <w:spacing w:before="0" w:beforeAutospacing="0" w:after="0" w:afterAutospacing="0"/>
              <w:ind w:left="420" w:firstLine="48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《危险废物贮存污染控制标准》中选址条款</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6" w:hRule="atLeast"/>
          <w:jc w:val="center"/>
        </w:trPr>
        <w:tc>
          <w:tcPr>
            <w:tcW w:w="1805" w:type="dxa"/>
            <w:tcBorders>
              <w:top w:val="single" w:color="000000" w:sz="2" w:space="0"/>
              <w:left w:val="single" w:color="000000" w:sz="12" w:space="0"/>
              <w:bottom w:val="single" w:color="000000" w:sz="2" w:space="0"/>
              <w:right w:val="single" w:color="000000" w:sz="2" w:space="0"/>
            </w:tcBorders>
            <w:shd w:val="clear" w:color="auto" w:fill="auto"/>
            <w:vAlign w:val="center"/>
          </w:tcPr>
          <w:p>
            <w:pPr>
              <w:ind w:firstLine="630" w:firstLineChars="300"/>
              <w:rPr>
                <w:color w:val="000000" w:themeColor="text1"/>
                <w14:textFill>
                  <w14:solidFill>
                    <w14:schemeClr w14:val="tx1"/>
                  </w14:solidFill>
                </w14:textFill>
              </w:rPr>
            </w:pPr>
            <w:r>
              <w:rPr>
                <w:rFonts w:ascii="Times New Roman" w:hAnsi="Times New Roman"/>
                <w:color w:val="000000" w:themeColor="text1"/>
                <w:szCs w:val="24"/>
                <w:lang w:bidi="ar"/>
                <w14:textFill>
                  <w14:solidFill>
                    <w14:schemeClr w14:val="tx1"/>
                  </w14:solidFill>
                </w14:textFill>
              </w:rPr>
              <w:t>1</w:t>
            </w:r>
          </w:p>
        </w:tc>
        <w:tc>
          <w:tcPr>
            <w:tcW w:w="7135" w:type="dxa"/>
            <w:tcBorders>
              <w:top w:val="single" w:color="000000" w:sz="2" w:space="0"/>
              <w:left w:val="single" w:color="000000" w:sz="2" w:space="0"/>
              <w:bottom w:val="single" w:color="000000" w:sz="2" w:space="0"/>
              <w:right w:val="single" w:color="000000" w:sz="12" w:space="0"/>
            </w:tcBorders>
            <w:shd w:val="clear" w:color="auto" w:fill="auto"/>
            <w:vAlign w:val="center"/>
          </w:tcPr>
          <w:p>
            <w:pPr>
              <w:pStyle w:val="80"/>
              <w:spacing w:before="0" w:beforeAutospacing="0" w:after="0" w:afterAutospacing="0"/>
              <w:ind w:firstLine="840" w:firstLineChars="4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地址结构稳定，地震烈度不超过</w:t>
            </w:r>
            <w:r>
              <w:rPr>
                <w:rFonts w:ascii="Times New Roman" w:hAnsi="Times New Roman" w:eastAsia="宋体" w:cs="Times New Roman"/>
                <w:color w:val="000000" w:themeColor="text1"/>
                <w:sz w:val="21"/>
                <w:szCs w:val="24"/>
                <w:lang w:bidi="ar"/>
                <w14:textFill>
                  <w14:solidFill>
                    <w14:schemeClr w14:val="tx1"/>
                  </w14:solidFill>
                </w14:textFill>
              </w:rPr>
              <w:t xml:space="preserve">7 </w:t>
            </w:r>
            <w:r>
              <w:rPr>
                <w:rFonts w:hint="eastAsia" w:ascii="Times New Roman" w:hAnsi="Times New Roman" w:eastAsia="宋体" w:cs="Times New Roman"/>
                <w:color w:val="000000" w:themeColor="text1"/>
                <w:sz w:val="21"/>
                <w:szCs w:val="24"/>
                <w:lang w:bidi="ar"/>
                <w14:textFill>
                  <w14:solidFill>
                    <w14:schemeClr w14:val="tx1"/>
                  </w14:solidFill>
                </w14:textFill>
              </w:rPr>
              <w:t>度的区域内</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9" w:hRule="atLeast"/>
          <w:jc w:val="center"/>
        </w:trPr>
        <w:tc>
          <w:tcPr>
            <w:tcW w:w="1805" w:type="dxa"/>
            <w:tcBorders>
              <w:top w:val="single" w:color="000000" w:sz="2" w:space="0"/>
              <w:left w:val="single" w:color="000000" w:sz="12" w:space="0"/>
              <w:bottom w:val="single" w:color="000000" w:sz="2" w:space="0"/>
              <w:right w:val="single" w:color="000000" w:sz="2" w:space="0"/>
            </w:tcBorders>
            <w:shd w:val="clear" w:color="auto" w:fill="auto"/>
            <w:vAlign w:val="center"/>
          </w:tcPr>
          <w:p>
            <w:pPr>
              <w:pStyle w:val="80"/>
              <w:spacing w:before="0" w:beforeAutospacing="0" w:after="0" w:afterAutospacing="0"/>
              <w:ind w:firstLine="630" w:firstLineChars="300"/>
              <w:jc w:val="both"/>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4"/>
                <w:lang w:bidi="ar"/>
                <w14:textFill>
                  <w14:solidFill>
                    <w14:schemeClr w14:val="tx1"/>
                  </w14:solidFill>
                </w14:textFill>
              </w:rPr>
              <w:t>2</w:t>
            </w:r>
          </w:p>
        </w:tc>
        <w:tc>
          <w:tcPr>
            <w:tcW w:w="7135" w:type="dxa"/>
            <w:tcBorders>
              <w:top w:val="single" w:color="000000" w:sz="2" w:space="0"/>
              <w:left w:val="single" w:color="000000" w:sz="2" w:space="0"/>
              <w:bottom w:val="single" w:color="000000" w:sz="2" w:space="0"/>
              <w:right w:val="single" w:color="000000" w:sz="12" w:space="0"/>
            </w:tcBorders>
            <w:shd w:val="clear" w:color="auto" w:fill="auto"/>
            <w:vAlign w:val="center"/>
          </w:tcPr>
          <w:p>
            <w:pPr>
              <w:pStyle w:val="80"/>
              <w:spacing w:before="0" w:beforeAutospacing="0" w:after="0" w:afterAutospacing="0"/>
              <w:ind w:firstLine="1470" w:firstLineChars="7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设施底部必须高于地下水最高水位</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6" w:hRule="atLeast"/>
          <w:jc w:val="center"/>
        </w:trPr>
        <w:tc>
          <w:tcPr>
            <w:tcW w:w="1805" w:type="dxa"/>
            <w:tcBorders>
              <w:top w:val="single" w:color="000000" w:sz="2" w:space="0"/>
              <w:left w:val="single" w:color="000000" w:sz="12" w:space="0"/>
              <w:bottom w:val="single" w:color="000000" w:sz="2" w:space="0"/>
              <w:right w:val="single" w:color="000000" w:sz="2" w:space="0"/>
            </w:tcBorders>
            <w:shd w:val="clear" w:color="auto" w:fill="auto"/>
            <w:vAlign w:val="center"/>
          </w:tcPr>
          <w:p>
            <w:pPr>
              <w:pStyle w:val="80"/>
              <w:spacing w:before="0" w:beforeAutospacing="0" w:after="0" w:afterAutospacing="0"/>
              <w:ind w:firstLine="630" w:firstLineChars="300"/>
              <w:jc w:val="both"/>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4"/>
                <w:lang w:bidi="ar"/>
                <w14:textFill>
                  <w14:solidFill>
                    <w14:schemeClr w14:val="tx1"/>
                  </w14:solidFill>
                </w14:textFill>
              </w:rPr>
              <w:t>3</w:t>
            </w:r>
          </w:p>
        </w:tc>
        <w:tc>
          <w:tcPr>
            <w:tcW w:w="7135" w:type="dxa"/>
            <w:tcBorders>
              <w:top w:val="single" w:color="000000" w:sz="2" w:space="0"/>
              <w:left w:val="single" w:color="000000" w:sz="2" w:space="0"/>
              <w:bottom w:val="single" w:color="000000" w:sz="2" w:space="0"/>
              <w:right w:val="single" w:color="000000" w:sz="12" w:space="0"/>
            </w:tcBorders>
            <w:shd w:val="clear" w:color="auto" w:fill="auto"/>
            <w:vAlign w:val="center"/>
          </w:tcPr>
          <w:p>
            <w:pPr>
              <w:pStyle w:val="80"/>
              <w:spacing w:before="0" w:beforeAutospacing="0" w:after="0" w:afterAutospacing="0"/>
              <w:ind w:firstLine="630" w:firstLineChars="3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厂界应位于居民区</w:t>
            </w:r>
            <w:r>
              <w:rPr>
                <w:rFonts w:ascii="Times New Roman" w:hAnsi="Times New Roman" w:eastAsia="宋体" w:cs="Times New Roman"/>
                <w:color w:val="000000" w:themeColor="text1"/>
                <w:sz w:val="21"/>
                <w:szCs w:val="24"/>
                <w:lang w:bidi="ar"/>
                <w14:textFill>
                  <w14:solidFill>
                    <w14:schemeClr w14:val="tx1"/>
                  </w14:solidFill>
                </w14:textFill>
              </w:rPr>
              <w:t xml:space="preserve">800 </w:t>
            </w:r>
            <w:r>
              <w:rPr>
                <w:rFonts w:hint="eastAsia" w:ascii="Times New Roman" w:hAnsi="Times New Roman" w:eastAsia="宋体" w:cs="Times New Roman"/>
                <w:color w:val="000000" w:themeColor="text1"/>
                <w:sz w:val="21"/>
                <w:szCs w:val="24"/>
                <w:lang w:bidi="ar"/>
                <w14:textFill>
                  <w14:solidFill>
                    <w14:schemeClr w14:val="tx1"/>
                  </w14:solidFill>
                </w14:textFill>
              </w:rPr>
              <w:t>米以外，地表水域</w:t>
            </w:r>
            <w:r>
              <w:rPr>
                <w:rFonts w:ascii="Times New Roman" w:hAnsi="Times New Roman" w:eastAsia="宋体" w:cs="Times New Roman"/>
                <w:color w:val="000000" w:themeColor="text1"/>
                <w:sz w:val="21"/>
                <w:szCs w:val="24"/>
                <w:lang w:bidi="ar"/>
                <w14:textFill>
                  <w14:solidFill>
                    <w14:schemeClr w14:val="tx1"/>
                  </w14:solidFill>
                </w14:textFill>
              </w:rPr>
              <w:t xml:space="preserve">150 </w:t>
            </w:r>
            <w:r>
              <w:rPr>
                <w:rFonts w:hint="eastAsia" w:ascii="Times New Roman" w:hAnsi="Times New Roman" w:eastAsia="宋体" w:cs="Times New Roman"/>
                <w:color w:val="000000" w:themeColor="text1"/>
                <w:sz w:val="21"/>
                <w:szCs w:val="24"/>
                <w:lang w:bidi="ar"/>
                <w14:textFill>
                  <w14:solidFill>
                    <w14:schemeClr w14:val="tx1"/>
                  </w14:solidFill>
                </w14:textFill>
              </w:rPr>
              <w:t>米以外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9" w:hRule="atLeast"/>
          <w:jc w:val="center"/>
        </w:trPr>
        <w:tc>
          <w:tcPr>
            <w:tcW w:w="1805" w:type="dxa"/>
            <w:tcBorders>
              <w:top w:val="single" w:color="000000" w:sz="2" w:space="0"/>
              <w:left w:val="single" w:color="000000" w:sz="12" w:space="0"/>
              <w:bottom w:val="single" w:color="000000" w:sz="2" w:space="0"/>
              <w:right w:val="single" w:color="000000" w:sz="2" w:space="0"/>
            </w:tcBorders>
            <w:shd w:val="clear" w:color="auto" w:fill="auto"/>
            <w:vAlign w:val="center"/>
          </w:tcPr>
          <w:p>
            <w:pPr>
              <w:pStyle w:val="80"/>
              <w:spacing w:before="0" w:beforeAutospacing="0" w:after="0" w:afterAutospacing="0"/>
              <w:ind w:firstLine="630" w:firstLineChars="300"/>
              <w:jc w:val="both"/>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4"/>
                <w:lang w:bidi="ar"/>
                <w14:textFill>
                  <w14:solidFill>
                    <w14:schemeClr w14:val="tx1"/>
                  </w14:solidFill>
                </w14:textFill>
              </w:rPr>
              <w:t>4</w:t>
            </w:r>
          </w:p>
        </w:tc>
        <w:tc>
          <w:tcPr>
            <w:tcW w:w="7135" w:type="dxa"/>
            <w:tcBorders>
              <w:top w:val="single" w:color="000000" w:sz="2" w:space="0"/>
              <w:left w:val="single" w:color="000000" w:sz="2" w:space="0"/>
              <w:bottom w:val="single" w:color="000000" w:sz="2" w:space="0"/>
              <w:right w:val="single" w:color="000000" w:sz="12" w:space="0"/>
            </w:tcBorders>
            <w:shd w:val="clear" w:color="auto" w:fill="auto"/>
            <w:vAlign w:val="center"/>
          </w:tcPr>
          <w:p>
            <w:pPr>
              <w:pStyle w:val="80"/>
              <w:spacing w:before="0" w:beforeAutospacing="0" w:after="0" w:afterAutospacing="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应避免建在溶洞区或易遭受严重自然灾害如洪水、滑坡，泥石流、潮汐等影响的地区</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9" w:hRule="atLeast"/>
          <w:jc w:val="center"/>
        </w:trPr>
        <w:tc>
          <w:tcPr>
            <w:tcW w:w="1805" w:type="dxa"/>
            <w:tcBorders>
              <w:top w:val="single" w:color="000000" w:sz="2" w:space="0"/>
              <w:left w:val="single" w:color="000000" w:sz="12" w:space="0"/>
              <w:bottom w:val="single" w:color="000000" w:sz="2" w:space="0"/>
              <w:right w:val="single" w:color="000000" w:sz="2" w:space="0"/>
            </w:tcBorders>
            <w:shd w:val="clear" w:color="auto" w:fill="auto"/>
            <w:vAlign w:val="center"/>
          </w:tcPr>
          <w:p>
            <w:pPr>
              <w:pStyle w:val="80"/>
              <w:spacing w:before="0" w:beforeAutospacing="0" w:after="0" w:afterAutospacing="0"/>
              <w:ind w:firstLine="630" w:firstLineChars="300"/>
              <w:jc w:val="both"/>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4"/>
                <w:lang w:bidi="ar"/>
                <w14:textFill>
                  <w14:solidFill>
                    <w14:schemeClr w14:val="tx1"/>
                  </w14:solidFill>
                </w14:textFill>
              </w:rPr>
              <w:t>5</w:t>
            </w:r>
          </w:p>
        </w:tc>
        <w:tc>
          <w:tcPr>
            <w:tcW w:w="7135" w:type="dxa"/>
            <w:tcBorders>
              <w:top w:val="single" w:color="000000" w:sz="2" w:space="0"/>
              <w:left w:val="single" w:color="000000" w:sz="2" w:space="0"/>
              <w:bottom w:val="single" w:color="000000" w:sz="2" w:space="0"/>
              <w:right w:val="single" w:color="000000" w:sz="12" w:space="0"/>
            </w:tcBorders>
            <w:shd w:val="clear" w:color="auto" w:fill="auto"/>
            <w:vAlign w:val="center"/>
          </w:tcPr>
          <w:p>
            <w:pPr>
              <w:pStyle w:val="80"/>
              <w:spacing w:before="0" w:beforeAutospacing="0" w:after="0" w:afterAutospacing="0"/>
              <w:ind w:left="42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应在易燃、易爆等危险品仓库、高压输变电线路防护区域以外</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cantSplit/>
          <w:trHeight w:val="49" w:hRule="atLeast"/>
          <w:jc w:val="center"/>
        </w:trPr>
        <w:tc>
          <w:tcPr>
            <w:tcW w:w="1805" w:type="dxa"/>
            <w:tcBorders>
              <w:top w:val="single" w:color="000000" w:sz="2" w:space="0"/>
              <w:left w:val="single" w:color="000000" w:sz="12" w:space="0"/>
              <w:bottom w:val="single" w:color="000000" w:sz="12" w:space="0"/>
              <w:right w:val="single" w:color="000000" w:sz="2" w:space="0"/>
            </w:tcBorders>
            <w:shd w:val="clear" w:color="auto" w:fill="auto"/>
            <w:vAlign w:val="center"/>
          </w:tcPr>
          <w:p>
            <w:pPr>
              <w:pStyle w:val="80"/>
              <w:spacing w:before="0" w:beforeAutospacing="0" w:after="0" w:afterAutospacing="0"/>
              <w:ind w:firstLine="630" w:firstLineChars="300"/>
              <w:jc w:val="both"/>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4"/>
                <w:lang w:bidi="ar"/>
                <w14:textFill>
                  <w14:solidFill>
                    <w14:schemeClr w14:val="tx1"/>
                  </w14:solidFill>
                </w14:textFill>
              </w:rPr>
              <w:t>6</w:t>
            </w:r>
          </w:p>
        </w:tc>
        <w:tc>
          <w:tcPr>
            <w:tcW w:w="7135" w:type="dxa"/>
            <w:tcBorders>
              <w:top w:val="single" w:color="000000" w:sz="2" w:space="0"/>
              <w:left w:val="single" w:color="000000" w:sz="2" w:space="0"/>
              <w:bottom w:val="single" w:color="000000" w:sz="12" w:space="0"/>
              <w:right w:val="single" w:color="000000" w:sz="12" w:space="0"/>
            </w:tcBorders>
            <w:shd w:val="clear" w:color="auto" w:fill="auto"/>
            <w:vAlign w:val="center"/>
          </w:tcPr>
          <w:p>
            <w:pPr>
              <w:pStyle w:val="80"/>
              <w:spacing w:before="0" w:beforeAutospacing="0" w:after="0" w:afterAutospacing="0"/>
              <w:ind w:left="420" w:firstLine="630" w:firstLineChars="3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4"/>
                <w:lang w:bidi="ar"/>
                <w14:textFill>
                  <w14:solidFill>
                    <w14:schemeClr w14:val="tx1"/>
                  </w14:solidFill>
                </w14:textFill>
              </w:rPr>
              <w:t>应位于居民中心区常年最大风频的下风向</w:t>
            </w:r>
          </w:p>
        </w:tc>
      </w:tr>
    </w:tbl>
    <w:p>
      <w:pPr>
        <w:pStyle w:val="380"/>
        <w:adjustRightInd w:val="0"/>
        <w:snapToGrid w:val="0"/>
        <w:spacing w:before="48" w:beforeLines="20" w:after="48" w:afterLines="20" w:line="520" w:lineRule="exact"/>
        <w:ind w:firstLine="480"/>
        <w:jc w:val="left"/>
        <w:outlineLvl w:val="2"/>
        <w:rPr>
          <w:rFonts w:ascii="Times New Roman" w:hAnsi="Times New Roman"/>
          <w:bCs/>
          <w:color w:val="000000" w:themeColor="text1"/>
          <w:sz w:val="24"/>
          <w:szCs w:val="24"/>
          <w14:textFill>
            <w14:solidFill>
              <w14:schemeClr w14:val="tx1"/>
            </w14:solidFill>
          </w14:textFill>
        </w:rPr>
      </w:pPr>
      <w:bookmarkStart w:id="615" w:name="_Toc12317"/>
      <w:bookmarkStart w:id="616" w:name="_Toc20907"/>
      <w:r>
        <w:rPr>
          <w:rFonts w:ascii="Times New Roman" w:hAnsi="Times New Roman"/>
          <w:bCs/>
          <w:color w:val="000000" w:themeColor="text1"/>
          <w:sz w:val="24"/>
          <w:szCs w:val="24"/>
          <w14:textFill>
            <w14:solidFill>
              <w14:schemeClr w14:val="tx1"/>
            </w14:solidFill>
          </w14:textFill>
        </w:rPr>
        <w:t>本项目拟在</w:t>
      </w:r>
      <w:r>
        <w:rPr>
          <w:rFonts w:hint="eastAsia" w:ascii="Times New Roman" w:hAnsi="Times New Roman"/>
          <w:bCs/>
          <w:color w:val="000000" w:themeColor="text1"/>
          <w:sz w:val="24"/>
          <w:szCs w:val="24"/>
          <w14:textFill>
            <w14:solidFill>
              <w14:schemeClr w14:val="tx1"/>
            </w14:solidFill>
          </w14:textFill>
        </w:rPr>
        <w:t>综合仓库西侧</w:t>
      </w:r>
      <w:r>
        <w:rPr>
          <w:rFonts w:ascii="Times New Roman" w:hAnsi="Times New Roman"/>
          <w:bCs/>
          <w:color w:val="000000" w:themeColor="text1"/>
          <w:sz w:val="24"/>
          <w:szCs w:val="24"/>
          <w14:textFill>
            <w14:solidFill>
              <w14:schemeClr w14:val="tx1"/>
            </w14:solidFill>
          </w14:textFill>
        </w:rPr>
        <w:t>设置1座5m</w:t>
      </w:r>
      <w:r>
        <w:rPr>
          <w:rFonts w:ascii="Times New Roman" w:hAnsi="Times New Roman"/>
          <w:bCs/>
          <w:color w:val="000000" w:themeColor="text1"/>
          <w:sz w:val="24"/>
          <w:szCs w:val="24"/>
          <w:vertAlign w:val="superscript"/>
          <w14:textFill>
            <w14:solidFill>
              <w14:schemeClr w14:val="tx1"/>
            </w14:solidFill>
          </w14:textFill>
        </w:rPr>
        <w:t>2</w:t>
      </w:r>
      <w:r>
        <w:rPr>
          <w:rFonts w:ascii="Times New Roman" w:hAnsi="Times New Roman"/>
          <w:bCs/>
          <w:color w:val="000000" w:themeColor="text1"/>
          <w:sz w:val="24"/>
          <w:szCs w:val="24"/>
          <w14:textFill>
            <w14:solidFill>
              <w14:schemeClr w14:val="tx1"/>
            </w14:solidFill>
          </w14:textFill>
        </w:rPr>
        <w:t>危险废物暂存间，能够满足本项目危险废物暂存需求。综上所述，</w:t>
      </w:r>
      <w:r>
        <w:rPr>
          <w:rFonts w:hint="eastAsia" w:ascii="Times New Roman" w:hAnsi="Times New Roman"/>
          <w:bCs/>
          <w:color w:val="000000" w:themeColor="text1"/>
          <w:sz w:val="24"/>
          <w:szCs w:val="24"/>
          <w14:textFill>
            <w14:solidFill>
              <w14:schemeClr w14:val="tx1"/>
            </w14:solidFill>
          </w14:textFill>
        </w:rPr>
        <w:t>本</w:t>
      </w:r>
      <w:r>
        <w:rPr>
          <w:rFonts w:ascii="Times New Roman" w:hAnsi="Times New Roman"/>
          <w:bCs/>
          <w:color w:val="000000" w:themeColor="text1"/>
          <w:sz w:val="24"/>
          <w:szCs w:val="24"/>
          <w14:textFill>
            <w14:solidFill>
              <w14:schemeClr w14:val="tx1"/>
            </w14:solidFill>
          </w14:textFill>
        </w:rPr>
        <w:t>项目</w:t>
      </w:r>
      <w:r>
        <w:rPr>
          <w:rFonts w:hint="eastAsia" w:ascii="Times New Roman" w:hAnsi="Times New Roman"/>
          <w:bCs/>
          <w:color w:val="000000" w:themeColor="text1"/>
          <w:sz w:val="24"/>
          <w:szCs w:val="24"/>
          <w14:textFill>
            <w14:solidFill>
              <w14:schemeClr w14:val="tx1"/>
            </w14:solidFill>
          </w14:textFill>
        </w:rPr>
        <w:t>在运营过程中严格落实各项固废防治措施，</w:t>
      </w:r>
      <w:r>
        <w:rPr>
          <w:rFonts w:ascii="Times New Roman" w:hAnsi="Times New Roman"/>
          <w:bCs/>
          <w:color w:val="000000" w:themeColor="text1"/>
          <w:sz w:val="24"/>
          <w:szCs w:val="24"/>
          <w14:textFill>
            <w14:solidFill>
              <w14:schemeClr w14:val="tx1"/>
            </w14:solidFill>
          </w14:textFill>
        </w:rPr>
        <w:t>所有固体废物均</w:t>
      </w:r>
      <w:r>
        <w:rPr>
          <w:rFonts w:hint="eastAsia" w:ascii="Times New Roman" w:hAnsi="Times New Roman"/>
          <w:bCs/>
          <w:color w:val="000000" w:themeColor="text1"/>
          <w:sz w:val="24"/>
          <w:szCs w:val="24"/>
          <w14:textFill>
            <w14:solidFill>
              <w14:schemeClr w14:val="tx1"/>
            </w14:solidFill>
          </w14:textFill>
        </w:rPr>
        <w:t>能</w:t>
      </w:r>
      <w:r>
        <w:rPr>
          <w:rFonts w:ascii="Times New Roman" w:hAnsi="Times New Roman"/>
          <w:bCs/>
          <w:color w:val="000000" w:themeColor="text1"/>
          <w:sz w:val="24"/>
          <w:szCs w:val="24"/>
          <w14:textFill>
            <w14:solidFill>
              <w14:schemeClr w14:val="tx1"/>
            </w14:solidFill>
          </w14:textFill>
        </w:rPr>
        <w:t>得到妥善处置，对周围环境影响较小。</w:t>
      </w:r>
      <w:bookmarkEnd w:id="615"/>
      <w:bookmarkEnd w:id="616"/>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4"/>
          <w:szCs w:val="24"/>
          <w14:textFill>
            <w14:solidFill>
              <w14:schemeClr w14:val="tx1"/>
            </w14:solidFill>
          </w14:textFill>
        </w:rPr>
      </w:pPr>
    </w:p>
    <w:p>
      <w:pPr>
        <w:rPr>
          <w:rFonts w:ascii="黑体" w:hAnsi="黑体" w:eastAsia="黑体"/>
          <w:b/>
          <w:color w:val="000000" w:themeColor="text1"/>
          <w:sz w:val="44"/>
          <w:szCs w:val="44"/>
          <w14:textFill>
            <w14:solidFill>
              <w14:schemeClr w14:val="tx1"/>
            </w14:solidFill>
          </w14:textFill>
        </w:rPr>
      </w:pPr>
      <w:r>
        <w:rPr>
          <w:rFonts w:ascii="黑体" w:hAnsi="黑体" w:eastAsia="黑体"/>
          <w:b/>
          <w:color w:val="000000" w:themeColor="text1"/>
          <w:sz w:val="44"/>
          <w:szCs w:val="44"/>
          <w14:textFill>
            <w14:solidFill>
              <w14:schemeClr w14:val="tx1"/>
            </w14:solidFill>
          </w14:textFill>
        </w:rPr>
        <w:br w:type="page"/>
      </w:r>
    </w:p>
    <w:p>
      <w:pPr>
        <w:pStyle w:val="380"/>
        <w:adjustRightInd w:val="0"/>
        <w:snapToGrid w:val="0"/>
        <w:spacing w:after="360" w:afterLines="150"/>
        <w:ind w:firstLine="3092" w:firstLineChars="700"/>
        <w:jc w:val="left"/>
        <w:outlineLvl w:val="2"/>
        <w:rPr>
          <w:rFonts w:ascii="黑体" w:hAnsi="黑体" w:eastAsia="黑体"/>
          <w:b/>
          <w:color w:val="000000" w:themeColor="text1"/>
          <w:sz w:val="44"/>
          <w:szCs w:val="44"/>
          <w14:textFill>
            <w14:solidFill>
              <w14:schemeClr w14:val="tx1"/>
            </w14:solidFill>
          </w14:textFill>
        </w:rPr>
      </w:pPr>
      <w:bookmarkStart w:id="617" w:name="_Toc7352"/>
      <w:r>
        <w:rPr>
          <w:rFonts w:hint="eastAsia" w:ascii="黑体" w:hAnsi="黑体" w:eastAsia="黑体"/>
          <w:b/>
          <w:color w:val="000000" w:themeColor="text1"/>
          <w:sz w:val="44"/>
          <w:szCs w:val="44"/>
          <w:lang w:val="en-US" w:eastAsia="zh-CN"/>
          <w14:textFill>
            <w14:solidFill>
              <w14:schemeClr w14:val="tx1"/>
            </w14:solidFill>
          </w14:textFill>
        </w:rPr>
        <w:t>7</w:t>
      </w:r>
      <w:r>
        <w:rPr>
          <w:rFonts w:ascii="黑体" w:hAnsi="黑体" w:eastAsia="黑体"/>
          <w:b/>
          <w:color w:val="000000" w:themeColor="text1"/>
          <w:sz w:val="44"/>
          <w:szCs w:val="44"/>
          <w14:textFill>
            <w14:solidFill>
              <w14:schemeClr w14:val="tx1"/>
            </w14:solidFill>
          </w14:textFill>
        </w:rPr>
        <w:t>环境风险评价</w:t>
      </w:r>
      <w:bookmarkEnd w:id="617"/>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18" w:name="_Toc26210"/>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.1</w:t>
      </w:r>
      <w:r>
        <w:rPr>
          <w:rFonts w:hint="eastAsia" w:ascii="黑体" w:hAnsi="黑体" w:eastAsia="黑体"/>
          <w:b/>
          <w:color w:val="000000" w:themeColor="text1"/>
          <w:sz w:val="32"/>
          <w:szCs w:val="32"/>
          <w14:textFill>
            <w14:solidFill>
              <w14:schemeClr w14:val="tx1"/>
            </w14:solidFill>
          </w14:textFill>
        </w:rPr>
        <w:t>评价目的和评价重点</w:t>
      </w:r>
      <w:bookmarkEnd w:id="618"/>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根据《建设项目环境风险评价技术导则》（HJ/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本环境风险评价把事故引起厂界外人群的伤害、环境质量的恶化及对生态系统影响的预测和防护作为评价工作重点</w:t>
      </w:r>
      <w:r>
        <w:rPr>
          <w:rFonts w:ascii="Times New Roman" w:hAnsiTheme="minorEastAsia" w:eastAsiaTheme="minorEastAsia"/>
          <w:color w:val="000000" w:themeColor="text1"/>
          <w:sz w:val="24"/>
          <w:szCs w:val="24"/>
          <w14:textFill>
            <w14:solidFill>
              <w14:schemeClr w14:val="tx1"/>
            </w14:solidFill>
          </w14:textFill>
        </w:rPr>
        <w:t>。</w:t>
      </w:r>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19" w:name="_Toc26720"/>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.2</w:t>
      </w:r>
      <w:r>
        <w:rPr>
          <w:rFonts w:hint="eastAsia" w:ascii="黑体" w:hAnsi="黑体" w:eastAsia="黑体"/>
          <w:b/>
          <w:color w:val="000000" w:themeColor="text1"/>
          <w:sz w:val="32"/>
          <w:szCs w:val="32"/>
          <w14:textFill>
            <w14:solidFill>
              <w14:schemeClr w14:val="tx1"/>
            </w14:solidFill>
          </w14:textFill>
        </w:rPr>
        <w:t>环境风险调查</w:t>
      </w:r>
      <w:bookmarkEnd w:id="619"/>
    </w:p>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8"/>
          <w:szCs w:val="28"/>
          <w14:textFill>
            <w14:solidFill>
              <w14:schemeClr w14:val="tx1"/>
            </w14:solidFill>
          </w14:textFill>
        </w:rPr>
      </w:pPr>
      <w:bookmarkStart w:id="620" w:name="_Toc26315"/>
      <w:bookmarkStart w:id="621" w:name="_Toc26401"/>
      <w:r>
        <w:rPr>
          <w:rFonts w:hint="eastAsia" w:ascii="Times New Roman" w:hAnsi="Times New Roman" w:eastAsia="黑体"/>
          <w:b/>
          <w:color w:val="000000" w:themeColor="text1"/>
          <w:sz w:val="28"/>
          <w:szCs w:val="28"/>
          <w:lang w:val="en-US" w:eastAsia="zh-CN"/>
          <w14:textFill>
            <w14:solidFill>
              <w14:schemeClr w14:val="tx1"/>
            </w14:solidFill>
          </w14:textFill>
        </w:rPr>
        <w:t>7</w:t>
      </w:r>
      <w:r>
        <w:rPr>
          <w:rFonts w:hint="eastAsia" w:ascii="Times New Roman" w:hAnsi="Times New Roman" w:eastAsia="黑体"/>
          <w:b/>
          <w:color w:val="000000" w:themeColor="text1"/>
          <w:sz w:val="28"/>
          <w:szCs w:val="28"/>
          <w14:textFill>
            <w14:solidFill>
              <w14:schemeClr w14:val="tx1"/>
            </w14:solidFill>
          </w14:textFill>
        </w:rPr>
        <w:t>.2.1危险物质情况</w:t>
      </w:r>
      <w:bookmarkEnd w:id="620"/>
      <w:bookmarkEnd w:id="621"/>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依据《建设项目环境风险评价技术导则》（HJ169-2018）附录B，结合《化学品分类和标签规范第18部分：急性毒性》（</w:t>
      </w:r>
      <w:r>
        <w:rPr>
          <w:rFonts w:ascii="Times New Roman" w:hAnsi="Times New Roman" w:eastAsiaTheme="minorEastAsia"/>
          <w:color w:val="000000" w:themeColor="text1"/>
          <w:sz w:val="24"/>
          <w:szCs w:val="24"/>
          <w14:textFill>
            <w14:solidFill>
              <w14:schemeClr w14:val="tx1"/>
            </w14:solidFill>
          </w14:textFill>
        </w:rPr>
        <w:t>GB30000.18-2013</w:t>
      </w:r>
      <w:r>
        <w:rPr>
          <w:rFonts w:hint="eastAsia" w:ascii="Times New Roman" w:hAnsi="Times New Roman" w:eastAsiaTheme="minorEastAsia"/>
          <w:color w:val="000000" w:themeColor="text1"/>
          <w:sz w:val="24"/>
          <w:szCs w:val="24"/>
          <w14:textFill>
            <w14:solidFill>
              <w14:schemeClr w14:val="tx1"/>
            </w14:solidFill>
          </w14:textFill>
        </w:rPr>
        <w:t>）、《化学品分类和标签规范第28部分：对水生环境的危害》（</w:t>
      </w:r>
      <w:r>
        <w:rPr>
          <w:rFonts w:ascii="Times New Roman" w:hAnsi="Times New Roman" w:eastAsiaTheme="minorEastAsia"/>
          <w:color w:val="000000" w:themeColor="text1"/>
          <w:sz w:val="24"/>
          <w:szCs w:val="24"/>
          <w14:textFill>
            <w14:solidFill>
              <w14:schemeClr w14:val="tx1"/>
            </w14:solidFill>
          </w14:textFill>
        </w:rPr>
        <w:t>GB30000.18-20</w:t>
      </w:r>
      <w:r>
        <w:rPr>
          <w:rFonts w:hint="eastAsia" w:ascii="Times New Roman" w:hAnsi="Times New Roman" w:eastAsiaTheme="minorEastAsia"/>
          <w:color w:val="000000" w:themeColor="text1"/>
          <w:sz w:val="24"/>
          <w:szCs w:val="24"/>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3</w:t>
      </w:r>
      <w:r>
        <w:rPr>
          <w:rFonts w:hint="eastAsia" w:ascii="Times New Roman" w:hAnsi="Times New Roman" w:eastAsiaTheme="minorEastAsia"/>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《企业突发环境事件风险分级方法》（GB941-2018）</w:t>
      </w:r>
      <w:r>
        <w:rPr>
          <w:rFonts w:hint="eastAsia" w:ascii="Times New Roman" w:hAnsi="Times New Roman" w:eastAsiaTheme="minorEastAsia"/>
          <w:color w:val="000000" w:themeColor="text1"/>
          <w:sz w:val="24"/>
          <w:szCs w:val="24"/>
          <w14:textFill>
            <w14:solidFill>
              <w14:schemeClr w14:val="tx1"/>
            </w14:solidFill>
          </w14:textFill>
        </w:rPr>
        <w:t>附录A、《危险化学品重大危险源辨识》（GB18218-2018）以及《危险化学品目录（2018版）》等文件，对比本项目原辅材料理化性质，可知本项目存在的危险物质及其临界量Qn见下表6.2-1。</w:t>
      </w:r>
    </w:p>
    <w:p>
      <w:pPr>
        <w:spacing w:line="520" w:lineRule="exact"/>
        <w:jc w:val="center"/>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hint="eastAsia" w:ascii="Times New Roman" w:hAnsi="Times New Roman" w:eastAsiaTheme="minorEastAsia"/>
          <w:b/>
          <w:color w:val="000000" w:themeColor="text1"/>
          <w:sz w:val="24"/>
          <w:szCs w:val="24"/>
          <w14:textFill>
            <w14:solidFill>
              <w14:schemeClr w14:val="tx1"/>
            </w14:solidFill>
          </w14:textFill>
        </w:rPr>
        <w:t>.2-1 项目风险物质及其临界量</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297"/>
        <w:gridCol w:w="567"/>
        <w:gridCol w:w="567"/>
        <w:gridCol w:w="709"/>
        <w:gridCol w:w="3543"/>
        <w:gridCol w:w="709"/>
        <w:gridCol w:w="1418"/>
        <w:gridCol w:w="425"/>
        <w:gridCol w:w="8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9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序号</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名称</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分子式</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 xml:space="preserve">CAS </w:t>
            </w:r>
            <w:r>
              <w:rPr>
                <w:rFonts w:ascii="Times New Roman" w:hAnsi="宋体"/>
                <w:color w:val="000000" w:themeColor="text1"/>
                <w:kern w:val="0"/>
                <w:sz w:val="18"/>
                <w:szCs w:val="18"/>
                <w14:textFill>
                  <w14:solidFill>
                    <w14:schemeClr w14:val="tx1"/>
                  </w14:solidFill>
                </w14:textFill>
              </w:rPr>
              <w:t>号</w:t>
            </w:r>
          </w:p>
        </w:tc>
        <w:tc>
          <w:tcPr>
            <w:tcW w:w="354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主要理化特性</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燃烧爆炸性</w:t>
            </w:r>
          </w:p>
        </w:tc>
        <w:tc>
          <w:tcPr>
            <w:tcW w:w="14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毒理毒性</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Q</w:t>
            </w:r>
            <w:r>
              <w:rPr>
                <w:rFonts w:hint="eastAsia" w:ascii="Times New Roman" w:hAnsi="Times New Roman"/>
                <w:color w:val="000000" w:themeColor="text1"/>
                <w:kern w:val="0"/>
                <w:sz w:val="18"/>
                <w:szCs w:val="18"/>
                <w14:textFill>
                  <w14:solidFill>
                    <w14:schemeClr w14:val="tx1"/>
                  </w14:solidFill>
                </w14:textFill>
              </w:rPr>
              <w:t>n</w:t>
            </w:r>
            <w:r>
              <w:rPr>
                <w:rFonts w:ascii="Times New Roman" w:hAnsi="Times New Roman"/>
                <w:color w:val="000000" w:themeColor="text1"/>
                <w:kern w:val="0"/>
                <w:sz w:val="18"/>
                <w:szCs w:val="18"/>
                <w14:textFill>
                  <w14:solidFill>
                    <w14:schemeClr w14:val="tx1"/>
                  </w14:solidFill>
                </w14:textFill>
              </w:rPr>
              <w:t xml:space="preserve"> </w:t>
            </w:r>
            <w:r>
              <w:rPr>
                <w:rFonts w:ascii="Times New Roman" w:hAnsi="宋体"/>
                <w:color w:val="000000" w:themeColor="text1"/>
                <w:kern w:val="0"/>
                <w:sz w:val="18"/>
                <w:szCs w:val="18"/>
                <w14:textFill>
                  <w14:solidFill>
                    <w14:schemeClr w14:val="tx1"/>
                  </w14:solidFill>
                </w14:textFill>
              </w:rPr>
              <w:t>值</w:t>
            </w:r>
          </w:p>
        </w:tc>
        <w:tc>
          <w:tcPr>
            <w:tcW w:w="8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判断</w:t>
            </w:r>
            <w:r>
              <w:rPr>
                <w:rFonts w:ascii="Times New Roman" w:hAnsi="宋体"/>
                <w:color w:val="000000" w:themeColor="text1"/>
                <w:kern w:val="0"/>
                <w:sz w:val="18"/>
                <w:szCs w:val="18"/>
                <w14:textFill>
                  <w14:solidFill>
                    <w14:schemeClr w14:val="tx1"/>
                  </w14:solidFill>
                </w14:textFill>
              </w:rPr>
              <w:t>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9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氢氧化钠</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NaOH</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1310-73-2</w:t>
            </w:r>
          </w:p>
        </w:tc>
        <w:tc>
          <w:tcPr>
            <w:tcW w:w="3543"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熔点</w:t>
            </w:r>
            <w:r>
              <w:rPr>
                <w:rFonts w:ascii="Times New Roman" w:hAnsi="Times New Roman"/>
                <w:color w:val="000000" w:themeColor="text1"/>
                <w:kern w:val="0"/>
                <w:sz w:val="18"/>
                <w:szCs w:val="18"/>
                <w14:textFill>
                  <w14:solidFill>
                    <w14:schemeClr w14:val="tx1"/>
                  </w14:solidFill>
                </w14:textFill>
              </w:rPr>
              <w:t xml:space="preserve"> 318.4</w:t>
            </w:r>
            <w:r>
              <w:rPr>
                <w:rFonts w:ascii="Times New Roman" w:hAnsi="宋体"/>
                <w:color w:val="000000" w:themeColor="text1"/>
                <w:kern w:val="0"/>
                <w:sz w:val="18"/>
                <w:szCs w:val="18"/>
                <w14:textFill>
                  <w14:solidFill>
                    <w14:schemeClr w14:val="tx1"/>
                  </w14:solidFill>
                </w14:textFill>
              </w:rPr>
              <w:t>℃，沸点</w:t>
            </w:r>
            <w:r>
              <w:rPr>
                <w:rFonts w:ascii="Times New Roman" w:hAnsi="Times New Roman"/>
                <w:color w:val="000000" w:themeColor="text1"/>
                <w:kern w:val="0"/>
                <w:sz w:val="18"/>
                <w:szCs w:val="18"/>
                <w14:textFill>
                  <w14:solidFill>
                    <w14:schemeClr w14:val="tx1"/>
                  </w14:solidFill>
                </w14:textFill>
              </w:rPr>
              <w:t>1390</w:t>
            </w:r>
            <w:r>
              <w:rPr>
                <w:rFonts w:ascii="Times New Roman" w:hAnsi="宋体"/>
                <w:color w:val="000000" w:themeColor="text1"/>
                <w:kern w:val="0"/>
                <w:sz w:val="18"/>
                <w:szCs w:val="18"/>
                <w14:textFill>
                  <w14:solidFill>
                    <w14:schemeClr w14:val="tx1"/>
                  </w14:solidFill>
                </w14:textFill>
              </w:rPr>
              <w:t>℃，相对密度：</w:t>
            </w:r>
            <w:r>
              <w:rPr>
                <w:rFonts w:ascii="Times New Roman" w:hAnsi="Times New Roman"/>
                <w:color w:val="000000" w:themeColor="text1"/>
                <w:kern w:val="0"/>
                <w:sz w:val="18"/>
                <w:szCs w:val="18"/>
                <w14:textFill>
                  <w14:solidFill>
                    <w14:schemeClr w14:val="tx1"/>
                  </w14:solidFill>
                </w14:textFill>
              </w:rPr>
              <w:t>2.12</w:t>
            </w:r>
            <w:r>
              <w:rPr>
                <w:rFonts w:ascii="Times New Roman" w:hAnsi="宋体"/>
                <w:color w:val="000000" w:themeColor="text1"/>
                <w:kern w:val="0"/>
                <w:sz w:val="18"/>
                <w:szCs w:val="18"/>
                <w14:textFill>
                  <w14:solidFill>
                    <w14:schemeClr w14:val="tx1"/>
                  </w14:solidFill>
                </w14:textFill>
              </w:rPr>
              <w:t>，饱和蒸气压：</w:t>
            </w:r>
            <w:r>
              <w:rPr>
                <w:rFonts w:ascii="Times New Roman" w:hAnsi="Times New Roman"/>
                <w:color w:val="000000" w:themeColor="text1"/>
                <w:kern w:val="0"/>
                <w:sz w:val="18"/>
                <w:szCs w:val="18"/>
                <w14:textFill>
                  <w14:solidFill>
                    <w14:schemeClr w14:val="tx1"/>
                  </w14:solidFill>
                </w14:textFill>
              </w:rPr>
              <w:t>0.13KPa</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739</w:t>
            </w:r>
            <w:r>
              <w:rPr>
                <w:rFonts w:ascii="Times New Roman" w:hAnsi="宋体"/>
                <w:color w:val="000000" w:themeColor="text1"/>
                <w:kern w:val="0"/>
                <w:sz w:val="18"/>
                <w:szCs w:val="18"/>
                <w14:textFill>
                  <w14:solidFill>
                    <w14:schemeClr w14:val="tx1"/>
                  </w14:solidFill>
                </w14:textFill>
              </w:rPr>
              <w:t>℃）</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不燃</w:t>
            </w:r>
          </w:p>
        </w:tc>
        <w:tc>
          <w:tcPr>
            <w:tcW w:w="14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LD</w:t>
            </w:r>
            <w:r>
              <w:rPr>
                <w:rFonts w:ascii="Times New Roman" w:hAnsi="Times New Roman"/>
                <w:color w:val="000000" w:themeColor="text1"/>
                <w:kern w:val="0"/>
                <w:sz w:val="18"/>
                <w:szCs w:val="18"/>
                <w:vertAlign w:val="subscript"/>
                <w14:textFill>
                  <w14:solidFill>
                    <w14:schemeClr w14:val="tx1"/>
                  </w14:solidFill>
                </w14:textFill>
              </w:rPr>
              <w:t>50</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40mg/kg</w:t>
            </w:r>
            <w:r>
              <w:rPr>
                <w:rFonts w:ascii="Times New Roman" w:hAnsi="宋体"/>
                <w:color w:val="000000" w:themeColor="text1"/>
                <w:kern w:val="0"/>
                <w:sz w:val="18"/>
                <w:szCs w:val="18"/>
                <w14:textFill>
                  <w14:solidFill>
                    <w14:schemeClr w14:val="tx1"/>
                  </w14:solidFill>
                </w14:textFill>
              </w:rPr>
              <w:t>（小鼠腹膜腔）</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w:t>
            </w:r>
          </w:p>
        </w:tc>
        <w:tc>
          <w:tcPr>
            <w:tcW w:w="8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GB30000.18-2013</w:t>
            </w:r>
            <w:r>
              <w:rPr>
                <w:rFonts w:ascii="Times New Roman" w:hAnsi="宋体"/>
                <w:color w:val="000000" w:themeColor="text1"/>
                <w:kern w:val="0"/>
                <w:sz w:val="18"/>
                <w:szCs w:val="18"/>
                <w14:textFill>
                  <w14:solidFill>
                    <w14:schemeClr w14:val="tx1"/>
                  </w14:solidFill>
                </w14:textFill>
              </w:rPr>
              <w:t>；类别</w:t>
            </w:r>
            <w:r>
              <w:rPr>
                <w:rFonts w:ascii="Times New Roman" w:hAnsi="Times New Roman"/>
                <w:color w:val="000000" w:themeColor="text1"/>
                <w:kern w:val="0"/>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9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氟硅酸</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w:t>
            </w:r>
            <w:r>
              <w:rPr>
                <w:rFonts w:ascii="Times New Roman" w:hAnsi="Times New Roman"/>
                <w:color w:val="000000" w:themeColor="text1"/>
                <w:kern w:val="0"/>
                <w:sz w:val="18"/>
                <w:szCs w:val="18"/>
                <w:vertAlign w:val="subscript"/>
                <w14:textFill>
                  <w14:solidFill>
                    <w14:schemeClr w14:val="tx1"/>
                  </w14:solidFill>
                </w14:textFill>
              </w:rPr>
              <w:t>2</w:t>
            </w:r>
            <w:r>
              <w:rPr>
                <w:rFonts w:ascii="Times New Roman" w:hAnsi="Times New Roman"/>
                <w:color w:val="000000" w:themeColor="text1"/>
                <w:kern w:val="0"/>
                <w:sz w:val="18"/>
                <w:szCs w:val="18"/>
                <w14:textFill>
                  <w14:solidFill>
                    <w14:schemeClr w14:val="tx1"/>
                  </w14:solidFill>
                </w14:textFill>
              </w:rPr>
              <w:t>SiF</w:t>
            </w:r>
            <w:r>
              <w:rPr>
                <w:rFonts w:ascii="Times New Roman" w:hAnsi="Times New Roman"/>
                <w:color w:val="000000" w:themeColor="text1"/>
                <w:kern w:val="0"/>
                <w:sz w:val="18"/>
                <w:szCs w:val="18"/>
                <w:vertAlign w:val="subscript"/>
                <w14:textFill>
                  <w14:solidFill>
                    <w14:schemeClr w14:val="tx1"/>
                  </w14:solidFill>
                </w14:textFill>
              </w:rPr>
              <w:t>6</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16961-83-4</w:t>
            </w:r>
          </w:p>
        </w:tc>
        <w:tc>
          <w:tcPr>
            <w:tcW w:w="3543"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分子量：144.09</w:t>
            </w:r>
            <w:r>
              <w:rPr>
                <w:rFonts w:hint="eastAsia" w:ascii="Times New Roman" w:hAnsi="Times New Roman"/>
                <w:color w:val="000000" w:themeColor="text1"/>
                <w:kern w:val="0"/>
                <w:sz w:val="18"/>
                <w:szCs w:val="18"/>
                <w14:textFill>
                  <w14:solidFill>
                    <w14:schemeClr w14:val="tx1"/>
                  </w14:solidFill>
                </w14:textFill>
              </w:rPr>
              <w:t>，水溶液为无色透明的发烟液体，有刺激性气味，</w:t>
            </w:r>
            <w:r>
              <w:rPr>
                <w:rFonts w:ascii="Times New Roman" w:hAnsi="Times New Roman"/>
                <w:color w:val="000000" w:themeColor="text1"/>
                <w:kern w:val="0"/>
                <w:sz w:val="18"/>
                <w:szCs w:val="18"/>
                <w14:textFill>
                  <w14:solidFill>
                    <w14:schemeClr w14:val="tx1"/>
                  </w14:solidFill>
                </w14:textFill>
              </w:rPr>
              <w:t>沸点（℃）</w:t>
            </w:r>
            <w:r>
              <w:rPr>
                <w:rFonts w:hint="eastAsia" w:ascii="Times New Roman" w:hAnsi="Times New Roman"/>
                <w:color w:val="000000" w:themeColor="text1"/>
                <w:kern w:val="0"/>
                <w:sz w:val="18"/>
                <w:szCs w:val="18"/>
                <w14:textFill>
                  <w14:solidFill>
                    <w14:schemeClr w14:val="tx1"/>
                  </w14:solidFill>
                </w14:textFill>
              </w:rPr>
              <w:t>108.5，相对密度（水=1）1.32</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不燃</w:t>
            </w:r>
          </w:p>
        </w:tc>
        <w:tc>
          <w:tcPr>
            <w:tcW w:w="141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无资料</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w:t>
            </w:r>
          </w:p>
        </w:tc>
        <w:tc>
          <w:tcPr>
            <w:tcW w:w="8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HJ169-2018</w:t>
            </w:r>
            <w:r>
              <w:rPr>
                <w:rFonts w:ascii="Times New Roman" w:hAnsi="宋体"/>
                <w:color w:val="000000" w:themeColor="text1"/>
                <w:kern w:val="0"/>
                <w:sz w:val="18"/>
                <w:szCs w:val="18"/>
                <w14:textFill>
                  <w14:solidFill>
                    <w14:schemeClr w14:val="tx1"/>
                  </w14:solidFill>
                </w14:textFill>
              </w:rPr>
              <w:t>附录</w:t>
            </w:r>
            <w:r>
              <w:rPr>
                <w:rFonts w:ascii="Times New Roman" w:hAnsi="Times New Roman"/>
                <w:color w:val="000000" w:themeColor="text1"/>
                <w:kern w:val="0"/>
                <w:sz w:val="18"/>
                <w:szCs w:val="18"/>
                <w14:textFill>
                  <w14:solidFill>
                    <w14:schemeClr w14:val="tx1"/>
                  </w14:solidFill>
                </w14:textFill>
              </w:rPr>
              <w:t>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9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氢氟酸</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HF</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7664-39-3</w:t>
            </w:r>
          </w:p>
        </w:tc>
        <w:tc>
          <w:tcPr>
            <w:tcW w:w="3543"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分子量：</w:t>
            </w:r>
            <w:r>
              <w:rPr>
                <w:rFonts w:hint="eastAsia" w:ascii="Times New Roman" w:hAnsi="Times New Roman"/>
                <w:color w:val="000000" w:themeColor="text1"/>
                <w:kern w:val="0"/>
                <w:sz w:val="18"/>
                <w:szCs w:val="18"/>
                <w14:textFill>
                  <w14:solidFill>
                    <w14:schemeClr w14:val="tx1"/>
                  </w14:solidFill>
                </w14:textFill>
              </w:rPr>
              <w:t>20.01，无色透明有刺激性臭味的液体，商品为40%的水溶液，密度1.15 g/cm³，用作分析试剂、高纯氟化物的制备、玻璃蚀刻及电镀表面处理等。</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不燃</w:t>
            </w:r>
          </w:p>
        </w:tc>
        <w:tc>
          <w:tcPr>
            <w:tcW w:w="1418"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LD</w:t>
            </w:r>
            <w:r>
              <w:rPr>
                <w:rFonts w:hint="eastAsia" w:ascii="Times New Roman" w:hAnsi="宋体"/>
                <w:color w:val="000000" w:themeColor="text1"/>
                <w:kern w:val="0"/>
                <w:sz w:val="18"/>
                <w:szCs w:val="18"/>
                <w:vertAlign w:val="subscript"/>
                <w14:textFill>
                  <w14:solidFill>
                    <w14:schemeClr w14:val="tx1"/>
                  </w14:solidFill>
                </w14:textFill>
              </w:rPr>
              <w:t>50</w:t>
            </w:r>
            <w:r>
              <w:rPr>
                <w:rFonts w:hint="eastAsia" w:ascii="Times New Roman" w:hAnsi="宋体"/>
                <w:color w:val="000000" w:themeColor="text1"/>
                <w:kern w:val="0"/>
                <w:sz w:val="18"/>
                <w:szCs w:val="18"/>
                <w14:textFill>
                  <w14:solidFill>
                    <w14:schemeClr w14:val="tx1"/>
                  </w14:solidFill>
                </w14:textFill>
              </w:rPr>
              <w:t>：无资料</w:t>
            </w:r>
          </w:p>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LC</w:t>
            </w:r>
            <w:r>
              <w:rPr>
                <w:rFonts w:hint="eastAsia" w:ascii="Times New Roman" w:hAnsi="宋体"/>
                <w:color w:val="000000" w:themeColor="text1"/>
                <w:kern w:val="0"/>
                <w:sz w:val="18"/>
                <w:szCs w:val="18"/>
                <w:vertAlign w:val="subscript"/>
                <w14:textFill>
                  <w14:solidFill>
                    <w14:schemeClr w14:val="tx1"/>
                  </w14:solidFill>
                </w14:textFill>
              </w:rPr>
              <w:t>50</w:t>
            </w:r>
            <w:r>
              <w:rPr>
                <w:rFonts w:hint="eastAsia" w:ascii="Times New Roman" w:hAnsi="宋体"/>
                <w:color w:val="000000" w:themeColor="text1"/>
                <w:kern w:val="0"/>
                <w:sz w:val="18"/>
                <w:szCs w:val="18"/>
                <w14:textFill>
                  <w14:solidFill>
                    <w14:schemeClr w14:val="tx1"/>
                  </w14:solidFill>
                </w14:textFill>
              </w:rPr>
              <w:t>：1044mg/m</w:t>
            </w:r>
            <w:r>
              <w:rPr>
                <w:rFonts w:hint="eastAsia" w:ascii="Times New Roman" w:hAnsi="宋体"/>
                <w:color w:val="000000" w:themeColor="text1"/>
                <w:kern w:val="0"/>
                <w:sz w:val="18"/>
                <w:szCs w:val="18"/>
                <w:vertAlign w:val="superscript"/>
                <w14:textFill>
                  <w14:solidFill>
                    <w14:schemeClr w14:val="tx1"/>
                  </w14:solidFill>
                </w14:textFill>
              </w:rPr>
              <w:t>3</w:t>
            </w:r>
            <w:r>
              <w:rPr>
                <w:rFonts w:hint="eastAsia" w:ascii="Times New Roman" w:hAnsi="宋体"/>
                <w:color w:val="000000" w:themeColor="text1"/>
                <w:kern w:val="0"/>
                <w:sz w:val="18"/>
                <w:szCs w:val="18"/>
                <w14:textFill>
                  <w14:solidFill>
                    <w14:schemeClr w14:val="tx1"/>
                  </w14:solidFill>
                </w14:textFill>
              </w:rPr>
              <w:t>(大鼠吸入)</w:t>
            </w:r>
          </w:p>
        </w:tc>
        <w:tc>
          <w:tcPr>
            <w:tcW w:w="4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1</w:t>
            </w:r>
          </w:p>
        </w:tc>
        <w:tc>
          <w:tcPr>
            <w:tcW w:w="8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GB941-2018</w:t>
            </w:r>
            <w:r>
              <w:rPr>
                <w:rFonts w:hint="eastAsia" w:ascii="Times New Roman" w:hAnsi="宋体"/>
                <w:color w:val="000000" w:themeColor="text1"/>
                <w:kern w:val="0"/>
                <w:sz w:val="18"/>
                <w:szCs w:val="18"/>
                <w14:textFill>
                  <w14:solidFill>
                    <w14:schemeClr w14:val="tx1"/>
                  </w14:solidFill>
                </w14:textFill>
              </w:rPr>
              <w:t>附录A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9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w:t>
            </w:r>
          </w:p>
        </w:tc>
        <w:tc>
          <w:tcPr>
            <w:tcW w:w="567"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氟硅酸钠</w:t>
            </w:r>
          </w:p>
        </w:tc>
        <w:tc>
          <w:tcPr>
            <w:tcW w:w="56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Na</w:t>
            </w:r>
            <w:r>
              <w:rPr>
                <w:rFonts w:hint="eastAsia" w:ascii="Times New Roman" w:hAnsi="Times New Roman"/>
                <w:color w:val="000000" w:themeColor="text1"/>
                <w:kern w:val="0"/>
                <w:sz w:val="18"/>
                <w:szCs w:val="18"/>
                <w:vertAlign w:val="subscript"/>
                <w14:textFill>
                  <w14:solidFill>
                    <w14:schemeClr w14:val="tx1"/>
                  </w14:solidFill>
                </w14:textFill>
              </w:rPr>
              <w:t>2</w:t>
            </w:r>
            <w:r>
              <w:rPr>
                <w:rFonts w:hint="eastAsia" w:ascii="Times New Roman" w:hAnsi="Times New Roman"/>
                <w:color w:val="000000" w:themeColor="text1"/>
                <w:kern w:val="0"/>
                <w:sz w:val="18"/>
                <w:szCs w:val="18"/>
                <w14:textFill>
                  <w14:solidFill>
                    <w14:schemeClr w14:val="tx1"/>
                  </w14:solidFill>
                </w14:textFill>
              </w:rPr>
              <w:t>SiF</w:t>
            </w:r>
            <w:r>
              <w:rPr>
                <w:rFonts w:hint="eastAsia" w:ascii="Times New Roman" w:hAnsi="Times New Roman"/>
                <w:color w:val="000000" w:themeColor="text1"/>
                <w:kern w:val="0"/>
                <w:sz w:val="18"/>
                <w:szCs w:val="18"/>
                <w:vertAlign w:val="subscript"/>
                <w14:textFill>
                  <w14:solidFill>
                    <w14:schemeClr w14:val="tx1"/>
                  </w14:solidFill>
                </w14:textFill>
              </w:rPr>
              <w:t>6</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16893-85-9</w:t>
            </w:r>
          </w:p>
        </w:tc>
        <w:tc>
          <w:tcPr>
            <w:tcW w:w="3543"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分子量：188.05</w:t>
            </w:r>
            <w:r>
              <w:rPr>
                <w:rFonts w:hint="eastAsia" w:ascii="Times New Roman" w:hAnsi="Times New Roman"/>
                <w:color w:val="000000" w:themeColor="text1"/>
                <w:kern w:val="0"/>
                <w:sz w:val="18"/>
                <w:szCs w:val="18"/>
                <w14:textFill>
                  <w14:solidFill>
                    <w14:schemeClr w14:val="tx1"/>
                  </w14:solidFill>
                </w14:textFill>
              </w:rPr>
              <w:t>，白色颗粒或结晶性粉末，无臭、无味、有吸湿性。相对密度(水=1)2.68，</w:t>
            </w:r>
          </w:p>
        </w:tc>
        <w:tc>
          <w:tcPr>
            <w:tcW w:w="70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不燃</w:t>
            </w:r>
          </w:p>
        </w:tc>
        <w:tc>
          <w:tcPr>
            <w:tcW w:w="1418"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LD</w:t>
            </w:r>
            <w:r>
              <w:rPr>
                <w:rFonts w:hint="eastAsia" w:ascii="Times New Roman" w:hAnsi="宋体"/>
                <w:color w:val="000000" w:themeColor="text1"/>
                <w:kern w:val="0"/>
                <w:sz w:val="18"/>
                <w:szCs w:val="18"/>
                <w:vertAlign w:val="subscript"/>
                <w14:textFill>
                  <w14:solidFill>
                    <w14:schemeClr w14:val="tx1"/>
                  </w14:solidFill>
                </w14:textFill>
              </w:rPr>
              <w:t>50</w:t>
            </w:r>
            <w:r>
              <w:rPr>
                <w:rFonts w:hint="eastAsia" w:ascii="Times New Roman" w:hAnsi="宋体"/>
                <w:color w:val="000000" w:themeColor="text1"/>
                <w:kern w:val="0"/>
                <w:sz w:val="18"/>
                <w:szCs w:val="18"/>
                <w14:textFill>
                  <w14:solidFill>
                    <w14:schemeClr w14:val="tx1"/>
                  </w14:solidFill>
                </w14:textFill>
              </w:rPr>
              <w:t>：125mg/kg（大鼠经口）</w:t>
            </w:r>
          </w:p>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LC</w:t>
            </w:r>
            <w:r>
              <w:rPr>
                <w:rFonts w:hint="eastAsia" w:ascii="Times New Roman" w:hAnsi="宋体"/>
                <w:color w:val="000000" w:themeColor="text1"/>
                <w:kern w:val="0"/>
                <w:sz w:val="18"/>
                <w:szCs w:val="18"/>
                <w:vertAlign w:val="subscript"/>
                <w14:textFill>
                  <w14:solidFill>
                    <w14:schemeClr w14:val="tx1"/>
                  </w14:solidFill>
                </w14:textFill>
              </w:rPr>
              <w:t>50</w:t>
            </w:r>
            <w:r>
              <w:rPr>
                <w:rFonts w:hint="eastAsia" w:ascii="Times New Roman" w:hAnsi="宋体"/>
                <w:color w:val="000000" w:themeColor="text1"/>
                <w:kern w:val="0"/>
                <w:sz w:val="18"/>
                <w:szCs w:val="18"/>
                <w14:textFill>
                  <w14:solidFill>
                    <w14:schemeClr w14:val="tx1"/>
                  </w14:solidFill>
                </w14:textFill>
              </w:rPr>
              <w:t>：无资料</w:t>
            </w:r>
          </w:p>
        </w:tc>
        <w:tc>
          <w:tcPr>
            <w:tcW w:w="425"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50</w:t>
            </w:r>
          </w:p>
        </w:tc>
        <w:tc>
          <w:tcPr>
            <w:tcW w:w="86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GB30000.18-2013</w:t>
            </w:r>
            <w:r>
              <w:rPr>
                <w:rFonts w:ascii="Times New Roman" w:hAnsi="宋体"/>
                <w:color w:val="000000" w:themeColor="text1"/>
                <w:kern w:val="0"/>
                <w:sz w:val="18"/>
                <w:szCs w:val="18"/>
                <w14:textFill>
                  <w14:solidFill>
                    <w14:schemeClr w14:val="tx1"/>
                  </w14:solidFill>
                </w14:textFill>
              </w:rPr>
              <w:t>；类别</w:t>
            </w:r>
            <w:r>
              <w:rPr>
                <w:rFonts w:hint="eastAsia" w:ascii="Times New Roman" w:hAnsi="Times New Roman"/>
                <w:color w:val="000000" w:themeColor="text1"/>
                <w:kern w:val="0"/>
                <w:sz w:val="18"/>
                <w:szCs w:val="18"/>
                <w14:textFill>
                  <w14:solidFill>
                    <w14:schemeClr w14:val="tx1"/>
                  </w14:solidFill>
                </w14:textFill>
              </w:rPr>
              <w:t>3</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8"/>
          <w:szCs w:val="28"/>
          <w14:textFill>
            <w14:solidFill>
              <w14:schemeClr w14:val="tx1"/>
            </w14:solidFill>
          </w14:textFill>
        </w:rPr>
      </w:pPr>
      <w:bookmarkStart w:id="622" w:name="_Toc21242"/>
      <w:bookmarkStart w:id="623" w:name="_Toc14239"/>
      <w:r>
        <w:rPr>
          <w:rFonts w:hint="eastAsia" w:ascii="Times New Roman" w:hAnsi="Times New Roman" w:eastAsia="黑体"/>
          <w:b/>
          <w:color w:val="000000" w:themeColor="text1"/>
          <w:sz w:val="28"/>
          <w:szCs w:val="28"/>
          <w:lang w:val="en-US" w:eastAsia="zh-CN"/>
          <w14:textFill>
            <w14:solidFill>
              <w14:schemeClr w14:val="tx1"/>
            </w14:solidFill>
          </w14:textFill>
        </w:rPr>
        <w:t>7</w:t>
      </w:r>
      <w:r>
        <w:rPr>
          <w:rFonts w:hint="eastAsia" w:ascii="Times New Roman" w:hAnsi="Times New Roman" w:eastAsia="黑体"/>
          <w:b/>
          <w:color w:val="000000" w:themeColor="text1"/>
          <w:sz w:val="28"/>
          <w:szCs w:val="28"/>
          <w14:textFill>
            <w14:solidFill>
              <w14:schemeClr w14:val="tx1"/>
            </w14:solidFill>
          </w14:textFill>
        </w:rPr>
        <w:t>.2.2生产工艺特点</w:t>
      </w:r>
      <w:bookmarkEnd w:id="622"/>
      <w:bookmarkEnd w:id="623"/>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对照《建设项目环境风险评价技术导则》（HJ169-2018）附录C表C.1行业及生产工艺，本项目生产工艺中均不涉及光气及光气化工艺、电解工艺（氯碱）、氯化工艺、硝化工艺、合成氨工艺、裂解（裂化）工艺、氟化工艺、加氢工艺、重氮化工艺、氧化工艺、过氧化工艺、胺基化工艺、磺化工艺、聚合工艺、烷基化工艺、新型煤化工工艺、电石生产工艺、偶氮化工艺或其他高温、高压且涉及危险物质的工艺过程；项目配套建有1座罐区（储存氟硅酸、废酸（15%氟硅酸+2%氢氟酸）），属危险物质贮存罐区。</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8"/>
          <w:szCs w:val="28"/>
          <w14:textFill>
            <w14:solidFill>
              <w14:schemeClr w14:val="tx1"/>
            </w14:solidFill>
          </w14:textFill>
        </w:rPr>
      </w:pPr>
      <w:bookmarkStart w:id="624" w:name="_Toc9926"/>
      <w:bookmarkStart w:id="625" w:name="_Toc3855"/>
      <w:r>
        <w:rPr>
          <w:rFonts w:hint="eastAsia" w:ascii="Times New Roman" w:hAnsi="Times New Roman" w:eastAsia="黑体"/>
          <w:b/>
          <w:color w:val="000000" w:themeColor="text1"/>
          <w:sz w:val="28"/>
          <w:szCs w:val="28"/>
          <w:lang w:val="en-US" w:eastAsia="zh-CN"/>
          <w14:textFill>
            <w14:solidFill>
              <w14:schemeClr w14:val="tx1"/>
            </w14:solidFill>
          </w14:textFill>
        </w:rPr>
        <w:t>7</w:t>
      </w:r>
      <w:r>
        <w:rPr>
          <w:rFonts w:hint="eastAsia" w:ascii="Times New Roman" w:hAnsi="Times New Roman" w:eastAsia="黑体"/>
          <w:b/>
          <w:color w:val="000000" w:themeColor="text1"/>
          <w:sz w:val="28"/>
          <w:szCs w:val="28"/>
          <w14:textFill>
            <w14:solidFill>
              <w14:schemeClr w14:val="tx1"/>
            </w14:solidFill>
          </w14:textFill>
        </w:rPr>
        <w:t>.2.3环境敏感目标调查</w:t>
      </w:r>
      <w:bookmarkEnd w:id="624"/>
      <w:bookmarkEnd w:id="625"/>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根据危险物质可能的影响途径，本项目环境敏感目标情况见表</w:t>
      </w:r>
      <w:r>
        <w:rPr>
          <w:rFonts w:hint="eastAsia" w:ascii="Times New Roman" w:hAnsi="Times New Roman" w:eastAsiaTheme="minorEastAsia"/>
          <w:color w:val="000000" w:themeColor="text1"/>
          <w:sz w:val="24"/>
          <w:szCs w:val="24"/>
          <w:lang w:val="en-US" w:eastAsia="zh-CN"/>
          <w14:textFill>
            <w14:solidFill>
              <w14:schemeClr w14:val="tx1"/>
            </w14:solidFill>
          </w14:textFill>
        </w:rPr>
        <w:t>7</w:t>
      </w:r>
      <w:r>
        <w:rPr>
          <w:rFonts w:hint="eastAsia" w:ascii="Times New Roman" w:hAnsi="Times New Roman" w:eastAsiaTheme="minorEastAsia"/>
          <w:color w:val="000000" w:themeColor="text1"/>
          <w:sz w:val="24"/>
          <w:szCs w:val="24"/>
          <w14:textFill>
            <w14:solidFill>
              <w14:schemeClr w14:val="tx1"/>
            </w14:solidFill>
          </w14:textFill>
        </w:rPr>
        <w:t>.2-2，环境敏感目标区位分布图见附图。</w:t>
      </w:r>
    </w:p>
    <w:p>
      <w:pPr>
        <w:spacing w:line="520" w:lineRule="exact"/>
        <w:jc w:val="center"/>
        <w:rPr>
          <w:rFonts w:ascii="Times New Roman" w:hAnsi="Times New Roman" w:eastAsiaTheme="minorEastAsia"/>
          <w:b/>
          <w:color w:val="000000" w:themeColor="text1"/>
          <w:sz w:val="24"/>
          <w:szCs w:val="24"/>
          <w14:textFill>
            <w14:solidFill>
              <w14:schemeClr w14:val="tx1"/>
            </w14:solidFill>
          </w14:textFill>
        </w:rPr>
      </w:pPr>
      <w:r>
        <w:rPr>
          <w:rFonts w:hint="eastAsia"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hint="eastAsia" w:ascii="Times New Roman" w:hAnsi="Times New Roman" w:eastAsiaTheme="minorEastAsia"/>
          <w:b/>
          <w:color w:val="000000" w:themeColor="text1"/>
          <w:sz w:val="24"/>
          <w:szCs w:val="24"/>
          <w14:textFill>
            <w14:solidFill>
              <w14:schemeClr w14:val="tx1"/>
            </w14:solidFill>
          </w14:textFill>
        </w:rPr>
        <w:t>.2-2 环境敏感目标调查表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1072"/>
        <w:gridCol w:w="1072"/>
        <w:gridCol w:w="1073"/>
        <w:gridCol w:w="1430"/>
        <w:gridCol w:w="1073"/>
        <w:gridCol w:w="1453"/>
        <w:gridCol w:w="19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类别</w:t>
            </w:r>
          </w:p>
        </w:tc>
        <w:tc>
          <w:tcPr>
            <w:tcW w:w="8023" w:type="dxa"/>
            <w:gridSpan w:val="6"/>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环境空气</w:t>
            </w:r>
          </w:p>
        </w:tc>
        <w:tc>
          <w:tcPr>
            <w:tcW w:w="8023" w:type="dxa"/>
            <w:gridSpan w:val="6"/>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厂址周边</w:t>
            </w:r>
            <w:r>
              <w:rPr>
                <w:rFonts w:ascii="Times New Roman" w:hAnsi="Times New Roman"/>
                <w:color w:val="000000" w:themeColor="text1"/>
                <w:kern w:val="0"/>
                <w:sz w:val="18"/>
                <w:szCs w:val="18"/>
                <w14:textFill>
                  <w14:solidFill>
                    <w14:schemeClr w14:val="tx1"/>
                  </w14:solidFill>
                </w14:textFill>
              </w:rPr>
              <w:t>5Km</w:t>
            </w:r>
            <w:r>
              <w:rPr>
                <w:rFonts w:ascii="Times New Roman" w:hAnsi="宋体"/>
                <w:color w:val="000000" w:themeColor="text1"/>
                <w:kern w:val="0"/>
                <w:sz w:val="18"/>
                <w:szCs w:val="18"/>
                <w14:textFill>
                  <w14:solidFill>
                    <w14:schemeClr w14:val="tx1"/>
                  </w14:solidFill>
                </w14:textFill>
              </w:rPr>
              <w:t>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序号</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保护目标</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属性</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方位</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距离厂界</w:t>
            </w:r>
            <w:r>
              <w:rPr>
                <w:rFonts w:ascii="Times New Roman" w:hAnsi="Times New Roman"/>
                <w:color w:val="000000" w:themeColor="text1"/>
                <w:kern w:val="0"/>
                <w:sz w:val="18"/>
                <w:szCs w:val="18"/>
                <w14:textFill>
                  <w14:solidFill>
                    <w14:schemeClr w14:val="tx1"/>
                  </w14:solidFill>
                </w14:textFill>
              </w:rPr>
              <w:t>(m)</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安桥</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S</w:t>
            </w:r>
          </w:p>
        </w:tc>
        <w:tc>
          <w:tcPr>
            <w:tcW w:w="145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2549</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50</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164</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石马冲</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1517</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15</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47</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黄家湾</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2556</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64</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202</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4</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官坪村</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S</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1400</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62</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179</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回龙垱村</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W</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1817</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97</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286</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6</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桃子岭</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t>
            </w:r>
            <w:r>
              <w:rPr>
                <w:rFonts w:ascii="Times New Roman" w:hAnsi="Times New Roman"/>
                <w:color w:val="000000" w:themeColor="text1"/>
                <w:kern w:val="0"/>
                <w:sz w:val="18"/>
                <w:szCs w:val="18"/>
                <w14:textFill>
                  <w14:solidFill>
                    <w14:schemeClr w14:val="tx1"/>
                  </w14:solidFill>
                </w14:textFill>
              </w:rPr>
              <w:t>E</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1448</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26</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75</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7</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朱家湾</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t>
            </w:r>
            <w:r>
              <w:rPr>
                <w:rFonts w:ascii="Times New Roman" w:hAnsi="Times New Roman"/>
                <w:color w:val="000000" w:themeColor="text1"/>
                <w:kern w:val="0"/>
                <w:sz w:val="18"/>
                <w:szCs w:val="18"/>
                <w14:textFill>
                  <w14:solidFill>
                    <w14:schemeClr w14:val="tx1"/>
                  </w14:solidFill>
                </w14:textFill>
              </w:rPr>
              <w:t>W</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931</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35</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102</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洋溪</w:t>
            </w:r>
            <w:r>
              <w:rPr>
                <w:rFonts w:ascii="Times New Roman" w:hAnsi="宋体"/>
                <w:color w:val="000000" w:themeColor="text1"/>
                <w:kern w:val="0"/>
                <w:sz w:val="18"/>
                <w:szCs w:val="18"/>
                <w14:textFill>
                  <w14:solidFill>
                    <w14:schemeClr w14:val="tx1"/>
                  </w14:solidFill>
                </w14:textFill>
              </w:rPr>
              <w:t>村</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NE</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2359</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968</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3246</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w:t>
            </w:r>
          </w:p>
        </w:tc>
        <w:tc>
          <w:tcPr>
            <w:tcW w:w="107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洋溪小学</w:t>
            </w:r>
          </w:p>
        </w:tc>
        <w:tc>
          <w:tcPr>
            <w:tcW w:w="143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学生</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E</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2271</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300人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w:t>
            </w:r>
          </w:p>
        </w:tc>
        <w:tc>
          <w:tcPr>
            <w:tcW w:w="107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文家冲</w:t>
            </w:r>
          </w:p>
        </w:tc>
        <w:tc>
          <w:tcPr>
            <w:tcW w:w="143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t>
            </w:r>
            <w:r>
              <w:rPr>
                <w:rFonts w:ascii="Times New Roman" w:hAnsi="Times New Roman"/>
                <w:color w:val="000000" w:themeColor="text1"/>
                <w:kern w:val="0"/>
                <w:sz w:val="18"/>
                <w:szCs w:val="18"/>
                <w14:textFill>
                  <w14:solidFill>
                    <w14:schemeClr w14:val="tx1"/>
                  </w14:solidFill>
                </w14:textFill>
              </w:rPr>
              <w:t>E</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1192</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50</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160</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11</w:t>
            </w:r>
          </w:p>
        </w:tc>
        <w:tc>
          <w:tcPr>
            <w:tcW w:w="107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艾家冲</w:t>
            </w:r>
          </w:p>
        </w:tc>
        <w:tc>
          <w:tcPr>
            <w:tcW w:w="143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t>
            </w:r>
            <w:r>
              <w:rPr>
                <w:rFonts w:ascii="Times New Roman" w:hAnsi="Times New Roman"/>
                <w:color w:val="000000" w:themeColor="text1"/>
                <w:kern w:val="0"/>
                <w:sz w:val="18"/>
                <w:szCs w:val="18"/>
                <w14:textFill>
                  <w14:solidFill>
                    <w14:schemeClr w14:val="tx1"/>
                  </w14:solidFill>
                </w14:textFill>
              </w:rPr>
              <w:t>E</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1673</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10</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30</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12</w:t>
            </w:r>
          </w:p>
        </w:tc>
        <w:tc>
          <w:tcPr>
            <w:tcW w:w="107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孙家冲</w:t>
            </w:r>
          </w:p>
        </w:tc>
        <w:tc>
          <w:tcPr>
            <w:tcW w:w="143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t>
            </w:r>
            <w:r>
              <w:rPr>
                <w:rFonts w:ascii="Times New Roman" w:hAnsi="Times New Roman"/>
                <w:color w:val="000000" w:themeColor="text1"/>
                <w:kern w:val="0"/>
                <w:sz w:val="18"/>
                <w:szCs w:val="18"/>
                <w14:textFill>
                  <w14:solidFill>
                    <w14:schemeClr w14:val="tx1"/>
                  </w14:solidFill>
                </w14:textFill>
              </w:rPr>
              <w:t>E</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2191</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40</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136</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13</w:t>
            </w:r>
          </w:p>
        </w:tc>
        <w:tc>
          <w:tcPr>
            <w:tcW w:w="107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徐家溪</w:t>
            </w:r>
          </w:p>
        </w:tc>
        <w:tc>
          <w:tcPr>
            <w:tcW w:w="143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N</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2077</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15</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14</w:t>
            </w:r>
          </w:p>
        </w:tc>
        <w:tc>
          <w:tcPr>
            <w:tcW w:w="1073"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石柱</w:t>
            </w:r>
          </w:p>
        </w:tc>
        <w:tc>
          <w:tcPr>
            <w:tcW w:w="1430"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居民点</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NE</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1910</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50</w:t>
            </w:r>
            <w:r>
              <w:rPr>
                <w:rFonts w:ascii="Times New Roman" w:hAnsi="宋体"/>
                <w:color w:val="000000" w:themeColor="text1"/>
                <w:kern w:val="0"/>
                <w:sz w:val="18"/>
                <w:szCs w:val="18"/>
                <w14:textFill>
                  <w14:solidFill>
                    <w14:schemeClr w14:val="tx1"/>
                  </w14:solidFill>
                </w14:textFill>
              </w:rPr>
              <w:t>户（约</w:t>
            </w:r>
            <w:r>
              <w:rPr>
                <w:rFonts w:hint="eastAsia" w:ascii="Times New Roman" w:hAnsi="Times New Roman"/>
                <w:color w:val="000000" w:themeColor="text1"/>
                <w:kern w:val="0"/>
                <w:sz w:val="18"/>
                <w:szCs w:val="18"/>
                <w14:textFill>
                  <w14:solidFill>
                    <w14:schemeClr w14:val="tx1"/>
                  </w14:solidFill>
                </w14:textFill>
              </w:rPr>
              <w:t>160</w:t>
            </w:r>
            <w:r>
              <w:rPr>
                <w:rFonts w:ascii="Times New Roman" w:hAnsi="宋体"/>
                <w:color w:val="000000" w:themeColor="text1"/>
                <w:kern w:val="0"/>
                <w:sz w:val="18"/>
                <w:szCs w:val="18"/>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101" w:type="dxa"/>
            <w:gridSpan w:val="5"/>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厂址周边</w:t>
            </w:r>
            <w:r>
              <w:rPr>
                <w:rFonts w:ascii="Times New Roman" w:hAnsi="Times New Roman"/>
                <w:color w:val="000000" w:themeColor="text1"/>
                <w:kern w:val="0"/>
                <w:sz w:val="18"/>
                <w:szCs w:val="18"/>
                <w14:textFill>
                  <w14:solidFill>
                    <w14:schemeClr w14:val="tx1"/>
                  </w14:solidFill>
                </w14:textFill>
              </w:rPr>
              <w:t>500m</w:t>
            </w:r>
            <w:r>
              <w:rPr>
                <w:rFonts w:ascii="Times New Roman" w:hAnsi="宋体"/>
                <w:color w:val="000000" w:themeColor="text1"/>
                <w:kern w:val="0"/>
                <w:sz w:val="18"/>
                <w:szCs w:val="18"/>
                <w14:textFill>
                  <w14:solidFill>
                    <w14:schemeClr w14:val="tx1"/>
                  </w14:solidFill>
                </w14:textFill>
              </w:rPr>
              <w:t>范围人口数</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101" w:type="dxa"/>
            <w:gridSpan w:val="5"/>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厂址周边</w:t>
            </w:r>
            <w:r>
              <w:rPr>
                <w:rFonts w:ascii="Times New Roman" w:hAnsi="Times New Roman"/>
                <w:color w:val="000000" w:themeColor="text1"/>
                <w:kern w:val="0"/>
                <w:sz w:val="18"/>
                <w:szCs w:val="18"/>
                <w14:textFill>
                  <w14:solidFill>
                    <w14:schemeClr w14:val="tx1"/>
                  </w14:solidFill>
                </w14:textFill>
              </w:rPr>
              <w:t>5Km</w:t>
            </w:r>
            <w:r>
              <w:rPr>
                <w:rFonts w:ascii="Times New Roman" w:hAnsi="宋体"/>
                <w:color w:val="000000" w:themeColor="text1"/>
                <w:kern w:val="0"/>
                <w:sz w:val="18"/>
                <w:szCs w:val="18"/>
                <w14:textFill>
                  <w14:solidFill>
                    <w14:schemeClr w14:val="tx1"/>
                  </w14:solidFill>
                </w14:textFill>
              </w:rPr>
              <w:t>范围人口数</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101" w:type="dxa"/>
            <w:gridSpan w:val="5"/>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大气环境敏感程度</w:t>
            </w:r>
            <w:r>
              <w:rPr>
                <w:rFonts w:ascii="Times New Roman" w:hAnsi="Times New Roman"/>
                <w:color w:val="000000" w:themeColor="text1"/>
                <w:kern w:val="0"/>
                <w:sz w:val="18"/>
                <w:szCs w:val="18"/>
                <w14:textFill>
                  <w14:solidFill>
                    <w14:schemeClr w14:val="tx1"/>
                  </w14:solidFill>
                </w14:textFill>
              </w:rPr>
              <w:t>E</w:t>
            </w:r>
            <w:r>
              <w:rPr>
                <w:rFonts w:ascii="Times New Roman" w:hAnsi="宋体"/>
                <w:color w:val="000000" w:themeColor="text1"/>
                <w:kern w:val="0"/>
                <w:sz w:val="18"/>
                <w:szCs w:val="18"/>
                <w14:textFill>
                  <w14:solidFill>
                    <w14:schemeClr w14:val="tx1"/>
                  </w14:solidFill>
                </w14:textFill>
              </w:rPr>
              <w:t>值</w:t>
            </w:r>
          </w:p>
        </w:tc>
        <w:tc>
          <w:tcPr>
            <w:tcW w:w="1922" w:type="dxa"/>
            <w:shd w:val="clear" w:color="auto" w:fill="auto"/>
            <w:vAlign w:val="center"/>
          </w:tcPr>
          <w:p>
            <w:pPr>
              <w:widowControl/>
              <w:jc w:val="center"/>
              <w:rPr>
                <w:rFonts w:ascii="Times New Roman" w:hAnsi="Times New Roman"/>
                <w:b/>
                <w:color w:val="000000" w:themeColor="text1"/>
                <w:kern w:val="0"/>
                <w:sz w:val="18"/>
                <w:szCs w:val="18"/>
                <w14:textFill>
                  <w14:solidFill>
                    <w14:schemeClr w14:val="tx1"/>
                  </w14:solidFill>
                </w14:textFill>
              </w:rPr>
            </w:pPr>
            <w:r>
              <w:rPr>
                <w:rFonts w:ascii="Times New Roman" w:hAnsi="Times New Roman"/>
                <w:b/>
                <w:color w:val="000000" w:themeColor="text1"/>
                <w:kern w:val="0"/>
                <w:sz w:val="18"/>
                <w:szCs w:val="18"/>
                <w14:textFill>
                  <w14:solidFill>
                    <w14:schemeClr w14:val="tx1"/>
                  </w14:solidFill>
                </w14:textFill>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地表水环境</w:t>
            </w: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受纳水体</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方位</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距离厂界</w:t>
            </w:r>
            <w:r>
              <w:rPr>
                <w:rFonts w:ascii="Times New Roman" w:hAnsi="Times New Roman"/>
                <w:color w:val="000000" w:themeColor="text1"/>
                <w:kern w:val="0"/>
                <w:sz w:val="18"/>
                <w:szCs w:val="18"/>
                <w14:textFill>
                  <w14:solidFill>
                    <w14:schemeClr w14:val="tx1"/>
                  </w14:solidFill>
                </w14:textFill>
              </w:rPr>
              <w:t>(m)</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排放点水域环境功能</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24h</w:t>
            </w:r>
            <w:r>
              <w:rPr>
                <w:rFonts w:ascii="Times New Roman" w:hAnsi="宋体"/>
                <w:color w:val="000000" w:themeColor="text1"/>
                <w:kern w:val="0"/>
                <w:sz w:val="18"/>
                <w:szCs w:val="18"/>
                <w14:textFill>
                  <w14:solidFill>
                    <w14:schemeClr w14:val="tx1"/>
                  </w14:solidFill>
                </w14:textFill>
              </w:rPr>
              <w:t>内流经范围（</w:t>
            </w:r>
            <w:r>
              <w:rPr>
                <w:rFonts w:ascii="Times New Roman" w:hAnsi="Times New Roman"/>
                <w:color w:val="000000" w:themeColor="text1"/>
                <w:kern w:val="0"/>
                <w:sz w:val="18"/>
                <w:szCs w:val="18"/>
                <w14:textFill>
                  <w14:solidFill>
                    <w14:schemeClr w14:val="tx1"/>
                  </w14:solidFill>
                </w14:textFill>
              </w:rPr>
              <w:t>Km</w:t>
            </w:r>
            <w:r>
              <w:rPr>
                <w:rFonts w:ascii="Times New Roman" w:hAnsi="宋体"/>
                <w:color w:val="000000" w:themeColor="text1"/>
                <w:kern w:val="0"/>
                <w:sz w:val="18"/>
                <w:szCs w:val="18"/>
                <w14:textFill>
                  <w14:solidFill>
                    <w14:schemeClr w14:val="tx1"/>
                  </w14:solidFill>
                </w14:textFill>
              </w:rPr>
              <w:t>）</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排放点下游</w:t>
            </w:r>
            <w:r>
              <w:rPr>
                <w:rFonts w:ascii="Times New Roman" w:hAnsi="Times New Roman"/>
                <w:color w:val="000000" w:themeColor="text1"/>
                <w:kern w:val="0"/>
                <w:sz w:val="18"/>
                <w:szCs w:val="18"/>
                <w14:textFill>
                  <w14:solidFill>
                    <w14:schemeClr w14:val="tx1"/>
                  </w14:solidFill>
                </w14:textFill>
              </w:rPr>
              <w:t>10km</w:t>
            </w:r>
            <w:r>
              <w:rPr>
                <w:rFonts w:ascii="Times New Roman" w:hAnsi="宋体"/>
                <w:color w:val="000000" w:themeColor="text1"/>
                <w:kern w:val="0"/>
                <w:sz w:val="18"/>
                <w:szCs w:val="18"/>
                <w14:textFill>
                  <w14:solidFill>
                    <w14:schemeClr w14:val="tx1"/>
                  </w14:solidFill>
                </w14:textFill>
              </w:rPr>
              <w:t>范围内敏感目标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长江</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S</w:t>
            </w:r>
            <w:r>
              <w:rPr>
                <w:rFonts w:ascii="Times New Roman" w:hAnsi="Times New Roman"/>
                <w:color w:val="000000" w:themeColor="text1"/>
                <w:kern w:val="0"/>
                <w:sz w:val="18"/>
                <w:szCs w:val="18"/>
                <w14:textFill>
                  <w14:solidFill>
                    <w14:schemeClr w14:val="tx1"/>
                  </w14:solidFill>
                </w14:textFill>
              </w:rPr>
              <w:t>E</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2369</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fldChar w:fldCharType="begin"/>
            </w:r>
            <w:r>
              <w:rPr>
                <w:rFonts w:ascii="Times New Roman" w:hAnsi="Times New Roman"/>
                <w:color w:val="000000" w:themeColor="text1"/>
                <w:kern w:val="0"/>
                <w:sz w:val="18"/>
                <w:szCs w:val="18"/>
                <w14:textFill>
                  <w14:solidFill>
                    <w14:schemeClr w14:val="tx1"/>
                  </w14:solidFill>
                </w14:textFill>
              </w:rPr>
              <w:instrText xml:space="preserve"> </w:instrText>
            </w:r>
            <w:r>
              <w:rPr>
                <w:rFonts w:hint="eastAsia" w:ascii="Times New Roman" w:hAnsi="Times New Roman"/>
                <w:color w:val="000000" w:themeColor="text1"/>
                <w:kern w:val="0"/>
                <w:sz w:val="18"/>
                <w:szCs w:val="18"/>
                <w14:textFill>
                  <w14:solidFill>
                    <w14:schemeClr w14:val="tx1"/>
                  </w14:solidFill>
                </w14:textFill>
              </w:rPr>
              <w:instrText xml:space="preserve">= 3 \* ROMAN</w:instrText>
            </w:r>
            <w:r>
              <w:rPr>
                <w:rFonts w:ascii="Times New Roman" w:hAnsi="Times New Roman"/>
                <w:color w:val="000000" w:themeColor="text1"/>
                <w:kern w:val="0"/>
                <w:sz w:val="18"/>
                <w:szCs w:val="18"/>
                <w14:textFill>
                  <w14:solidFill>
                    <w14:schemeClr w14:val="tx1"/>
                  </w14:solidFill>
                </w14:textFill>
              </w:rPr>
              <w:instrText xml:space="preserve"> </w:instrText>
            </w:r>
            <w:r>
              <w:rPr>
                <w:rFonts w:ascii="Times New Roman" w:hAnsi="Times New Roman"/>
                <w:color w:val="000000" w:themeColor="text1"/>
                <w:kern w:val="0"/>
                <w:sz w:val="18"/>
                <w:szCs w:val="18"/>
                <w14:textFill>
                  <w14:solidFill>
                    <w14:schemeClr w14:val="tx1"/>
                  </w14:solidFill>
                </w14:textFill>
              </w:rPr>
              <w:fldChar w:fldCharType="separate"/>
            </w:r>
            <w:r>
              <w:rPr>
                <w:rFonts w:ascii="Times New Roman" w:hAnsi="Times New Roman"/>
                <w:color w:val="000000" w:themeColor="text1"/>
                <w:kern w:val="0"/>
                <w:sz w:val="18"/>
                <w:szCs w:val="18"/>
                <w14:textFill>
                  <w14:solidFill>
                    <w14:schemeClr w14:val="tx1"/>
                  </w14:solidFill>
                </w14:textFill>
              </w:rPr>
              <w:t>III</w:t>
            </w:r>
            <w:r>
              <w:rPr>
                <w:rFonts w:ascii="Times New Roman" w:hAnsi="Times New Roman"/>
                <w:color w:val="000000" w:themeColor="text1"/>
                <w:kern w:val="0"/>
                <w:sz w:val="18"/>
                <w:szCs w:val="18"/>
                <w14:textFill>
                  <w14:solidFill>
                    <w14:schemeClr w14:val="tx1"/>
                  </w14:solidFill>
                </w14:textFill>
              </w:rPr>
              <w:fldChar w:fldCharType="end"/>
            </w:r>
            <w:r>
              <w:rPr>
                <w:rFonts w:ascii="Times New Roman" w:hAnsi="宋体"/>
                <w:color w:val="000000" w:themeColor="text1"/>
                <w:kern w:val="0"/>
                <w:sz w:val="18"/>
                <w:szCs w:val="18"/>
                <w14:textFill>
                  <w14:solidFill>
                    <w14:schemeClr w14:val="tx1"/>
                  </w14:solidFill>
                </w14:textFill>
              </w:rPr>
              <w:t>类</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其他</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101" w:type="dxa"/>
            <w:gridSpan w:val="5"/>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地表水环境敏感程度</w:t>
            </w:r>
            <w:r>
              <w:rPr>
                <w:rFonts w:ascii="Times New Roman" w:hAnsi="Times New Roman"/>
                <w:color w:val="000000" w:themeColor="text1"/>
                <w:kern w:val="0"/>
                <w:sz w:val="18"/>
                <w:szCs w:val="18"/>
                <w14:textFill>
                  <w14:solidFill>
                    <w14:schemeClr w14:val="tx1"/>
                  </w14:solidFill>
                </w14:textFill>
              </w:rPr>
              <w:t>E</w:t>
            </w:r>
            <w:r>
              <w:rPr>
                <w:rFonts w:ascii="Times New Roman" w:hAnsi="宋体"/>
                <w:color w:val="000000" w:themeColor="text1"/>
                <w:kern w:val="0"/>
                <w:sz w:val="18"/>
                <w:szCs w:val="18"/>
                <w14:textFill>
                  <w14:solidFill>
                    <w14:schemeClr w14:val="tx1"/>
                  </w14:solidFill>
                </w14:textFill>
              </w:rPr>
              <w:t>值</w:t>
            </w:r>
          </w:p>
        </w:tc>
        <w:tc>
          <w:tcPr>
            <w:tcW w:w="1922" w:type="dxa"/>
            <w:shd w:val="clear" w:color="auto" w:fill="auto"/>
            <w:vAlign w:val="center"/>
          </w:tcPr>
          <w:p>
            <w:pPr>
              <w:widowControl/>
              <w:jc w:val="center"/>
              <w:rPr>
                <w:rFonts w:ascii="Times New Roman" w:hAnsi="Times New Roman"/>
                <w:b/>
                <w:color w:val="000000" w:themeColor="text1"/>
                <w:kern w:val="0"/>
                <w:sz w:val="18"/>
                <w:szCs w:val="18"/>
                <w14:textFill>
                  <w14:solidFill>
                    <w14:schemeClr w14:val="tx1"/>
                  </w14:solidFill>
                </w14:textFill>
              </w:rPr>
            </w:pPr>
            <w:r>
              <w:rPr>
                <w:rFonts w:ascii="Times New Roman" w:hAnsi="Times New Roman"/>
                <w:b/>
                <w:color w:val="000000" w:themeColor="text1"/>
                <w:kern w:val="0"/>
                <w:sz w:val="18"/>
                <w:szCs w:val="18"/>
                <w14:textFill>
                  <w14:solidFill>
                    <w14:schemeClr w14:val="tx1"/>
                  </w14:solidFill>
                </w14:textFill>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地下水环境</w:t>
            </w: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环境敏感区</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敏感特征</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水质目标</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包气带防污性能</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方位</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与下游厂界距离（</w:t>
            </w:r>
            <w:r>
              <w:rPr>
                <w:rFonts w:ascii="Times New Roman" w:hAnsi="Times New Roman"/>
                <w:color w:val="000000" w:themeColor="text1"/>
                <w:kern w:val="0"/>
                <w:sz w:val="18"/>
                <w:szCs w:val="18"/>
                <w14:textFill>
                  <w14:solidFill>
                    <w14:schemeClr w14:val="tx1"/>
                  </w14:solidFill>
                </w14:textFill>
              </w:rPr>
              <w:t>m</w:t>
            </w:r>
            <w:r>
              <w:rPr>
                <w:rFonts w:ascii="Times New Roman" w:hAnsi="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无</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43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07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45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c>
          <w:tcPr>
            <w:tcW w:w="192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7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101" w:type="dxa"/>
            <w:gridSpan w:val="5"/>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地下水环境敏感程度</w:t>
            </w:r>
            <w:r>
              <w:rPr>
                <w:rFonts w:ascii="Times New Roman" w:hAnsi="Times New Roman"/>
                <w:color w:val="000000" w:themeColor="text1"/>
                <w:kern w:val="0"/>
                <w:sz w:val="18"/>
                <w:szCs w:val="18"/>
                <w14:textFill>
                  <w14:solidFill>
                    <w14:schemeClr w14:val="tx1"/>
                  </w14:solidFill>
                </w14:textFill>
              </w:rPr>
              <w:t>E</w:t>
            </w:r>
            <w:r>
              <w:rPr>
                <w:rFonts w:ascii="Times New Roman" w:hAnsi="宋体"/>
                <w:color w:val="000000" w:themeColor="text1"/>
                <w:kern w:val="0"/>
                <w:sz w:val="18"/>
                <w:szCs w:val="18"/>
                <w14:textFill>
                  <w14:solidFill>
                    <w14:schemeClr w14:val="tx1"/>
                  </w14:solidFill>
                </w14:textFill>
              </w:rPr>
              <w:t>值</w:t>
            </w:r>
          </w:p>
        </w:tc>
        <w:tc>
          <w:tcPr>
            <w:tcW w:w="1922" w:type="dxa"/>
            <w:shd w:val="clear" w:color="auto" w:fill="auto"/>
            <w:vAlign w:val="center"/>
          </w:tcPr>
          <w:p>
            <w:pPr>
              <w:widowControl/>
              <w:jc w:val="center"/>
              <w:rPr>
                <w:rFonts w:ascii="Times New Roman" w:hAnsi="Times New Roman"/>
                <w:b/>
                <w:color w:val="000000" w:themeColor="text1"/>
                <w:kern w:val="0"/>
                <w:sz w:val="18"/>
                <w:szCs w:val="18"/>
                <w14:textFill>
                  <w14:solidFill>
                    <w14:schemeClr w14:val="tx1"/>
                  </w14:solidFill>
                </w14:textFill>
              </w:rPr>
            </w:pPr>
            <w:r>
              <w:rPr>
                <w:rFonts w:ascii="Times New Roman" w:hAnsi="Times New Roman"/>
                <w:b/>
                <w:color w:val="000000" w:themeColor="text1"/>
                <w:kern w:val="0"/>
                <w:sz w:val="18"/>
                <w:szCs w:val="18"/>
                <w14:textFill>
                  <w14:solidFill>
                    <w14:schemeClr w14:val="tx1"/>
                  </w14:solidFill>
                </w14:textFill>
              </w:rPr>
              <w:t>E3</w:t>
            </w:r>
          </w:p>
        </w:tc>
      </w:tr>
    </w:tbl>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26" w:name="_Toc24691"/>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3</w:t>
      </w:r>
      <w:r>
        <w:rPr>
          <w:rFonts w:hint="eastAsia" w:ascii="黑体" w:hAnsi="黑体" w:eastAsia="黑体"/>
          <w:b/>
          <w:color w:val="000000" w:themeColor="text1"/>
          <w:sz w:val="32"/>
          <w:szCs w:val="32"/>
          <w14:textFill>
            <w14:solidFill>
              <w14:schemeClr w14:val="tx1"/>
            </w14:solidFill>
          </w14:textFill>
        </w:rPr>
        <w:t>评价等级及范围</w:t>
      </w:r>
      <w:bookmarkEnd w:id="626"/>
    </w:p>
    <w:p>
      <w:pPr>
        <w:pStyle w:val="380"/>
        <w:adjustRightInd w:val="0"/>
        <w:snapToGrid w:val="0"/>
        <w:spacing w:before="48" w:beforeLines="20" w:after="48" w:afterLines="20" w:line="520" w:lineRule="exact"/>
        <w:ind w:firstLine="0" w:firstLineChars="0"/>
        <w:jc w:val="left"/>
        <w:outlineLvl w:val="2"/>
        <w:rPr>
          <w:rFonts w:ascii="Times New Roman" w:hAnsi="Times New Roman"/>
          <w:bCs/>
          <w:color w:val="000000" w:themeColor="text1"/>
          <w:sz w:val="28"/>
          <w:szCs w:val="28"/>
          <w14:textFill>
            <w14:solidFill>
              <w14:schemeClr w14:val="tx1"/>
            </w14:solidFill>
          </w14:textFill>
        </w:rPr>
      </w:pPr>
      <w:bookmarkStart w:id="627" w:name="_Toc20821"/>
      <w:bookmarkStart w:id="628" w:name="_Toc3552"/>
      <w:r>
        <w:rPr>
          <w:rFonts w:hint="eastAsia" w:ascii="Times New Roman" w:hAnsi="Times New Roman" w:eastAsia="黑体"/>
          <w:b/>
          <w:color w:val="000000" w:themeColor="text1"/>
          <w:sz w:val="28"/>
          <w:szCs w:val="28"/>
          <w:lang w:val="en-US" w:eastAsia="zh-CN"/>
          <w14:textFill>
            <w14:solidFill>
              <w14:schemeClr w14:val="tx1"/>
            </w14:solidFill>
          </w14:textFill>
        </w:rPr>
        <w:t>7</w:t>
      </w:r>
      <w:r>
        <w:rPr>
          <w:rFonts w:hint="eastAsia" w:ascii="Times New Roman" w:hAnsi="Times New Roman" w:eastAsia="黑体"/>
          <w:b/>
          <w:color w:val="000000" w:themeColor="text1"/>
          <w:sz w:val="28"/>
          <w:szCs w:val="28"/>
          <w14:textFill>
            <w14:solidFill>
              <w14:schemeClr w14:val="tx1"/>
            </w14:solidFill>
          </w14:textFill>
        </w:rPr>
        <w:t>.3.1工作等级划分依据</w:t>
      </w:r>
      <w:bookmarkEnd w:id="627"/>
      <w:bookmarkEnd w:id="628"/>
    </w:p>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428"/>
        <w:jc w:val="both"/>
        <w:rPr>
          <w:rFonts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《建设项目环境风险评价技术导则》（</w:t>
      </w:r>
      <w:r>
        <w:rPr>
          <w:rFonts w:hAnsi="Times New Roman"/>
          <w:color w:val="000000" w:themeColor="text1"/>
          <w14:textFill>
            <w14:solidFill>
              <w14:schemeClr w14:val="tx1"/>
            </w14:solidFill>
          </w14:textFill>
        </w:rPr>
        <w:t>HJ</w:t>
      </w:r>
      <w:r>
        <w:rPr>
          <w:rFonts w:hint="eastAsia" w:hAnsi="Times New Roman"/>
          <w:color w:val="000000" w:themeColor="text1"/>
          <w14:textFill>
            <w14:solidFill>
              <w14:schemeClr w14:val="tx1"/>
            </w14:solidFill>
          </w14:textFill>
        </w:rPr>
        <w:t xml:space="preserve"> </w:t>
      </w:r>
      <w:r>
        <w:rPr>
          <w:rFonts w:hAnsi="Times New Roman"/>
          <w:color w:val="000000" w:themeColor="text1"/>
          <w14:textFill>
            <w14:solidFill>
              <w14:schemeClr w14:val="tx1"/>
            </w14:solidFill>
          </w14:textFill>
        </w:rPr>
        <w:t>169-2018</w:t>
      </w:r>
      <w:r>
        <w:rPr>
          <w:color w:val="000000" w:themeColor="text1"/>
          <w14:textFill>
            <w14:solidFill>
              <w14:schemeClr w14:val="tx1"/>
            </w14:solidFill>
          </w14:textFill>
        </w:rPr>
        <w:t>）的评价工作等级划分</w:t>
      </w:r>
      <w:r>
        <w:rPr>
          <w:rFonts w:hint="eastAsia"/>
          <w:color w:val="000000" w:themeColor="text1"/>
          <w14:textFill>
            <w14:solidFill>
              <w14:schemeClr w14:val="tx1"/>
            </w14:solidFill>
          </w14:textFill>
        </w:rPr>
        <w:t>规定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环境风险评价工作等级划分为一级、二级、三级。根据建设项目涉及的物质及工艺系统危险性和所在地的环境敏感性确定环境风险潜势，按照下表</w:t>
      </w:r>
      <w:r>
        <w:rPr>
          <w:rFonts w:hint="eastAsia" w:hAnsi="Times New Roman"/>
          <w:color w:val="000000" w:themeColor="text1"/>
          <w14:textFill>
            <w14:solidFill>
              <w14:schemeClr w14:val="tx1"/>
            </w14:solidFill>
          </w14:textFill>
        </w:rPr>
        <w:t>6.3</w:t>
      </w:r>
      <w:r>
        <w:rPr>
          <w:rFonts w:hAnsi="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确定评价工作等级</w:t>
      </w:r>
      <w:r>
        <w:rPr>
          <w:color w:val="000000" w:themeColor="text1"/>
          <w14:textFill>
            <w14:solidFill>
              <w14:schemeClr w14:val="tx1"/>
            </w14:solidFill>
          </w14:textFill>
        </w:rPr>
        <w:t>。</w:t>
      </w:r>
    </w:p>
    <w:p>
      <w:pPr>
        <w:spacing w:line="520" w:lineRule="exact"/>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表6.3-1  风险评价工作等级划分依据</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10"/>
        <w:gridCol w:w="1759"/>
        <w:gridCol w:w="1908"/>
        <w:gridCol w:w="2232"/>
        <w:gridCol w:w="15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1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环境风险潜势</w:t>
            </w:r>
          </w:p>
        </w:tc>
        <w:tc>
          <w:tcPr>
            <w:tcW w:w="17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fldChar w:fldCharType="begin"/>
            </w:r>
            <w:r>
              <w:rPr>
                <w:rFonts w:ascii="Times New Roman" w:hAnsi="宋体"/>
                <w:color w:val="000000" w:themeColor="text1"/>
                <w:sz w:val="18"/>
                <w:szCs w:val="18"/>
                <w14:textFill>
                  <w14:solidFill>
                    <w14:schemeClr w14:val="tx1"/>
                  </w14:solidFill>
                </w14:textFill>
              </w:rPr>
              <w:instrText xml:space="preserve"> </w:instrText>
            </w:r>
            <w:r>
              <w:rPr>
                <w:rFonts w:hint="eastAsia" w:ascii="Times New Roman" w:hAnsi="宋体"/>
                <w:color w:val="000000" w:themeColor="text1"/>
                <w:sz w:val="18"/>
                <w:szCs w:val="18"/>
                <w14:textFill>
                  <w14:solidFill>
                    <w14:schemeClr w14:val="tx1"/>
                  </w14:solidFill>
                </w14:textFill>
              </w:rPr>
              <w:instrText xml:space="preserve">= 4 \* ROMAN</w:instrText>
            </w:r>
            <w:r>
              <w:rPr>
                <w:rFonts w:ascii="Times New Roman" w:hAnsi="宋体"/>
                <w:color w:val="000000" w:themeColor="text1"/>
                <w:sz w:val="18"/>
                <w:szCs w:val="18"/>
                <w14:textFill>
                  <w14:solidFill>
                    <w14:schemeClr w14:val="tx1"/>
                  </w14:solidFill>
                </w14:textFill>
              </w:rPr>
              <w:instrText xml:space="preserve"> </w:instrText>
            </w:r>
            <w:r>
              <w:rPr>
                <w:rFonts w:ascii="Times New Roman" w:hAnsi="宋体"/>
                <w:color w:val="000000" w:themeColor="text1"/>
                <w:sz w:val="18"/>
                <w:szCs w:val="18"/>
                <w14:textFill>
                  <w14:solidFill>
                    <w14:schemeClr w14:val="tx1"/>
                  </w14:solidFill>
                </w14:textFill>
              </w:rPr>
              <w:fldChar w:fldCharType="separate"/>
            </w:r>
            <w:r>
              <w:rPr>
                <w:rFonts w:ascii="Times New Roman" w:hAnsi="宋体"/>
                <w:color w:val="000000" w:themeColor="text1"/>
                <w:sz w:val="18"/>
                <w:szCs w:val="18"/>
                <w14:textFill>
                  <w14:solidFill>
                    <w14:schemeClr w14:val="tx1"/>
                  </w14:solidFill>
                </w14:textFill>
              </w:rPr>
              <w:t>IV</w:t>
            </w:r>
            <w:r>
              <w:rPr>
                <w:rFonts w:ascii="Times New Roman" w:hAnsi="宋体"/>
                <w:color w:val="000000" w:themeColor="text1"/>
                <w:sz w:val="18"/>
                <w:szCs w:val="18"/>
                <w14:textFill>
                  <w14:solidFill>
                    <w14:schemeClr w14:val="tx1"/>
                  </w14:solidFill>
                </w14:textFill>
              </w:rPr>
              <w:fldChar w:fldCharType="end"/>
            </w:r>
            <w:r>
              <w:rPr>
                <w:rFonts w:hint="eastAsia" w:ascii="Times New Roman" w:hAnsi="宋体"/>
                <w:color w:val="000000" w:themeColor="text1"/>
                <w:sz w:val="18"/>
                <w:szCs w:val="18"/>
                <w14:textFill>
                  <w14:solidFill>
                    <w14:schemeClr w14:val="tx1"/>
                  </w14:solidFill>
                </w14:textFill>
              </w:rPr>
              <w:t>、</w:t>
            </w:r>
            <w:r>
              <w:rPr>
                <w:rFonts w:ascii="Times New Roman" w:hAnsi="宋体"/>
                <w:color w:val="000000" w:themeColor="text1"/>
                <w:sz w:val="18"/>
                <w:szCs w:val="18"/>
                <w14:textFill>
                  <w14:solidFill>
                    <w14:schemeClr w14:val="tx1"/>
                  </w14:solidFill>
                </w14:textFill>
              </w:rPr>
              <w:fldChar w:fldCharType="begin"/>
            </w:r>
            <w:r>
              <w:rPr>
                <w:rFonts w:ascii="Times New Roman" w:hAnsi="宋体"/>
                <w:color w:val="000000" w:themeColor="text1"/>
                <w:sz w:val="18"/>
                <w:szCs w:val="18"/>
                <w14:textFill>
                  <w14:solidFill>
                    <w14:schemeClr w14:val="tx1"/>
                  </w14:solidFill>
                </w14:textFill>
              </w:rPr>
              <w:instrText xml:space="preserve"> </w:instrText>
            </w:r>
            <w:r>
              <w:rPr>
                <w:rFonts w:hint="eastAsia" w:ascii="Times New Roman" w:hAnsi="宋体"/>
                <w:color w:val="000000" w:themeColor="text1"/>
                <w:sz w:val="18"/>
                <w:szCs w:val="18"/>
                <w14:textFill>
                  <w14:solidFill>
                    <w14:schemeClr w14:val="tx1"/>
                  </w14:solidFill>
                </w14:textFill>
              </w:rPr>
              <w:instrText xml:space="preserve">= 4 \* ROMAN</w:instrText>
            </w:r>
            <w:r>
              <w:rPr>
                <w:rFonts w:ascii="Times New Roman" w:hAnsi="宋体"/>
                <w:color w:val="000000" w:themeColor="text1"/>
                <w:sz w:val="18"/>
                <w:szCs w:val="18"/>
                <w14:textFill>
                  <w14:solidFill>
                    <w14:schemeClr w14:val="tx1"/>
                  </w14:solidFill>
                </w14:textFill>
              </w:rPr>
              <w:instrText xml:space="preserve"> </w:instrText>
            </w:r>
            <w:r>
              <w:rPr>
                <w:rFonts w:ascii="Times New Roman" w:hAnsi="宋体"/>
                <w:color w:val="000000" w:themeColor="text1"/>
                <w:sz w:val="18"/>
                <w:szCs w:val="18"/>
                <w14:textFill>
                  <w14:solidFill>
                    <w14:schemeClr w14:val="tx1"/>
                  </w14:solidFill>
                </w14:textFill>
              </w:rPr>
              <w:fldChar w:fldCharType="separate"/>
            </w:r>
            <w:r>
              <w:rPr>
                <w:rFonts w:ascii="Times New Roman" w:hAnsi="宋体"/>
                <w:color w:val="000000" w:themeColor="text1"/>
                <w:sz w:val="18"/>
                <w:szCs w:val="18"/>
                <w14:textFill>
                  <w14:solidFill>
                    <w14:schemeClr w14:val="tx1"/>
                  </w14:solidFill>
                </w14:textFill>
              </w:rPr>
              <w:t>IV</w:t>
            </w:r>
            <w:r>
              <w:rPr>
                <w:rFonts w:ascii="Times New Roman" w:hAnsi="宋体"/>
                <w:color w:val="000000" w:themeColor="text1"/>
                <w:sz w:val="18"/>
                <w:szCs w:val="18"/>
                <w14:textFill>
                  <w14:solidFill>
                    <w14:schemeClr w14:val="tx1"/>
                  </w14:solidFill>
                </w14:textFill>
              </w:rPr>
              <w:fldChar w:fldCharType="end"/>
            </w:r>
            <w:r>
              <w:rPr>
                <w:rFonts w:hint="eastAsia" w:ascii="Times New Roman" w:hAnsi="宋体"/>
                <w:color w:val="000000" w:themeColor="text1"/>
                <w:sz w:val="18"/>
                <w:szCs w:val="18"/>
                <w:vertAlign w:val="superscript"/>
                <w14:textFill>
                  <w14:solidFill>
                    <w14:schemeClr w14:val="tx1"/>
                  </w14:solidFill>
                </w14:textFill>
              </w:rPr>
              <w:t>+</w:t>
            </w:r>
          </w:p>
        </w:tc>
        <w:tc>
          <w:tcPr>
            <w:tcW w:w="19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3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III</w:t>
            </w:r>
            <w:r>
              <w:rPr>
                <w:rFonts w:ascii="Times New Roman" w:hAnsi="Times New Roman"/>
                <w:color w:val="000000" w:themeColor="text1"/>
                <w:sz w:val="18"/>
                <w:szCs w:val="18"/>
                <w14:textFill>
                  <w14:solidFill>
                    <w14:schemeClr w14:val="tx1"/>
                  </w14:solidFill>
                </w14:textFill>
              </w:rPr>
              <w:fldChar w:fldCharType="end"/>
            </w:r>
          </w:p>
        </w:tc>
        <w:tc>
          <w:tcPr>
            <w:tcW w:w="223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2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II</w:t>
            </w:r>
            <w:r>
              <w:rPr>
                <w:rFonts w:ascii="Times New Roman" w:hAnsi="Times New Roman"/>
                <w:color w:val="000000" w:themeColor="text1"/>
                <w:sz w:val="18"/>
                <w:szCs w:val="18"/>
                <w14:textFill>
                  <w14:solidFill>
                    <w14:schemeClr w14:val="tx1"/>
                  </w14:solidFill>
                </w14:textFill>
              </w:rPr>
              <w:fldChar w:fldCharType="end"/>
            </w:r>
          </w:p>
        </w:tc>
        <w:tc>
          <w:tcPr>
            <w:tcW w:w="1550"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1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w:t>
            </w:r>
            <w:r>
              <w:rPr>
                <w:rFonts w:ascii="Times New Roman" w:hAnsi="Times New Roman"/>
                <w:color w:val="000000" w:themeColor="text1"/>
                <w:sz w:val="18"/>
                <w:szCs w:val="18"/>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1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评价工作等级</w:t>
            </w:r>
          </w:p>
        </w:tc>
        <w:tc>
          <w:tcPr>
            <w:tcW w:w="175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一</w:t>
            </w:r>
          </w:p>
        </w:tc>
        <w:tc>
          <w:tcPr>
            <w:tcW w:w="1908"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二</w:t>
            </w:r>
          </w:p>
        </w:tc>
        <w:tc>
          <w:tcPr>
            <w:tcW w:w="2232"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三</w:t>
            </w:r>
          </w:p>
        </w:tc>
        <w:tc>
          <w:tcPr>
            <w:tcW w:w="1550"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简单分析</w:t>
            </w:r>
            <w:r>
              <w:rPr>
                <w:rFonts w:ascii="Times New Roman" w:hAnsi="Times New Roman"/>
                <w:color w:val="000000" w:themeColor="text1"/>
                <w:sz w:val="18"/>
                <w:szCs w:val="18"/>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959" w:type="dxa"/>
            <w:gridSpan w:val="5"/>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a</w:t>
            </w:r>
            <w:r>
              <w:rPr>
                <w:rFonts w:hint="eastAsia" w:ascii="Times New Roman" w:hAnsi="Times New Roman"/>
                <w:color w:val="000000" w:themeColor="text1"/>
                <w:sz w:val="18"/>
                <w:szCs w:val="18"/>
                <w14:textFill>
                  <w14:solidFill>
                    <w14:schemeClr w14:val="tx1"/>
                  </w14:solidFill>
                </w14:textFill>
              </w:rPr>
              <w:t>是相对于详细评价工作内容而言，在描述危险物质、环境影响途径、环境危害后果、风险防范措施等方面给出定性的说明。见</w:t>
            </w:r>
            <w:r>
              <w:rPr>
                <w:rFonts w:ascii="Times New Roman" w:hAnsi="Times New Roman"/>
                <w:color w:val="000000" w:themeColor="text1"/>
                <w:sz w:val="18"/>
                <w:szCs w:val="18"/>
                <w14:textFill>
                  <w14:solidFill>
                    <w14:schemeClr w14:val="tx1"/>
                  </w14:solidFill>
                </w14:textFill>
              </w:rPr>
              <w:t>《建设项目环境风险评价技术导则》（HJ</w:t>
            </w:r>
            <w:r>
              <w:rPr>
                <w:rFonts w:hint="eastAsia"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169-2018）</w:t>
            </w:r>
            <w:r>
              <w:rPr>
                <w:rFonts w:hint="eastAsia" w:ascii="Times New Roman" w:hAnsi="Times New Roman"/>
                <w:color w:val="000000" w:themeColor="text1"/>
                <w:sz w:val="18"/>
                <w:szCs w:val="18"/>
                <w14:textFill>
                  <w14:solidFill>
                    <w14:schemeClr w14:val="tx1"/>
                  </w14:solidFill>
                </w14:textFill>
              </w:rPr>
              <w:t>附录A</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29" w:name="_Toc26301"/>
      <w:bookmarkStart w:id="630" w:name="_Toc31347"/>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.3.2危险物质及工艺系统危险性分级（P的分级）确定</w:t>
      </w:r>
      <w:bookmarkEnd w:id="629"/>
      <w:bookmarkEnd w:id="630"/>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631" w:name="_Toc9957"/>
      <w:bookmarkStart w:id="632" w:name="_Toc19288"/>
      <w:r>
        <w:rPr>
          <w:rFonts w:hint="eastAsia" w:ascii="Times New Roman" w:hAnsi="Times New Roman" w:eastAsia="黑体"/>
          <w:b/>
          <w:color w:val="000000" w:themeColor="text1"/>
          <w:sz w:val="24"/>
          <w:szCs w:val="24"/>
          <w:lang w:val="en-US" w:eastAsia="zh-CN"/>
          <w14:textFill>
            <w14:solidFill>
              <w14:schemeClr w14:val="tx1"/>
            </w14:solidFill>
          </w14:textFill>
        </w:rPr>
        <w:t>7</w:t>
      </w:r>
      <w:r>
        <w:rPr>
          <w:rFonts w:hint="eastAsia" w:ascii="Times New Roman" w:hAnsi="Times New Roman" w:eastAsia="黑体"/>
          <w:b/>
          <w:color w:val="000000" w:themeColor="text1"/>
          <w:sz w:val="24"/>
          <w:szCs w:val="24"/>
          <w14:textFill>
            <w14:solidFill>
              <w14:schemeClr w14:val="tx1"/>
            </w14:solidFill>
          </w14:textFill>
        </w:rPr>
        <w:t>.3.2.1危险物质数量与临界量比值Q</w:t>
      </w:r>
      <w:bookmarkEnd w:id="631"/>
      <w:bookmarkEnd w:id="632"/>
    </w:p>
    <w:p>
      <w:pPr>
        <w:spacing w:line="520" w:lineRule="exact"/>
        <w:ind w:firstLine="480"/>
        <w:rPr>
          <w:rFonts w:ascii="Times New Roman" w:hAnsi="宋体"/>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根据本项目所涉及的主要危险物质在厂界内的最大存在总量，结合导则附录B中对应临界量的比值Q。在不同厂区的同一种物质，按其在厂界内的最大存在总量计算。</w:t>
      </w:r>
    </w:p>
    <w:p>
      <w:pPr>
        <w:autoSpaceDE w:val="0"/>
        <w:autoSpaceDN w:val="0"/>
        <w:adjustRightInd w:val="0"/>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当只涉及一种危险物质时，计算该物质的总量与其临界量比值，即为Q</w:t>
      </w:r>
      <w:r>
        <w:rPr>
          <w:rFonts w:ascii="Times New Roman" w:hAnsi="宋体"/>
          <w:color w:val="000000" w:themeColor="text1"/>
          <w:sz w:val="24"/>
          <w:szCs w:val="24"/>
          <w14:textFill>
            <w14:solidFill>
              <w14:schemeClr w14:val="tx1"/>
            </w14:solidFill>
          </w14:textFill>
        </w:rPr>
        <w:t>；</w:t>
      </w:r>
    </w:p>
    <w:p>
      <w:pPr>
        <w:autoSpaceDE w:val="0"/>
        <w:autoSpaceDN w:val="0"/>
        <w:adjustRightInd w:val="0"/>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w:t>
      </w:r>
      <w:r>
        <w:rPr>
          <w:rFonts w:ascii="Times New Roman" w:hAnsi="宋体"/>
          <w:color w:val="000000" w:themeColor="text1"/>
          <w:sz w:val="24"/>
          <w:szCs w:val="24"/>
          <w14:textFill>
            <w14:solidFill>
              <w14:schemeClr w14:val="tx1"/>
            </w14:solidFill>
          </w14:textFill>
        </w:rPr>
        <w:t>）单元内存在的危险化学品为多品种时，则按照下式计算</w:t>
      </w:r>
      <w:r>
        <w:rPr>
          <w:rFonts w:hint="eastAsia" w:ascii="Times New Roman" w:hAnsi="宋体"/>
          <w:color w:val="000000" w:themeColor="text1"/>
          <w:sz w:val="24"/>
          <w:szCs w:val="24"/>
          <w14:textFill>
            <w14:solidFill>
              <w14:schemeClr w14:val="tx1"/>
            </w14:solidFill>
          </w14:textFill>
        </w:rPr>
        <w:t>物质总量与其临界量比值Q；</w:t>
      </w:r>
    </w:p>
    <w:p>
      <w:pPr>
        <w:spacing w:line="520" w:lineRule="exact"/>
        <w:jc w:val="center"/>
        <w:rPr>
          <w:rFonts w:ascii="Times New Roman" w:hAnsi="Times New Roman"/>
          <w:color w:val="000000" w:themeColor="text1"/>
          <w:sz w:val="24"/>
          <w:szCs w:val="24"/>
          <w:lang w:val="fr-FR"/>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 xml:space="preserve">Q = </w:t>
      </w:r>
      <w:r>
        <w:rPr>
          <w:rFonts w:ascii="Times New Roman" w:hAnsi="Times New Roman"/>
          <w:color w:val="000000" w:themeColor="text1"/>
          <w:sz w:val="24"/>
          <w:szCs w:val="24"/>
          <w:lang w:val="fr-FR"/>
          <w14:textFill>
            <w14:solidFill>
              <w14:schemeClr w14:val="tx1"/>
            </w14:solidFill>
          </w14:textFill>
        </w:rPr>
        <w:t>q</w:t>
      </w:r>
      <w:r>
        <w:rPr>
          <w:rFonts w:ascii="Times New Roman" w:hAnsi="Times New Roman"/>
          <w:color w:val="000000" w:themeColor="text1"/>
          <w:sz w:val="24"/>
          <w:szCs w:val="24"/>
          <w:vertAlign w:val="subscript"/>
          <w:lang w:val="fr-FR"/>
          <w14:textFill>
            <w14:solidFill>
              <w14:schemeClr w14:val="tx1"/>
            </w14:solidFill>
          </w14:textFill>
        </w:rPr>
        <w:t>1</w:t>
      </w:r>
      <w:r>
        <w:rPr>
          <w:rFonts w:ascii="Times New Roman" w:hAnsi="Times New Roman"/>
          <w:color w:val="000000" w:themeColor="text1"/>
          <w:sz w:val="24"/>
          <w:szCs w:val="24"/>
          <w:lang w:val="fr-FR"/>
          <w14:textFill>
            <w14:solidFill>
              <w14:schemeClr w14:val="tx1"/>
            </w14:solidFill>
          </w14:textFill>
        </w:rPr>
        <w:t>/Q</w:t>
      </w:r>
      <w:r>
        <w:rPr>
          <w:rFonts w:ascii="Times New Roman" w:hAnsi="Times New Roman"/>
          <w:color w:val="000000" w:themeColor="text1"/>
          <w:sz w:val="24"/>
          <w:szCs w:val="24"/>
          <w:vertAlign w:val="subscript"/>
          <w:lang w:val="fr-FR"/>
          <w14:textFill>
            <w14:solidFill>
              <w14:schemeClr w14:val="tx1"/>
            </w14:solidFill>
          </w14:textFill>
        </w:rPr>
        <w:t>1</w:t>
      </w:r>
      <w:r>
        <w:rPr>
          <w:rFonts w:ascii="Times New Roman" w:hAnsi="Times New Roman"/>
          <w:color w:val="000000" w:themeColor="text1"/>
          <w:sz w:val="24"/>
          <w:szCs w:val="24"/>
          <w:lang w:val="fr-FR"/>
          <w14:textFill>
            <w14:solidFill>
              <w14:schemeClr w14:val="tx1"/>
            </w14:solidFill>
          </w14:textFill>
        </w:rPr>
        <w:t xml:space="preserve"> + q</w:t>
      </w:r>
      <w:r>
        <w:rPr>
          <w:rFonts w:ascii="Times New Roman" w:hAnsi="Times New Roman"/>
          <w:color w:val="000000" w:themeColor="text1"/>
          <w:sz w:val="24"/>
          <w:szCs w:val="24"/>
          <w:vertAlign w:val="subscript"/>
          <w:lang w:val="fr-FR"/>
          <w14:textFill>
            <w14:solidFill>
              <w14:schemeClr w14:val="tx1"/>
            </w14:solidFill>
          </w14:textFill>
        </w:rPr>
        <w:t>2</w:t>
      </w:r>
      <w:r>
        <w:rPr>
          <w:rFonts w:ascii="Times New Roman" w:hAnsi="Times New Roman"/>
          <w:color w:val="000000" w:themeColor="text1"/>
          <w:sz w:val="24"/>
          <w:szCs w:val="24"/>
          <w:lang w:val="fr-FR"/>
          <w14:textFill>
            <w14:solidFill>
              <w14:schemeClr w14:val="tx1"/>
            </w14:solidFill>
          </w14:textFill>
        </w:rPr>
        <w:t>/Q</w:t>
      </w:r>
      <w:r>
        <w:rPr>
          <w:rFonts w:ascii="Times New Roman" w:hAnsi="Times New Roman"/>
          <w:color w:val="000000" w:themeColor="text1"/>
          <w:sz w:val="24"/>
          <w:szCs w:val="24"/>
          <w:vertAlign w:val="subscript"/>
          <w:lang w:val="fr-FR"/>
          <w14:textFill>
            <w14:solidFill>
              <w14:schemeClr w14:val="tx1"/>
            </w14:solidFill>
          </w14:textFill>
        </w:rPr>
        <w:t xml:space="preserve">2 </w:t>
      </w:r>
      <w:r>
        <w:rPr>
          <w:rFonts w:ascii="Times New Roman" w:hAnsi="Times New Roman"/>
          <w:color w:val="000000" w:themeColor="text1"/>
          <w:sz w:val="24"/>
          <w:szCs w:val="24"/>
          <w:lang w:val="fr-FR"/>
          <w14:textFill>
            <w14:solidFill>
              <w14:schemeClr w14:val="tx1"/>
            </w14:solidFill>
          </w14:textFill>
        </w:rPr>
        <w:t>…… + q</w:t>
      </w:r>
      <w:r>
        <w:rPr>
          <w:rFonts w:ascii="Times New Roman" w:hAnsi="Times New Roman"/>
          <w:color w:val="000000" w:themeColor="text1"/>
          <w:sz w:val="24"/>
          <w:szCs w:val="24"/>
          <w:vertAlign w:val="subscript"/>
          <w:lang w:val="fr-FR"/>
          <w14:textFill>
            <w14:solidFill>
              <w14:schemeClr w14:val="tx1"/>
            </w14:solidFill>
          </w14:textFill>
        </w:rPr>
        <w:t>n</w:t>
      </w:r>
      <w:r>
        <w:rPr>
          <w:rFonts w:ascii="Times New Roman" w:hAnsi="Times New Roman"/>
          <w:color w:val="000000" w:themeColor="text1"/>
          <w:sz w:val="24"/>
          <w:szCs w:val="24"/>
          <w:lang w:val="fr-FR"/>
          <w14:textFill>
            <w14:solidFill>
              <w14:schemeClr w14:val="tx1"/>
            </w14:solidFill>
          </w14:textFill>
        </w:rPr>
        <w:t>/Q</w:t>
      </w:r>
      <w:r>
        <w:rPr>
          <w:rFonts w:ascii="Times New Roman" w:hAnsi="Times New Roman"/>
          <w:color w:val="000000" w:themeColor="text1"/>
          <w:sz w:val="24"/>
          <w:szCs w:val="24"/>
          <w:vertAlign w:val="subscript"/>
          <w:lang w:val="fr-FR"/>
          <w14:textFill>
            <w14:solidFill>
              <w14:schemeClr w14:val="tx1"/>
            </w14:solidFill>
          </w14:textFill>
        </w:rPr>
        <w:t>n</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 xml:space="preserve"> — 每种危险物质</w:t>
      </w:r>
      <w:r>
        <w:rPr>
          <w:rFonts w:hint="eastAsia" w:ascii="Times New Roman" w:hAnsi="Times New Roman"/>
          <w:color w:val="000000" w:themeColor="text1"/>
          <w:sz w:val="24"/>
          <w:szCs w:val="24"/>
          <w14:textFill>
            <w14:solidFill>
              <w14:schemeClr w14:val="tx1"/>
            </w14:solidFill>
          </w14:textFill>
        </w:rPr>
        <w:t>的最大</w:t>
      </w:r>
      <w:r>
        <w:rPr>
          <w:rFonts w:ascii="Times New Roman" w:hAnsi="Times New Roman"/>
          <w:color w:val="000000" w:themeColor="text1"/>
          <w:sz w:val="24"/>
          <w:szCs w:val="24"/>
          <w14:textFill>
            <w14:solidFill>
              <w14:schemeClr w14:val="tx1"/>
            </w14:solidFill>
          </w14:textFill>
        </w:rPr>
        <w:t>存在量，t；</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 xml:space="preserve"> — 与各危险物质相对应的临界量，t。</w:t>
      </w:r>
    </w:p>
    <w:p>
      <w:pPr>
        <w:autoSpaceDE w:val="0"/>
        <w:autoSpaceDN w:val="0"/>
        <w:adjustRightInd w:val="0"/>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当</w:t>
      </w:r>
      <w:r>
        <w:rPr>
          <w:rFonts w:ascii="Times New Roman" w:hAnsi="Times New Roman"/>
          <w:color w:val="000000" w:themeColor="text1"/>
          <w:sz w:val="24"/>
          <w:szCs w:val="24"/>
          <w14:textFill>
            <w14:solidFill>
              <w14:schemeClr w14:val="tx1"/>
            </w14:solidFill>
          </w14:textFill>
        </w:rPr>
        <w:t>Q</w:t>
      </w:r>
      <w:r>
        <w:rPr>
          <w:rFonts w:hint="eastAsia" w:ascii="Times New Roman" w:hAnsi="Times New Roman"/>
          <w:color w:val="000000" w:themeColor="text1"/>
          <w:sz w:val="24"/>
          <w:szCs w:val="24"/>
          <w14:textFill>
            <w14:solidFill>
              <w14:schemeClr w14:val="tx1"/>
            </w14:solidFill>
          </w14:textFill>
        </w:rPr>
        <w:t xml:space="preserve">＜1时，该项目环境风险潜势为 </w:t>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w:instrText>
      </w:r>
      <w:r>
        <w:rPr>
          <w:rFonts w:hint="eastAsia" w:ascii="Times New Roman" w:hAnsi="Times New Roman"/>
          <w:color w:val="000000" w:themeColor="text1"/>
          <w:sz w:val="24"/>
          <w:szCs w:val="24"/>
          <w14:textFill>
            <w14:solidFill>
              <w14:schemeClr w14:val="tx1"/>
            </w14:solidFill>
          </w14:textFill>
        </w:rPr>
        <w:instrText xml:space="preserve">= 1 \* ROMAN</w:instrText>
      </w:r>
      <w:r>
        <w:rPr>
          <w:rFonts w:ascii="Times New Roman" w:hAnsi="Times New Roman"/>
          <w:color w:val="000000" w:themeColor="text1"/>
          <w:sz w:val="24"/>
          <w:szCs w:val="24"/>
          <w14:textFill>
            <w14:solidFill>
              <w14:schemeClr w14:val="tx1"/>
            </w14:solidFill>
          </w14:textFill>
        </w:rPr>
        <w:instrText xml:space="preserve">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fldChar w:fldCharType="end"/>
      </w:r>
      <w:r>
        <w:rPr>
          <w:rFonts w:hint="eastAsia" w:ascii="Times New Roman" w:hAnsi="Times New Roman"/>
          <w:color w:val="000000" w:themeColor="text1"/>
          <w:sz w:val="24"/>
          <w:szCs w:val="24"/>
          <w14:textFill>
            <w14:solidFill>
              <w14:schemeClr w14:val="tx1"/>
            </w14:solidFill>
          </w14:textFill>
        </w:rPr>
        <w:t>。</w:t>
      </w:r>
    </w:p>
    <w:p>
      <w:pPr>
        <w:autoSpaceDE w:val="0"/>
        <w:autoSpaceDN w:val="0"/>
        <w:adjustRightInd w:val="0"/>
        <w:spacing w:line="520" w:lineRule="exact"/>
        <w:ind w:firstLine="480" w:firstLineChars="200"/>
        <w:rPr>
          <w:rFonts w:ascii="Times New Roman" w:hAnsi="宋体"/>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当</w:t>
      </w:r>
      <w:r>
        <w:rPr>
          <w:rFonts w:ascii="Times New Roman" w:hAnsi="Times New Roman"/>
          <w:color w:val="000000" w:themeColor="text1"/>
          <w:sz w:val="24"/>
          <w:szCs w:val="24"/>
          <w14:textFill>
            <w14:solidFill>
              <w14:schemeClr w14:val="tx1"/>
            </w14:solidFill>
          </w14:textFill>
        </w:rPr>
        <w:t>Q</w:t>
      </w:r>
      <w:r>
        <w:rPr>
          <w:rFonts w:hint="eastAsia" w:ascii="Times New Roman" w:hAnsi="Times New Roman"/>
          <w:color w:val="000000" w:themeColor="text1"/>
          <w:sz w:val="24"/>
          <w:szCs w:val="24"/>
          <w14:textFill>
            <w14:solidFill>
              <w14:schemeClr w14:val="tx1"/>
            </w14:solidFill>
          </w14:textFill>
        </w:rPr>
        <w:t>≥1时，将Q值划分为：（1）1≤</w:t>
      </w:r>
      <w:r>
        <w:rPr>
          <w:rFonts w:ascii="Times New Roman" w:hAnsi="Times New Roman"/>
          <w:color w:val="000000" w:themeColor="text1"/>
          <w:sz w:val="24"/>
          <w:szCs w:val="24"/>
          <w14:textFill>
            <w14:solidFill>
              <w14:schemeClr w14:val="tx1"/>
            </w14:solidFill>
          </w14:textFill>
        </w:rPr>
        <w:t>Q</w:t>
      </w:r>
      <w:r>
        <w:rPr>
          <w:rFonts w:hint="eastAsia" w:ascii="Times New Roman" w:hAnsi="Times New Roman"/>
          <w:color w:val="000000" w:themeColor="text1"/>
          <w:sz w:val="24"/>
          <w:szCs w:val="24"/>
          <w14:textFill>
            <w14:solidFill>
              <w14:schemeClr w14:val="tx1"/>
            </w14:solidFill>
          </w14:textFill>
        </w:rPr>
        <w:t>＜10；（2）10≤</w:t>
      </w:r>
      <w:r>
        <w:rPr>
          <w:rFonts w:ascii="Times New Roman" w:hAnsi="Times New Roman"/>
          <w:color w:val="000000" w:themeColor="text1"/>
          <w:sz w:val="24"/>
          <w:szCs w:val="24"/>
          <w14:textFill>
            <w14:solidFill>
              <w14:schemeClr w14:val="tx1"/>
            </w14:solidFill>
          </w14:textFill>
        </w:rPr>
        <w:t>Q</w:t>
      </w:r>
      <w:r>
        <w:rPr>
          <w:rFonts w:hint="eastAsia" w:ascii="Times New Roman" w:hAnsi="Times New Roman"/>
          <w:color w:val="000000" w:themeColor="text1"/>
          <w:sz w:val="24"/>
          <w:szCs w:val="24"/>
          <w14:textFill>
            <w14:solidFill>
              <w14:schemeClr w14:val="tx1"/>
            </w14:solidFill>
          </w14:textFill>
        </w:rPr>
        <w:t>＜100；（3）</w:t>
      </w:r>
      <w:r>
        <w:rPr>
          <w:rFonts w:ascii="Times New Roman" w:hAnsi="Times New Roman"/>
          <w:color w:val="000000" w:themeColor="text1"/>
          <w:sz w:val="24"/>
          <w:szCs w:val="24"/>
          <w14:textFill>
            <w14:solidFill>
              <w14:schemeClr w14:val="tx1"/>
            </w14:solidFill>
          </w14:textFill>
        </w:rPr>
        <w:t>Q</w:t>
      </w:r>
      <w:r>
        <w:rPr>
          <w:rFonts w:hint="eastAsia" w:ascii="Times New Roman" w:hAnsi="Times New Roman"/>
          <w:color w:val="000000" w:themeColor="text1"/>
          <w:sz w:val="24"/>
          <w:szCs w:val="24"/>
          <w14:textFill>
            <w14:solidFill>
              <w14:schemeClr w14:val="tx1"/>
            </w14:solidFill>
          </w14:textFill>
        </w:rPr>
        <w:t>≥100。</w:t>
      </w:r>
    </w:p>
    <w:p>
      <w:pPr>
        <w:autoSpaceDE w:val="0"/>
        <w:autoSpaceDN w:val="0"/>
        <w:adjustRightInd w:val="0"/>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宋体"/>
          <w:color w:val="000000" w:themeColor="text1"/>
          <w:sz w:val="24"/>
          <w:szCs w:val="24"/>
          <w14:textFill>
            <w14:solidFill>
              <w14:schemeClr w14:val="tx1"/>
            </w14:solidFill>
          </w14:textFill>
        </w:rPr>
        <w:t>根据《建设项目环境风险评价技术导则》（HJ169－2018）附录B及《企业突发环境事件风险分级方法》（GB941-2018）确定项目Q值。计算具体情况如下表：</w:t>
      </w:r>
    </w:p>
    <w:p>
      <w:pPr>
        <w:spacing w:line="520" w:lineRule="exact"/>
        <w:jc w:val="center"/>
        <w:rPr>
          <w:rFonts w:ascii="Times New Roman" w:hAnsi="Times New Roman"/>
          <w:b/>
          <w:color w:val="000000" w:themeColor="text1"/>
          <w:sz w:val="24"/>
          <w:szCs w:val="24"/>
          <w14:textFill>
            <w14:solidFill>
              <w14:schemeClr w14:val="tx1"/>
            </w14:solidFill>
          </w14:textFill>
        </w:rPr>
      </w:pPr>
    </w:p>
    <w:p>
      <w:pPr>
        <w:spacing w:line="520" w:lineRule="exact"/>
        <w:jc w:val="center"/>
        <w:rPr>
          <w:rFonts w:ascii="Times New Roman" w:hAnsi="Times New Roman"/>
          <w:b/>
          <w:color w:val="000000" w:themeColor="text1"/>
          <w:sz w:val="24"/>
          <w:szCs w:val="24"/>
          <w14:textFill>
            <w14:solidFill>
              <w14:schemeClr w14:val="tx1"/>
            </w14:solidFill>
          </w14:textFill>
        </w:rPr>
      </w:pPr>
    </w:p>
    <w:p>
      <w:pPr>
        <w:spacing w:line="520" w:lineRule="exact"/>
        <w:jc w:val="center"/>
        <w:rPr>
          <w:rFonts w:ascii="Times New Roman" w:hAnsi="宋体"/>
          <w:b/>
          <w:color w:val="000000" w:themeColor="text1"/>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7</w:t>
      </w:r>
      <w:r>
        <w:rPr>
          <w:rFonts w:ascii="Times New Roman" w:hAnsi="Times New Roman"/>
          <w:b/>
          <w:color w:val="000000" w:themeColor="text1"/>
          <w:sz w:val="24"/>
          <w:szCs w:val="24"/>
          <w14:textFill>
            <w14:solidFill>
              <w14:schemeClr w14:val="tx1"/>
            </w14:solidFill>
          </w14:textFill>
        </w:rPr>
        <w:t>.3-2   建设项目Q值确定表</w:t>
      </w:r>
    </w:p>
    <w:tbl>
      <w:tblPr>
        <w:tblStyle w:val="87"/>
        <w:tblW w:w="88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6"/>
        <w:gridCol w:w="1638"/>
        <w:gridCol w:w="1893"/>
        <w:gridCol w:w="1432"/>
        <w:gridCol w:w="715"/>
        <w:gridCol w:w="26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3" w:hRule="atLeast"/>
          <w:jc w:val="center"/>
        </w:trPr>
        <w:tc>
          <w:tcPr>
            <w:tcW w:w="536"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163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环境风险物质</w:t>
            </w:r>
          </w:p>
        </w:tc>
        <w:tc>
          <w:tcPr>
            <w:tcW w:w="189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最大存在量qn(t)</w:t>
            </w:r>
          </w:p>
        </w:tc>
        <w:tc>
          <w:tcPr>
            <w:tcW w:w="143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临界量</w:t>
            </w:r>
            <w:r>
              <w:rPr>
                <w:rFonts w:ascii="Times New Roman" w:hAnsi="Times New Roman"/>
                <w:color w:val="000000" w:themeColor="text1"/>
                <w:kern w:val="0"/>
                <w:sz w:val="18"/>
                <w:szCs w:val="18"/>
                <w14:textFill>
                  <w14:solidFill>
                    <w14:schemeClr w14:val="tx1"/>
                  </w14:solidFill>
                </w14:textFill>
              </w:rPr>
              <w:t xml:space="preserve">Qn </w:t>
            </w:r>
            <w:r>
              <w:rPr>
                <w:rFonts w:hint="eastAsia" w:ascii="宋体" w:hAnsi="宋体"/>
                <w:color w:val="000000" w:themeColor="text1"/>
                <w:kern w:val="0"/>
                <w:sz w:val="18"/>
                <w:szCs w:val="18"/>
                <w14:textFill>
                  <w14:solidFill>
                    <w14:schemeClr w14:val="tx1"/>
                  </w14:solidFill>
                </w14:textFill>
              </w:rPr>
              <w:t>值</w:t>
            </w:r>
          </w:p>
        </w:tc>
        <w:tc>
          <w:tcPr>
            <w:tcW w:w="7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 xml:space="preserve">Q </w:t>
            </w:r>
            <w:r>
              <w:rPr>
                <w:rFonts w:hint="eastAsia" w:ascii="宋体" w:hAnsi="宋体"/>
                <w:color w:val="000000" w:themeColor="text1"/>
                <w:kern w:val="0"/>
                <w:sz w:val="18"/>
                <w:szCs w:val="18"/>
                <w14:textFill>
                  <w14:solidFill>
                    <w14:schemeClr w14:val="tx1"/>
                  </w14:solidFill>
                </w14:textFill>
              </w:rPr>
              <w:t>值</w:t>
            </w:r>
          </w:p>
        </w:tc>
        <w:tc>
          <w:tcPr>
            <w:tcW w:w="266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存在位置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53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63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氟硅酸</w:t>
            </w:r>
          </w:p>
        </w:tc>
        <w:tc>
          <w:tcPr>
            <w:tcW w:w="18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255.96</w:t>
            </w:r>
          </w:p>
        </w:tc>
        <w:tc>
          <w:tcPr>
            <w:tcW w:w="143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w:t>
            </w:r>
          </w:p>
        </w:tc>
        <w:tc>
          <w:tcPr>
            <w:tcW w:w="7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51.192</w:t>
            </w:r>
          </w:p>
        </w:tc>
        <w:tc>
          <w:tcPr>
            <w:tcW w:w="266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53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63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氢氟酸</w:t>
            </w:r>
          </w:p>
        </w:tc>
        <w:tc>
          <w:tcPr>
            <w:tcW w:w="18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9.33</w:t>
            </w:r>
          </w:p>
        </w:tc>
        <w:tc>
          <w:tcPr>
            <w:tcW w:w="143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c>
          <w:tcPr>
            <w:tcW w:w="7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9.33</w:t>
            </w:r>
          </w:p>
        </w:tc>
        <w:tc>
          <w:tcPr>
            <w:tcW w:w="266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53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63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NaOH</w:t>
            </w:r>
          </w:p>
        </w:tc>
        <w:tc>
          <w:tcPr>
            <w:tcW w:w="189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0.1</w:t>
            </w:r>
          </w:p>
        </w:tc>
        <w:tc>
          <w:tcPr>
            <w:tcW w:w="143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w:t>
            </w:r>
          </w:p>
        </w:tc>
        <w:tc>
          <w:tcPr>
            <w:tcW w:w="7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0.02</w:t>
            </w:r>
          </w:p>
        </w:tc>
        <w:tc>
          <w:tcPr>
            <w:tcW w:w="266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综合仓库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33" w:hRule="atLeast"/>
          <w:jc w:val="center"/>
        </w:trPr>
        <w:tc>
          <w:tcPr>
            <w:tcW w:w="53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4</w:t>
            </w:r>
          </w:p>
        </w:tc>
        <w:tc>
          <w:tcPr>
            <w:tcW w:w="163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氟硅酸钠</w:t>
            </w:r>
          </w:p>
        </w:tc>
        <w:tc>
          <w:tcPr>
            <w:tcW w:w="1893" w:type="dxa"/>
            <w:shd w:val="clear" w:color="auto" w:fill="auto"/>
            <w:vAlign w:val="center"/>
          </w:tcPr>
          <w:p>
            <w:pPr>
              <w:widowControl/>
              <w:jc w:val="center"/>
              <w:rPr>
                <w:rFonts w:ascii="宋体" w:hAnsi="宋体" w:cs="宋体"/>
                <w:color w:val="000000" w:themeColor="text1"/>
                <w:kern w:val="0"/>
                <w:sz w:val="22"/>
                <w:szCs w:val="22"/>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1250</w:t>
            </w:r>
          </w:p>
        </w:tc>
        <w:tc>
          <w:tcPr>
            <w:tcW w:w="1432" w:type="dxa"/>
            <w:shd w:val="clear" w:color="auto" w:fill="auto"/>
            <w:vAlign w:val="center"/>
          </w:tcPr>
          <w:p>
            <w:pPr>
              <w:widowControl/>
              <w:jc w:val="center"/>
              <w:rPr>
                <w:rFonts w:ascii="Times New Roman" w:hAnsi="Times New Roman"/>
                <w:color w:val="000000" w:themeColor="text1"/>
                <w:kern w:val="0"/>
                <w:sz w:val="22"/>
                <w:szCs w:val="22"/>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50</w:t>
            </w:r>
          </w:p>
        </w:tc>
        <w:tc>
          <w:tcPr>
            <w:tcW w:w="7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25</w:t>
            </w:r>
          </w:p>
        </w:tc>
        <w:tc>
          <w:tcPr>
            <w:tcW w:w="266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综合仓库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8" w:hRule="atLeast"/>
          <w:jc w:val="center"/>
        </w:trPr>
        <w:tc>
          <w:tcPr>
            <w:tcW w:w="53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w:t>
            </w:r>
          </w:p>
        </w:tc>
        <w:tc>
          <w:tcPr>
            <w:tcW w:w="163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合计∑</w:t>
            </w:r>
          </w:p>
        </w:tc>
        <w:tc>
          <w:tcPr>
            <w:tcW w:w="1893" w:type="dxa"/>
            <w:shd w:val="clear" w:color="auto" w:fill="auto"/>
            <w:vAlign w:val="center"/>
          </w:tcPr>
          <w:p>
            <w:pPr>
              <w:widowControl/>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w:t>
            </w:r>
          </w:p>
        </w:tc>
        <w:tc>
          <w:tcPr>
            <w:tcW w:w="1432" w:type="dxa"/>
            <w:shd w:val="clear" w:color="auto" w:fill="auto"/>
            <w:vAlign w:val="center"/>
          </w:tcPr>
          <w:p>
            <w:pPr>
              <w:widowControl/>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w:t>
            </w:r>
          </w:p>
        </w:tc>
        <w:tc>
          <w:tcPr>
            <w:tcW w:w="7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85.542</w:t>
            </w:r>
          </w:p>
        </w:tc>
        <w:tc>
          <w:tcPr>
            <w:tcW w:w="266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Q值划分：10≤Q＜100</w:t>
            </w:r>
          </w:p>
        </w:tc>
      </w:tr>
    </w:tbl>
    <w:p>
      <w:pPr>
        <w:pStyle w:val="380"/>
        <w:spacing w:line="520" w:lineRule="exact"/>
        <w:ind w:firstLine="0" w:firstLineChars="0"/>
        <w:rPr>
          <w:rFonts w:ascii="黑体" w:hAnsi="黑体" w:eastAsia="黑体"/>
          <w:b/>
          <w:color w:val="000000" w:themeColor="text1"/>
          <w:sz w:val="24"/>
          <w:szCs w:val="24"/>
          <w14:textFill>
            <w14:solidFill>
              <w14:schemeClr w14:val="tx1"/>
            </w14:solidFill>
          </w14:textFill>
        </w:rPr>
      </w:pPr>
      <w:r>
        <w:rPr>
          <w:rFonts w:hint="eastAsia" w:ascii="Times New Roman" w:hAnsi="Times New Roman" w:eastAsia="黑体"/>
          <w:b/>
          <w:color w:val="000000" w:themeColor="text1"/>
          <w:sz w:val="24"/>
          <w:szCs w:val="24"/>
          <w:lang w:val="en-US" w:eastAsia="zh-CN"/>
          <w14:textFill>
            <w14:solidFill>
              <w14:schemeClr w14:val="tx1"/>
            </w14:solidFill>
          </w14:textFill>
        </w:rPr>
        <w:t>7</w:t>
      </w:r>
      <w:r>
        <w:rPr>
          <w:rFonts w:ascii="Times New Roman" w:hAnsi="Times New Roman" w:eastAsia="黑体"/>
          <w:b/>
          <w:color w:val="000000" w:themeColor="text1"/>
          <w:sz w:val="24"/>
          <w:szCs w:val="24"/>
          <w14:textFill>
            <w14:solidFill>
              <w14:schemeClr w14:val="tx1"/>
            </w14:solidFill>
          </w14:textFill>
        </w:rPr>
        <w:t>.3.2.2</w:t>
      </w:r>
      <w:r>
        <w:rPr>
          <w:rFonts w:hint="eastAsia" w:ascii="黑体" w:hAnsi="黑体" w:eastAsia="黑体"/>
          <w:b/>
          <w:color w:val="000000" w:themeColor="text1"/>
          <w:sz w:val="24"/>
          <w:szCs w:val="24"/>
          <w14:textFill>
            <w14:solidFill>
              <w14:schemeClr w14:val="tx1"/>
            </w14:solidFill>
          </w14:textFill>
        </w:rPr>
        <w:t>行业及生产工艺（M）</w:t>
      </w:r>
    </w:p>
    <w:p>
      <w:pPr>
        <w:adjustRightInd w:val="0"/>
        <w:snapToGrid w:val="0"/>
        <w:spacing w:line="520" w:lineRule="exact"/>
        <w:ind w:firstLine="482"/>
        <w:rPr>
          <w:rFonts w:ascii="Times New Roman" w:hAnsi="Times New Roman"/>
          <w:snapToGrid w:val="0"/>
          <w:color w:val="000000" w:themeColor="text1"/>
          <w:sz w:val="24"/>
          <w:szCs w:val="24"/>
          <w14:textFill>
            <w14:solidFill>
              <w14:schemeClr w14:val="tx1"/>
            </w14:solidFill>
          </w14:textFill>
        </w:rPr>
      </w:pPr>
      <w:r>
        <w:rPr>
          <w:rFonts w:ascii="Times New Roman" w:hAnsi="宋体"/>
          <w:snapToGrid w:val="0"/>
          <w:color w:val="000000" w:themeColor="text1"/>
          <w:sz w:val="24"/>
          <w:szCs w:val="24"/>
          <w14:textFill>
            <w14:solidFill>
              <w14:schemeClr w14:val="tx1"/>
            </w14:solidFill>
          </w14:textFill>
        </w:rPr>
        <w:t>根据</w:t>
      </w:r>
      <w:r>
        <w:rPr>
          <w:rFonts w:ascii="Times New Roman" w:hAnsi="宋体"/>
          <w:color w:val="000000" w:themeColor="text1"/>
          <w:sz w:val="24"/>
          <w:szCs w:val="24"/>
          <w14:textFill>
            <w14:solidFill>
              <w14:schemeClr w14:val="tx1"/>
            </w14:solidFill>
          </w14:textFill>
        </w:rPr>
        <w:t>《建设项目环境风险评价技术导则》</w:t>
      </w:r>
      <w:r>
        <w:rPr>
          <w:rFonts w:ascii="Times New Roman" w:hAnsi="Times New Roman"/>
          <w:color w:val="000000" w:themeColor="text1"/>
          <w:sz w:val="24"/>
          <w:szCs w:val="24"/>
          <w14:textFill>
            <w14:solidFill>
              <w14:schemeClr w14:val="tx1"/>
            </w14:solidFill>
          </w14:textFill>
        </w:rPr>
        <w:t>(HJ169-2018)</w:t>
      </w:r>
      <w:r>
        <w:rPr>
          <w:rFonts w:ascii="Times New Roman" w:hAnsi="宋体"/>
          <w:snapToGrid w:val="0"/>
          <w:color w:val="000000" w:themeColor="text1"/>
          <w:sz w:val="24"/>
          <w:szCs w:val="24"/>
          <w14:textFill>
            <w14:solidFill>
              <w14:schemeClr w14:val="tx1"/>
            </w14:solidFill>
          </w14:textFill>
        </w:rPr>
        <w:t>，生产工艺评估依据见下表：</w:t>
      </w:r>
    </w:p>
    <w:p>
      <w:pPr>
        <w:spacing w:line="520" w:lineRule="exact"/>
        <w:ind w:firstLine="482"/>
        <w:jc w:val="center"/>
        <w:rPr>
          <w:rFonts w:ascii="Times New Roman" w:hAnsi="Times New Roman"/>
          <w:b/>
          <w:color w:val="000000" w:themeColor="text1"/>
          <w:sz w:val="24"/>
          <w:szCs w:val="24"/>
          <w14:textFill>
            <w14:solidFill>
              <w14:schemeClr w14:val="tx1"/>
            </w14:solidFill>
          </w14:textFill>
        </w:rPr>
      </w:pPr>
      <w:r>
        <w:rPr>
          <w:rFonts w:ascii="Times New Roman" w:hAnsi="宋体"/>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7</w:t>
      </w:r>
      <w:r>
        <w:rPr>
          <w:rFonts w:hint="eastAsia" w:ascii="Times New Roman" w:hAnsi="Times New Roman"/>
          <w:b/>
          <w:color w:val="000000" w:themeColor="text1"/>
          <w:sz w:val="24"/>
          <w:szCs w:val="24"/>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 xml:space="preserve">  </w:t>
      </w:r>
      <w:r>
        <w:rPr>
          <w:rFonts w:ascii="Times New Roman" w:hAnsi="宋体"/>
          <w:b/>
          <w:color w:val="000000" w:themeColor="text1"/>
          <w:sz w:val="24"/>
          <w:szCs w:val="24"/>
          <w14:textFill>
            <w14:solidFill>
              <w14:schemeClr w14:val="tx1"/>
            </w14:solidFill>
          </w14:textFill>
        </w:rPr>
        <w:t>行业及生产工艺评估（</w:t>
      </w:r>
      <w:r>
        <w:rPr>
          <w:rFonts w:ascii="Times New Roman" w:hAnsi="Times New Roman"/>
          <w:b/>
          <w:color w:val="000000" w:themeColor="text1"/>
          <w:sz w:val="24"/>
          <w:szCs w:val="24"/>
          <w14:textFill>
            <w14:solidFill>
              <w14:schemeClr w14:val="tx1"/>
            </w14:solidFill>
          </w14:textFill>
        </w:rPr>
        <w:t>M</w:t>
      </w:r>
      <w:r>
        <w:rPr>
          <w:rFonts w:ascii="Times New Roman" w:hAnsi="宋体"/>
          <w:b/>
          <w:color w:val="000000" w:themeColor="text1"/>
          <w:sz w:val="24"/>
          <w:szCs w:val="24"/>
          <w14:textFill>
            <w14:solidFill>
              <w14:schemeClr w14:val="tx1"/>
            </w14:solidFill>
          </w14:textFill>
        </w:rPr>
        <w:t>）</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7"/>
        <w:gridCol w:w="5990"/>
        <w:gridCol w:w="14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7"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行业</w:t>
            </w:r>
          </w:p>
        </w:tc>
        <w:tc>
          <w:tcPr>
            <w:tcW w:w="5990"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评估依据</w:t>
            </w:r>
          </w:p>
        </w:tc>
        <w:tc>
          <w:tcPr>
            <w:tcW w:w="1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7" w:type="dxa"/>
            <w:vMerge w:val="restart"/>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石化、化工、医药、轻工、化纤、有色冶炼等</w:t>
            </w:r>
          </w:p>
        </w:tc>
        <w:tc>
          <w:tcPr>
            <w:tcW w:w="5990"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w:t>
            </w:r>
            <w:r>
              <w:rPr>
                <w:rFonts w:ascii="Times New Roman" w:hAnsi="宋体"/>
                <w:color w:val="000000" w:themeColor="text1"/>
                <w:sz w:val="18"/>
                <w:szCs w:val="18"/>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7" w:type="dxa"/>
            <w:vMerge w:val="continue"/>
            <w:vAlign w:val="center"/>
          </w:tcPr>
          <w:p>
            <w:pPr>
              <w:rPr>
                <w:rFonts w:ascii="Times New Roman" w:hAnsi="Times New Roman"/>
                <w:color w:val="000000" w:themeColor="text1"/>
                <w:sz w:val="18"/>
                <w:szCs w:val="18"/>
                <w14:textFill>
                  <w14:solidFill>
                    <w14:schemeClr w14:val="tx1"/>
                  </w14:solidFill>
                </w14:textFill>
              </w:rPr>
            </w:pPr>
          </w:p>
        </w:tc>
        <w:tc>
          <w:tcPr>
            <w:tcW w:w="5990"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无机酸制酸工艺、焦化工艺</w:t>
            </w:r>
          </w:p>
        </w:tc>
        <w:tc>
          <w:tcPr>
            <w:tcW w:w="146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w:t>
            </w:r>
            <w:r>
              <w:rPr>
                <w:rFonts w:ascii="Times New Roman" w:hAnsi="宋体"/>
                <w:color w:val="000000" w:themeColor="text1"/>
                <w:sz w:val="18"/>
                <w:szCs w:val="18"/>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7" w:type="dxa"/>
            <w:vMerge w:val="continue"/>
            <w:vAlign w:val="center"/>
          </w:tcPr>
          <w:p>
            <w:pPr>
              <w:rPr>
                <w:rFonts w:ascii="Times New Roman" w:hAnsi="Times New Roman"/>
                <w:color w:val="000000" w:themeColor="text1"/>
                <w:sz w:val="18"/>
                <w:szCs w:val="18"/>
                <w14:textFill>
                  <w14:solidFill>
                    <w14:schemeClr w14:val="tx1"/>
                  </w14:solidFill>
                </w14:textFill>
              </w:rPr>
            </w:pPr>
          </w:p>
        </w:tc>
        <w:tc>
          <w:tcPr>
            <w:tcW w:w="5990" w:type="dxa"/>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其他高温或高压，且涉及危险物质的工艺过程</w:t>
            </w:r>
            <w:r>
              <w:rPr>
                <w:rFonts w:ascii="Times New Roman" w:hAnsi="Times New Roman"/>
                <w:color w:val="000000" w:themeColor="text1"/>
                <w:sz w:val="18"/>
                <w:szCs w:val="18"/>
                <w14:textFill>
                  <w14:solidFill>
                    <w14:schemeClr w14:val="tx1"/>
                  </w14:solidFill>
                </w14:textFill>
              </w:rPr>
              <w:t>a</w:t>
            </w:r>
            <w:r>
              <w:rPr>
                <w:rFonts w:ascii="Times New Roman" w:hAnsi="宋体"/>
                <w:color w:val="000000" w:themeColor="text1"/>
                <w:sz w:val="18"/>
                <w:szCs w:val="18"/>
                <w14:textFill>
                  <w14:solidFill>
                    <w14:schemeClr w14:val="tx1"/>
                  </w14:solidFill>
                </w14:textFill>
              </w:rPr>
              <w:t>、危险物质贮存罐区</w:t>
            </w:r>
          </w:p>
        </w:tc>
        <w:tc>
          <w:tcPr>
            <w:tcW w:w="1462"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5/</w:t>
            </w:r>
            <w:r>
              <w:rPr>
                <w:rFonts w:ascii="Times New Roman" w:hAnsi="宋体"/>
                <w:color w:val="000000" w:themeColor="text1"/>
                <w:sz w:val="18"/>
                <w:szCs w:val="18"/>
                <w14:textFill>
                  <w14:solidFill>
                    <w14:schemeClr w14:val="tx1"/>
                  </w14:solidFill>
                </w14:textFill>
              </w:rPr>
              <w:t>套（罐区）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7" w:type="dxa"/>
            <w:vAlign w:val="center"/>
          </w:tcPr>
          <w:p>
            <w:pP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其他</w:t>
            </w:r>
          </w:p>
        </w:tc>
        <w:tc>
          <w:tcPr>
            <w:tcW w:w="5990" w:type="dxa"/>
            <w:vAlign w:val="center"/>
          </w:tcPr>
          <w:p>
            <w:pP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涉及危险物质使用、储存的项目</w:t>
            </w:r>
          </w:p>
        </w:tc>
        <w:tc>
          <w:tcPr>
            <w:tcW w:w="1462" w:type="dxa"/>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59" w:type="dxa"/>
            <w:gridSpan w:val="3"/>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a</w:t>
            </w:r>
            <w:r>
              <w:rPr>
                <w:rFonts w:ascii="Times New Roman" w:hAnsi="宋体"/>
                <w:color w:val="000000" w:themeColor="text1"/>
                <w:sz w:val="18"/>
                <w:szCs w:val="18"/>
                <w14:textFill>
                  <w14:solidFill>
                    <w14:schemeClr w14:val="tx1"/>
                  </w14:solidFill>
                </w14:textFill>
              </w:rPr>
              <w:t>高温指工艺温度</w:t>
            </w:r>
            <w:r>
              <w:rPr>
                <w:rFonts w:ascii="Times New Roman" w:hAnsi="Times New Roman"/>
                <w:color w:val="000000" w:themeColor="text1"/>
                <w:sz w:val="18"/>
                <w:szCs w:val="18"/>
                <w14:textFill>
                  <w14:solidFill>
                    <w14:schemeClr w14:val="tx1"/>
                  </w14:solidFill>
                </w14:textFill>
              </w:rPr>
              <w:t>≥300</w:t>
            </w:r>
            <w:r>
              <w:rPr>
                <w:rFonts w:ascii="宋体" w:hAnsi="宋体"/>
                <w:color w:val="000000" w:themeColor="text1"/>
                <w:sz w:val="18"/>
                <w:szCs w:val="18"/>
                <w14:textFill>
                  <w14:solidFill>
                    <w14:schemeClr w14:val="tx1"/>
                  </w14:solidFill>
                </w14:textFill>
              </w:rPr>
              <w:t>℃</w:t>
            </w:r>
            <w:r>
              <w:rPr>
                <w:rFonts w:ascii="Times New Roman" w:hAnsi="宋体"/>
                <w:color w:val="000000" w:themeColor="text1"/>
                <w:sz w:val="18"/>
                <w:szCs w:val="18"/>
                <w14:textFill>
                  <w14:solidFill>
                    <w14:schemeClr w14:val="tx1"/>
                  </w14:solidFill>
                </w14:textFill>
              </w:rPr>
              <w:t>，高压指压力容器的设计压力（</w:t>
            </w:r>
            <w:r>
              <w:rPr>
                <w:rFonts w:ascii="Times New Roman" w:hAnsi="Times New Roman"/>
                <w:color w:val="000000" w:themeColor="text1"/>
                <w:sz w:val="18"/>
                <w:szCs w:val="18"/>
                <w14:textFill>
                  <w14:solidFill>
                    <w14:schemeClr w14:val="tx1"/>
                  </w14:solidFill>
                </w14:textFill>
              </w:rPr>
              <w:t>P</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≥10.0MPa</w:t>
            </w:r>
          </w:p>
        </w:tc>
      </w:tr>
    </w:tbl>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将M划分为：（1）M＞20，以M1表示；（2）10＜M≤20，以M2表示；（3）5＜M≤10，以M3表示；（4）M=5，以M4表示；</w:t>
      </w:r>
    </w:p>
    <w:p>
      <w:pPr>
        <w:spacing w:line="520" w:lineRule="exact"/>
        <w:ind w:firstLine="480"/>
        <w:jc w:val="center"/>
        <w:rPr>
          <w:rFonts w:ascii="Times New Roman" w:hAnsi="宋体"/>
          <w:b/>
          <w:color w:val="000000" w:themeColor="text1"/>
          <w:sz w:val="24"/>
          <w:szCs w:val="24"/>
          <w14:textFill>
            <w14:solidFill>
              <w14:schemeClr w14:val="tx1"/>
            </w14:solidFill>
          </w14:textFill>
        </w:rPr>
      </w:pPr>
      <w:r>
        <w:rPr>
          <w:rFonts w:hint="eastAsia" w:ascii="Times New Roman" w:hAnsi="宋体"/>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7</w:t>
      </w:r>
      <w:r>
        <w:rPr>
          <w:rFonts w:hint="eastAsia" w:ascii="Times New Roman" w:hAnsi="Times New Roman"/>
          <w:b/>
          <w:color w:val="000000" w:themeColor="text1"/>
          <w:sz w:val="24"/>
          <w:szCs w:val="24"/>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4</w:t>
      </w:r>
      <w:r>
        <w:rPr>
          <w:rFonts w:ascii="Times New Roman" w:hAnsi="Times New Roman"/>
          <w:b/>
          <w:color w:val="000000" w:themeColor="text1"/>
          <w:sz w:val="24"/>
          <w:szCs w:val="24"/>
          <w14:textFill>
            <w14:solidFill>
              <w14:schemeClr w14:val="tx1"/>
            </w14:solidFill>
          </w14:textFill>
        </w:rPr>
        <w:t xml:space="preserve"> </w:t>
      </w:r>
      <w:r>
        <w:rPr>
          <w:rFonts w:hint="eastAsia" w:ascii="Times New Roman" w:hAnsi="宋体"/>
          <w:b/>
          <w:color w:val="000000" w:themeColor="text1"/>
          <w:sz w:val="24"/>
          <w:szCs w:val="24"/>
          <w14:textFill>
            <w14:solidFill>
              <w14:schemeClr w14:val="tx1"/>
            </w14:solidFill>
          </w14:textFill>
        </w:rPr>
        <w:t xml:space="preserve"> 项目M值确定表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7"/>
        <w:gridCol w:w="2313"/>
        <w:gridCol w:w="4281"/>
        <w:gridCol w:w="938"/>
        <w:gridCol w:w="8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序号</w:t>
            </w:r>
          </w:p>
        </w:tc>
        <w:tc>
          <w:tcPr>
            <w:tcW w:w="231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工艺单元名称</w:t>
            </w:r>
          </w:p>
        </w:tc>
        <w:tc>
          <w:tcPr>
            <w:tcW w:w="428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生产工艺</w:t>
            </w:r>
          </w:p>
        </w:tc>
        <w:tc>
          <w:tcPr>
            <w:tcW w:w="93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数量</w:t>
            </w:r>
            <w:r>
              <w:rPr>
                <w:rFonts w:ascii="Times New Roman" w:hAnsi="Times New Roman"/>
                <w:color w:val="000000" w:themeColor="text1"/>
                <w:kern w:val="0"/>
                <w:sz w:val="18"/>
                <w:szCs w:val="18"/>
                <w14:textFill>
                  <w14:solidFill>
                    <w14:schemeClr w14:val="tx1"/>
                  </w14:solidFill>
                </w14:textFill>
              </w:rPr>
              <w:t>/</w:t>
            </w:r>
            <w:r>
              <w:rPr>
                <w:rFonts w:hint="eastAsia" w:ascii="宋体" w:hAnsi="宋体" w:cs="宋体"/>
                <w:color w:val="000000" w:themeColor="text1"/>
                <w:kern w:val="0"/>
                <w:sz w:val="18"/>
                <w:szCs w:val="18"/>
                <w14:textFill>
                  <w14:solidFill>
                    <w14:schemeClr w14:val="tx1"/>
                  </w14:solidFill>
                </w14:textFill>
              </w:rPr>
              <w:t>套</w:t>
            </w:r>
          </w:p>
        </w:tc>
        <w:tc>
          <w:tcPr>
            <w:tcW w:w="8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M</w:t>
            </w:r>
            <w:r>
              <w:rPr>
                <w:rFonts w:hint="eastAsia" w:ascii="宋体" w:hAnsi="宋体"/>
                <w:color w:val="000000" w:themeColor="text1"/>
                <w:kern w:val="0"/>
                <w:sz w:val="18"/>
                <w:szCs w:val="18"/>
                <w14:textFill>
                  <w14:solidFill>
                    <w14:schemeClr w14:val="tx1"/>
                  </w14:solidFill>
                </w14:textFill>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231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罐区</w:t>
            </w:r>
          </w:p>
        </w:tc>
        <w:tc>
          <w:tcPr>
            <w:tcW w:w="428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危险物质贮存罐区</w:t>
            </w:r>
          </w:p>
        </w:tc>
        <w:tc>
          <w:tcPr>
            <w:tcW w:w="93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8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09" w:type="dxa"/>
            <w:gridSpan w:val="4"/>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项目</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s="宋体"/>
                <w:color w:val="000000" w:themeColor="text1"/>
                <w:kern w:val="0"/>
                <w:sz w:val="18"/>
                <w:szCs w:val="18"/>
                <w14:textFill>
                  <w14:solidFill>
                    <w14:schemeClr w14:val="tx1"/>
                  </w14:solidFill>
                </w14:textFill>
              </w:rPr>
              <w:t>值</w:t>
            </w:r>
            <w:r>
              <w:rPr>
                <w:rFonts w:ascii="Times New Roman" w:hAnsi="Times New Roman"/>
                <w:color w:val="000000" w:themeColor="text1"/>
                <w:kern w:val="0"/>
                <w:sz w:val="18"/>
                <w:szCs w:val="18"/>
                <w14:textFill>
                  <w14:solidFill>
                    <w14:schemeClr w14:val="tx1"/>
                  </w14:solidFill>
                </w14:textFill>
              </w:rPr>
              <w:t>∑</w:t>
            </w:r>
          </w:p>
        </w:tc>
        <w:tc>
          <w:tcPr>
            <w:tcW w:w="8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09" w:type="dxa"/>
            <w:gridSpan w:val="4"/>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项目</w:t>
            </w:r>
            <w:r>
              <w:rPr>
                <w:rFonts w:ascii="Times New Roman" w:hAnsi="Times New Roman"/>
                <w:color w:val="000000" w:themeColor="text1"/>
                <w:kern w:val="0"/>
                <w:sz w:val="18"/>
                <w:szCs w:val="18"/>
                <w14:textFill>
                  <w14:solidFill>
                    <w14:schemeClr w14:val="tx1"/>
                  </w14:solidFill>
                </w14:textFill>
              </w:rPr>
              <w:t>M</w:t>
            </w:r>
            <w:r>
              <w:rPr>
                <w:rFonts w:hint="eastAsia" w:ascii="宋体" w:hAnsi="宋体" w:cs="宋体"/>
                <w:color w:val="000000" w:themeColor="text1"/>
                <w:kern w:val="0"/>
                <w:sz w:val="18"/>
                <w:szCs w:val="18"/>
                <w14:textFill>
                  <w14:solidFill>
                    <w14:schemeClr w14:val="tx1"/>
                  </w14:solidFill>
                </w14:textFill>
              </w:rPr>
              <w:t>值划分结果</w:t>
            </w:r>
          </w:p>
        </w:tc>
        <w:tc>
          <w:tcPr>
            <w:tcW w:w="8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M</w:t>
            </w:r>
            <w:r>
              <w:rPr>
                <w:rFonts w:hint="eastAsia" w:ascii="Times New Roman" w:hAnsi="Times New Roman"/>
                <w:color w:val="000000" w:themeColor="text1"/>
                <w:kern w:val="0"/>
                <w:sz w:val="18"/>
                <w:szCs w:val="18"/>
                <w14:textFill>
                  <w14:solidFill>
                    <w14:schemeClr w14:val="tx1"/>
                  </w14:solidFill>
                </w14:textFill>
              </w:rPr>
              <w:t>4</w:t>
            </w:r>
          </w:p>
        </w:tc>
      </w:tr>
    </w:tbl>
    <w:p>
      <w:pPr>
        <w:pStyle w:val="380"/>
        <w:spacing w:line="520" w:lineRule="exact"/>
        <w:ind w:firstLine="0" w:firstLineChars="0"/>
        <w:rPr>
          <w:rFonts w:ascii="黑体" w:hAnsi="黑体" w:eastAsia="黑体"/>
          <w:b/>
          <w:color w:val="000000" w:themeColor="text1"/>
          <w:sz w:val="24"/>
          <w:szCs w:val="24"/>
          <w14:textFill>
            <w14:solidFill>
              <w14:schemeClr w14:val="tx1"/>
            </w14:solidFill>
          </w14:textFill>
        </w:rPr>
      </w:pPr>
      <w:r>
        <w:rPr>
          <w:rFonts w:hint="eastAsia" w:ascii="Times New Roman" w:hAnsi="Times New Roman" w:eastAsia="黑体"/>
          <w:b/>
          <w:color w:val="000000" w:themeColor="text1"/>
          <w:sz w:val="24"/>
          <w:szCs w:val="24"/>
          <w:lang w:val="en-US" w:eastAsia="zh-CN"/>
          <w14:textFill>
            <w14:solidFill>
              <w14:schemeClr w14:val="tx1"/>
            </w14:solidFill>
          </w14:textFill>
        </w:rPr>
        <w:t>7</w:t>
      </w:r>
      <w:r>
        <w:rPr>
          <w:rFonts w:ascii="Times New Roman" w:hAnsi="Times New Roman" w:eastAsia="黑体"/>
          <w:b/>
          <w:color w:val="000000" w:themeColor="text1"/>
          <w:sz w:val="24"/>
          <w:szCs w:val="24"/>
          <w14:textFill>
            <w14:solidFill>
              <w14:schemeClr w14:val="tx1"/>
            </w14:solidFill>
          </w14:textFill>
        </w:rPr>
        <w:t>.3.2.3</w:t>
      </w:r>
      <w:r>
        <w:rPr>
          <w:rFonts w:hint="eastAsia" w:ascii="黑体" w:hAnsi="黑体" w:eastAsia="黑体"/>
          <w:b/>
          <w:color w:val="000000" w:themeColor="text1"/>
          <w:sz w:val="24"/>
          <w:szCs w:val="24"/>
          <w14:textFill>
            <w14:solidFill>
              <w14:schemeClr w14:val="tx1"/>
            </w14:solidFill>
          </w14:textFill>
        </w:rPr>
        <w:t>危险物质及工艺系统危险性分级（P）</w:t>
      </w:r>
    </w:p>
    <w:p>
      <w:pPr>
        <w:spacing w:line="520" w:lineRule="exact"/>
        <w:ind w:firstLine="120" w:firstLineChars="5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7</w:t>
      </w:r>
      <w:r>
        <w:rPr>
          <w:rFonts w:hint="eastAsia" w:ascii="Times New Roman" w:hAnsi="Times New Roman"/>
          <w:b/>
          <w:color w:val="000000" w:themeColor="text1"/>
          <w:sz w:val="24"/>
          <w:szCs w:val="24"/>
          <w14:textFill>
            <w14:solidFill>
              <w14:schemeClr w14:val="tx1"/>
            </w14:solidFill>
          </w14:textFill>
        </w:rPr>
        <w:t>.3</w:t>
      </w:r>
      <w:r>
        <w:rPr>
          <w:rFonts w:ascii="Times New Roman" w:hAnsi="Times New Roman"/>
          <w:b/>
          <w:color w:val="000000" w:themeColor="text1"/>
          <w:sz w:val="24"/>
          <w:szCs w:val="24"/>
          <w14:textFill>
            <w14:solidFill>
              <w14:schemeClr w14:val="tx1"/>
            </w14:solidFill>
          </w14:textFill>
        </w:rPr>
        <w:t>-</w:t>
      </w:r>
      <w:r>
        <w:rPr>
          <w:rFonts w:hint="eastAsia" w:ascii="Times New Roman" w:hAnsi="Times New Roman"/>
          <w:b/>
          <w:color w:val="000000" w:themeColor="text1"/>
          <w:sz w:val="24"/>
          <w:szCs w:val="24"/>
          <w14:textFill>
            <w14:solidFill>
              <w14:schemeClr w14:val="tx1"/>
            </w14:solidFill>
          </w14:textFill>
        </w:rPr>
        <w:t>5</w:t>
      </w:r>
      <w:r>
        <w:rPr>
          <w:rFonts w:ascii="Times New Roman" w:hAnsi="Times New Roman"/>
          <w:b/>
          <w:color w:val="000000" w:themeColor="text1"/>
          <w:sz w:val="24"/>
          <w:szCs w:val="24"/>
          <w14:textFill>
            <w14:solidFill>
              <w14:schemeClr w14:val="tx1"/>
            </w14:solidFill>
          </w14:textFill>
        </w:rPr>
        <w:t xml:space="preserve"> </w:t>
      </w:r>
      <w:r>
        <w:rPr>
          <w:b/>
          <w:color w:val="000000" w:themeColor="text1"/>
          <w:sz w:val="24"/>
          <w:szCs w:val="24"/>
          <w14:textFill>
            <w14:solidFill>
              <w14:schemeClr w14:val="tx1"/>
            </w14:solidFill>
          </w14:textFill>
        </w:rPr>
        <w:t xml:space="preserve">  </w:t>
      </w:r>
      <w:r>
        <w:rPr>
          <w:rFonts w:hint="eastAsia"/>
          <w:b/>
          <w:color w:val="000000" w:themeColor="text1"/>
          <w:sz w:val="24"/>
          <w:szCs w:val="24"/>
          <w14:textFill>
            <w14:solidFill>
              <w14:schemeClr w14:val="tx1"/>
            </w14:solidFill>
          </w14:textFill>
        </w:rPr>
        <w:t>危险物质及工艺系统危险性等级判断（P）</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617"/>
        <w:gridCol w:w="1335"/>
        <w:gridCol w:w="1335"/>
        <w:gridCol w:w="1335"/>
        <w:gridCol w:w="13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3617"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危险物质数量与</w:t>
            </w:r>
          </w:p>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临界量比值（</w:t>
            </w:r>
            <w:r>
              <w:rPr>
                <w:rFonts w:ascii="Times New Roman" w:hAnsi="Times New Roman"/>
                <w:color w:val="000000" w:themeColor="text1"/>
                <w:sz w:val="18"/>
                <w:szCs w:val="18"/>
                <w14:textFill>
                  <w14:solidFill>
                    <w14:schemeClr w14:val="tx1"/>
                  </w14:solidFill>
                </w14:textFill>
              </w:rPr>
              <w:t>Q</w:t>
            </w:r>
            <w:r>
              <w:rPr>
                <w:rFonts w:ascii="Times New Roman" w:hAnsi="宋体"/>
                <w:color w:val="000000" w:themeColor="text1"/>
                <w:sz w:val="18"/>
                <w:szCs w:val="18"/>
                <w14:textFill>
                  <w14:solidFill>
                    <w14:schemeClr w14:val="tx1"/>
                  </w14:solidFill>
                </w14:textFill>
              </w:rPr>
              <w:t>）</w:t>
            </w:r>
          </w:p>
        </w:tc>
        <w:tc>
          <w:tcPr>
            <w:tcW w:w="5342" w:type="dxa"/>
            <w:gridSpan w:val="4"/>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行业及生产工艺（</w:t>
            </w:r>
            <w:r>
              <w:rPr>
                <w:rFonts w:ascii="Times New Roman" w:hAnsi="Times New Roman"/>
                <w:color w:val="000000" w:themeColor="text1"/>
                <w:sz w:val="18"/>
                <w:szCs w:val="18"/>
                <w14:textFill>
                  <w14:solidFill>
                    <w14:schemeClr w14:val="tx1"/>
                  </w14:solidFill>
                </w14:textFill>
              </w:rPr>
              <w:t>M</w:t>
            </w:r>
            <w:r>
              <w:rPr>
                <w:rFonts w:ascii="Times New Roman" w:hAnsi="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361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M1</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M2</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M3</w:t>
            </w:r>
          </w:p>
        </w:tc>
        <w:tc>
          <w:tcPr>
            <w:tcW w:w="133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M4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1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Q≥100</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P1</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P1</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P2</w:t>
            </w:r>
          </w:p>
        </w:tc>
        <w:tc>
          <w:tcPr>
            <w:tcW w:w="133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1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10≤Q</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100</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P1</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P2</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P3</w:t>
            </w:r>
          </w:p>
        </w:tc>
        <w:tc>
          <w:tcPr>
            <w:tcW w:w="133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w:t>
            </w:r>
            <w:r>
              <w:rPr>
                <w:rFonts w:hint="eastAsia" w:ascii="Times New Roman" w:hAnsi="Times New Roman"/>
                <w:color w:val="000000" w:themeColor="text1"/>
                <w:sz w:val="18"/>
                <w:szCs w:val="18"/>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1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1≤Q</w:t>
            </w:r>
            <w:r>
              <w:rPr>
                <w:rFonts w:ascii="Times New Roman" w:hAnsi="宋体"/>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10</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P2</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P3</w:t>
            </w:r>
          </w:p>
        </w:tc>
        <w:tc>
          <w:tcPr>
            <w:tcW w:w="1335"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P4</w:t>
            </w:r>
          </w:p>
        </w:tc>
        <w:tc>
          <w:tcPr>
            <w:tcW w:w="1337"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P4</w:t>
            </w:r>
          </w:p>
        </w:tc>
      </w:tr>
    </w:tbl>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根据上述分析结果可知，本项目危险物质数量与临界量比值Q划分为：10≤Q＜100，行业及生产工艺M值划分结果为M4；结合上表可判定本项目危险物质及工艺危险性等级为P4。</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33" w:name="_Toc16927"/>
      <w:bookmarkStart w:id="634" w:name="_Toc31650"/>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.3.3环境敏感程度分级（E的分级）确定</w:t>
      </w:r>
      <w:bookmarkEnd w:id="633"/>
      <w:bookmarkEnd w:id="634"/>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根据导则附录D的环境要素敏感程度分级（E），结合本项目危险物质在事故情形下的环境影响途径，可得到建设项目各要素环境敏感程度等级。具体见下表</w:t>
      </w:r>
      <w:r>
        <w:rPr>
          <w:rFonts w:ascii="Times New Roman" w:hAnsiTheme="minorEastAsia" w:eastAsiaTheme="minorEastAsia"/>
          <w:color w:val="000000" w:themeColor="text1"/>
          <w:kern w:val="0"/>
          <w:sz w:val="24"/>
          <w:szCs w:val="24"/>
          <w14:textFill>
            <w14:solidFill>
              <w14:schemeClr w14:val="tx1"/>
            </w14:solidFill>
          </w14:textFill>
        </w:rPr>
        <w:t>。</w:t>
      </w:r>
    </w:p>
    <w:p>
      <w:pPr>
        <w:spacing w:line="520" w:lineRule="exact"/>
        <w:ind w:firstLine="482" w:firstLineChars="200"/>
        <w:jc w:val="center"/>
        <w:rPr>
          <w:rFonts w:ascii="Times New Roman" w:hAnsiTheme="minorEastAsia" w:eastAsiaTheme="minorEastAsia"/>
          <w:b/>
          <w:color w:val="000000" w:themeColor="text1"/>
          <w:kern w:val="0"/>
          <w:sz w:val="24"/>
          <w:szCs w:val="24"/>
          <w14:textFill>
            <w14:solidFill>
              <w14:schemeClr w14:val="tx1"/>
            </w14:solidFill>
          </w14:textFill>
        </w:rPr>
      </w:pPr>
      <w:r>
        <w:rPr>
          <w:rFonts w:ascii="Times New Roman" w:hAnsiTheme="minorEastAsia" w:eastAsiaTheme="minorEastAsia"/>
          <w:b/>
          <w:color w:val="000000" w:themeColor="text1"/>
          <w:kern w:val="0"/>
          <w:sz w:val="24"/>
          <w:szCs w:val="24"/>
          <w14:textFill>
            <w14:solidFill>
              <w14:schemeClr w14:val="tx1"/>
            </w14:solidFill>
          </w14:textFill>
        </w:rPr>
        <w:t>表</w:t>
      </w:r>
      <w:r>
        <w:rPr>
          <w:rFonts w:hint="eastAsia" w:ascii="Times New Roman" w:hAnsi="Times New Roman" w:eastAsiaTheme="minorEastAsia"/>
          <w:b/>
          <w:bCs/>
          <w:color w:val="000000" w:themeColor="text1"/>
          <w:kern w:val="0"/>
          <w:sz w:val="24"/>
          <w:szCs w:val="24"/>
          <w:lang w:val="en-US" w:eastAsia="zh-CN"/>
          <w14:textFill>
            <w14:solidFill>
              <w14:schemeClr w14:val="tx1"/>
            </w14:solidFill>
          </w14:textFill>
        </w:rPr>
        <w:t>7</w:t>
      </w:r>
      <w:r>
        <w:rPr>
          <w:rFonts w:hint="eastAsia" w:ascii="Times New Roman" w:hAnsi="Times New Roman" w:eastAsiaTheme="minorEastAsia"/>
          <w:b/>
          <w:bCs/>
          <w:color w:val="000000" w:themeColor="text1"/>
          <w:kern w:val="0"/>
          <w:sz w:val="24"/>
          <w:szCs w:val="24"/>
          <w14:textFill>
            <w14:solidFill>
              <w14:schemeClr w14:val="tx1"/>
            </w14:solidFill>
          </w14:textFill>
        </w:rPr>
        <w:t>.3</w:t>
      </w:r>
      <w:r>
        <w:rPr>
          <w:rFonts w:ascii="Times New Roman" w:hAnsi="Times New Roman" w:eastAsiaTheme="minorEastAsia"/>
          <w:b/>
          <w:bCs/>
          <w:color w:val="000000" w:themeColor="text1"/>
          <w:kern w:val="0"/>
          <w:sz w:val="24"/>
          <w:szCs w:val="24"/>
          <w14:textFill>
            <w14:solidFill>
              <w14:schemeClr w14:val="tx1"/>
            </w14:solidFill>
          </w14:textFill>
        </w:rPr>
        <w:t>-</w:t>
      </w:r>
      <w:r>
        <w:rPr>
          <w:rFonts w:hint="eastAsia" w:ascii="Times New Roman" w:hAnsi="Times New Roman" w:eastAsiaTheme="minorEastAsia"/>
          <w:b/>
          <w:bCs/>
          <w:color w:val="000000" w:themeColor="text1"/>
          <w:kern w:val="0"/>
          <w:sz w:val="24"/>
          <w:szCs w:val="24"/>
          <w14:textFill>
            <w14:solidFill>
              <w14:schemeClr w14:val="tx1"/>
            </w14:solidFill>
          </w14:textFill>
        </w:rPr>
        <w:t>6</w:t>
      </w:r>
      <w:r>
        <w:rPr>
          <w:rFonts w:ascii="Times New Roman" w:hAnsi="Times New Roman" w:eastAsiaTheme="minorEastAsia"/>
          <w:b/>
          <w:bCs/>
          <w:color w:val="000000" w:themeColor="text1"/>
          <w:kern w:val="0"/>
          <w:sz w:val="24"/>
          <w:szCs w:val="24"/>
          <w14:textFill>
            <w14:solidFill>
              <w14:schemeClr w14:val="tx1"/>
            </w14:solidFill>
          </w14:textFill>
        </w:rPr>
        <w:t xml:space="preserve"> </w:t>
      </w:r>
      <w:r>
        <w:rPr>
          <w:rFonts w:hint="eastAsia" w:ascii="Times New Roman" w:hAnsi="Times New Roman" w:eastAsiaTheme="minorEastAsia"/>
          <w:b/>
          <w:bCs/>
          <w:color w:val="000000" w:themeColor="text1"/>
          <w:kern w:val="0"/>
          <w:sz w:val="24"/>
          <w:szCs w:val="24"/>
          <w14:textFill>
            <w14:solidFill>
              <w14:schemeClr w14:val="tx1"/>
            </w14:solidFill>
          </w14:textFill>
        </w:rPr>
        <w:t xml:space="preserve"> </w:t>
      </w:r>
      <w:r>
        <w:rPr>
          <w:rFonts w:hint="eastAsia" w:ascii="Times New Roman" w:hAnsiTheme="minorEastAsia" w:eastAsiaTheme="minorEastAsia"/>
          <w:b/>
          <w:color w:val="000000" w:themeColor="text1"/>
          <w:kern w:val="0"/>
          <w:sz w:val="24"/>
          <w:szCs w:val="24"/>
          <w14:textFill>
            <w14:solidFill>
              <w14:schemeClr w14:val="tx1"/>
            </w14:solidFill>
          </w14:textFill>
        </w:rPr>
        <w:t>拟建项目环境要素敏感程度分级判定情况汇总表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92"/>
        <w:gridCol w:w="7035"/>
        <w:gridCol w:w="10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9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w:t>
            </w:r>
          </w:p>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要素</w:t>
            </w:r>
          </w:p>
        </w:tc>
        <w:tc>
          <w:tcPr>
            <w:tcW w:w="703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环境敏感性</w:t>
            </w:r>
          </w:p>
        </w:tc>
        <w:tc>
          <w:tcPr>
            <w:tcW w:w="103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环境敏感度</w:t>
            </w:r>
          </w:p>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分级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9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大气</w:t>
            </w:r>
          </w:p>
        </w:tc>
        <w:tc>
          <w:tcPr>
            <w:tcW w:w="7035" w:type="dxa"/>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周边</w:t>
            </w:r>
            <w:r>
              <w:rPr>
                <w:rFonts w:ascii="Times New Roman" w:hAnsi="Times New Roman"/>
                <w:color w:val="000000" w:themeColor="text1"/>
                <w:sz w:val="18"/>
                <w:szCs w:val="18"/>
                <w14:textFill>
                  <w14:solidFill>
                    <w14:schemeClr w14:val="tx1"/>
                  </w14:solidFill>
                </w14:textFill>
              </w:rPr>
              <w:t>5Km</w:t>
            </w:r>
            <w:r>
              <w:rPr>
                <w:rFonts w:ascii="Times New Roman" w:hAnsi="宋体"/>
                <w:color w:val="000000" w:themeColor="text1"/>
                <w:sz w:val="18"/>
                <w:szCs w:val="18"/>
                <w14:textFill>
                  <w14:solidFill>
                    <w14:schemeClr w14:val="tx1"/>
                  </w14:solidFill>
                </w14:textFill>
              </w:rPr>
              <w:t>范围内居民区、医疗卫生、文化教育、科研、行政办公等机构人口总数小于</w:t>
            </w:r>
            <w:r>
              <w:rPr>
                <w:rFonts w:ascii="Times New Roman" w:hAnsi="Times New Roman"/>
                <w:color w:val="000000" w:themeColor="text1"/>
                <w:sz w:val="18"/>
                <w:szCs w:val="18"/>
                <w14:textFill>
                  <w14:solidFill>
                    <w14:schemeClr w14:val="tx1"/>
                  </w14:solidFill>
                </w14:textFill>
              </w:rPr>
              <w:t>1</w:t>
            </w:r>
            <w:r>
              <w:rPr>
                <w:rFonts w:ascii="Times New Roman" w:hAnsi="宋体"/>
                <w:color w:val="000000" w:themeColor="text1"/>
                <w:sz w:val="18"/>
                <w:szCs w:val="18"/>
                <w14:textFill>
                  <w14:solidFill>
                    <w14:schemeClr w14:val="tx1"/>
                  </w14:solidFill>
                </w14:textFill>
              </w:rPr>
              <w:t>万人；或周边</w:t>
            </w:r>
            <w:r>
              <w:rPr>
                <w:rFonts w:ascii="Times New Roman" w:hAnsi="Times New Roman"/>
                <w:color w:val="000000" w:themeColor="text1"/>
                <w:sz w:val="18"/>
                <w:szCs w:val="18"/>
                <w14:textFill>
                  <w14:solidFill>
                    <w14:schemeClr w14:val="tx1"/>
                  </w14:solidFill>
                </w14:textFill>
              </w:rPr>
              <w:t>500m</w:t>
            </w:r>
            <w:r>
              <w:rPr>
                <w:rFonts w:ascii="Times New Roman" w:hAnsi="宋体"/>
                <w:color w:val="000000" w:themeColor="text1"/>
                <w:sz w:val="18"/>
                <w:szCs w:val="18"/>
                <w14:textFill>
                  <w14:solidFill>
                    <w14:schemeClr w14:val="tx1"/>
                  </w14:solidFill>
                </w14:textFill>
              </w:rPr>
              <w:t>范围内人口总数小于</w:t>
            </w:r>
            <w:r>
              <w:rPr>
                <w:rFonts w:ascii="Times New Roman" w:hAnsi="Times New Roman"/>
                <w:color w:val="000000" w:themeColor="text1"/>
                <w:sz w:val="18"/>
                <w:szCs w:val="18"/>
                <w14:textFill>
                  <w14:solidFill>
                    <w14:schemeClr w14:val="tx1"/>
                  </w14:solidFill>
                </w14:textFill>
              </w:rPr>
              <w:t>500</w:t>
            </w:r>
            <w:r>
              <w:rPr>
                <w:rFonts w:ascii="Times New Roman" w:hAnsi="宋体"/>
                <w:color w:val="000000" w:themeColor="text1"/>
                <w:sz w:val="18"/>
                <w:szCs w:val="18"/>
                <w14:textFill>
                  <w14:solidFill>
                    <w14:schemeClr w14:val="tx1"/>
                  </w14:solidFill>
                </w14:textFill>
              </w:rPr>
              <w:t>人；油气、化学品输送管线管段周边</w:t>
            </w:r>
            <w:r>
              <w:rPr>
                <w:rFonts w:ascii="Times New Roman" w:hAnsi="Times New Roman"/>
                <w:color w:val="000000" w:themeColor="text1"/>
                <w:sz w:val="18"/>
                <w:szCs w:val="18"/>
                <w14:textFill>
                  <w14:solidFill>
                    <w14:schemeClr w14:val="tx1"/>
                  </w14:solidFill>
                </w14:textFill>
              </w:rPr>
              <w:t>200m</w:t>
            </w:r>
            <w:r>
              <w:rPr>
                <w:rFonts w:ascii="Times New Roman" w:hAnsi="宋体"/>
                <w:color w:val="000000" w:themeColor="text1"/>
                <w:sz w:val="18"/>
                <w:szCs w:val="18"/>
                <w14:textFill>
                  <w14:solidFill>
                    <w14:schemeClr w14:val="tx1"/>
                  </w14:solidFill>
                </w14:textFill>
              </w:rPr>
              <w:t>范围内，每千米管段人口数小于</w:t>
            </w:r>
            <w:r>
              <w:rPr>
                <w:rFonts w:ascii="Times New Roman" w:hAnsi="Times New Roman"/>
                <w:color w:val="000000" w:themeColor="text1"/>
                <w:sz w:val="18"/>
                <w:szCs w:val="18"/>
                <w14:textFill>
                  <w14:solidFill>
                    <w14:schemeClr w14:val="tx1"/>
                  </w14:solidFill>
                </w14:textFill>
              </w:rPr>
              <w:t>100</w:t>
            </w:r>
            <w:r>
              <w:rPr>
                <w:rFonts w:ascii="Times New Roman" w:hAnsi="宋体"/>
                <w:color w:val="000000" w:themeColor="text1"/>
                <w:sz w:val="18"/>
                <w:szCs w:val="18"/>
                <w14:textFill>
                  <w14:solidFill>
                    <w14:schemeClr w14:val="tx1"/>
                  </w14:solidFill>
                </w14:textFill>
              </w:rPr>
              <w:t>人</w:t>
            </w:r>
          </w:p>
        </w:tc>
        <w:tc>
          <w:tcPr>
            <w:tcW w:w="1032" w:type="dxa"/>
            <w:shd w:val="clear" w:color="auto" w:fill="auto"/>
            <w:vAlign w:val="center"/>
          </w:tcPr>
          <w:p>
            <w:pPr>
              <w:jc w:val="center"/>
              <w:rPr>
                <w:rFonts w:ascii="Times New Roman" w:hAnsi="Times New Roman"/>
                <w:b/>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9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地表水</w:t>
            </w:r>
          </w:p>
        </w:tc>
        <w:tc>
          <w:tcPr>
            <w:tcW w:w="7035" w:type="dxa"/>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fldChar w:fldCharType="begin"/>
            </w:r>
            <w:r>
              <w:rPr>
                <w:rFonts w:ascii="Times New Roman" w:hAnsi="Times New Roman"/>
                <w:b/>
                <w:color w:val="000000" w:themeColor="text1"/>
                <w:sz w:val="18"/>
                <w:szCs w:val="18"/>
                <w14:textFill>
                  <w14:solidFill>
                    <w14:schemeClr w14:val="tx1"/>
                  </w14:solidFill>
                </w14:textFill>
              </w:rPr>
              <w:instrText xml:space="preserve"> = 1 \* GB3 </w:instrText>
            </w:r>
            <w:r>
              <w:rPr>
                <w:rFonts w:ascii="Times New Roman" w:hAnsi="Times New Roman"/>
                <w:b/>
                <w:color w:val="000000" w:themeColor="text1"/>
                <w:sz w:val="18"/>
                <w:szCs w:val="18"/>
                <w14:textFill>
                  <w14:solidFill>
                    <w14:schemeClr w14:val="tx1"/>
                  </w14:solidFill>
                </w14:textFill>
              </w:rPr>
              <w:fldChar w:fldCharType="separate"/>
            </w:r>
            <w:r>
              <w:rPr>
                <w:rFonts w:ascii="Times New Roman" w:hAnsi="宋体"/>
                <w:b/>
                <w:color w:val="000000" w:themeColor="text1"/>
                <w:sz w:val="18"/>
                <w:szCs w:val="18"/>
                <w14:textFill>
                  <w14:solidFill>
                    <w14:schemeClr w14:val="tx1"/>
                  </w14:solidFill>
                </w14:textFill>
              </w:rPr>
              <w:t>①</w:t>
            </w:r>
            <w:r>
              <w:rPr>
                <w:rFonts w:ascii="Times New Roman" w:hAnsi="Times New Roman"/>
                <w:b/>
                <w:color w:val="000000" w:themeColor="text1"/>
                <w:sz w:val="18"/>
                <w:szCs w:val="18"/>
                <w14:textFill>
                  <w14:solidFill>
                    <w14:schemeClr w14:val="tx1"/>
                  </w14:solidFill>
                </w14:textFill>
              </w:rPr>
              <w:fldChar w:fldCharType="end"/>
            </w:r>
            <w:r>
              <w:rPr>
                <w:rFonts w:ascii="Times New Roman" w:hAnsi="宋体"/>
                <w:color w:val="000000" w:themeColor="text1"/>
                <w:sz w:val="18"/>
                <w:szCs w:val="18"/>
                <w14:textFill>
                  <w14:solidFill>
                    <w14:schemeClr w14:val="tx1"/>
                  </w14:solidFill>
                </w14:textFill>
              </w:rPr>
              <w:t>地表水功能敏感性分区：</w:t>
            </w:r>
            <w:r>
              <w:rPr>
                <w:rFonts w:hint="eastAsia" w:ascii="Times New Roman" w:hAnsi="宋体"/>
                <w:color w:val="000000" w:themeColor="text1"/>
                <w:sz w:val="18"/>
                <w:szCs w:val="18"/>
                <w14:textFill>
                  <w14:solidFill>
                    <w14:schemeClr w14:val="tx1"/>
                  </w14:solidFill>
                </w14:textFill>
              </w:rPr>
              <w:t>低</w:t>
            </w:r>
            <w:r>
              <w:rPr>
                <w:rFonts w:ascii="Times New Roman" w:hAnsi="宋体"/>
                <w:color w:val="000000" w:themeColor="text1"/>
                <w:sz w:val="18"/>
                <w:szCs w:val="18"/>
                <w14:textFill>
                  <w14:solidFill>
                    <w14:schemeClr w14:val="tx1"/>
                  </w14:solidFill>
                </w14:textFill>
              </w:rPr>
              <w:t>敏感F</w:t>
            </w:r>
            <w:r>
              <w:rPr>
                <w:rFonts w:hint="eastAsia" w:ascii="Times New Roman" w:hAnsi="宋体"/>
                <w:color w:val="000000" w:themeColor="text1"/>
                <w:sz w:val="18"/>
                <w:szCs w:val="18"/>
                <w14:textFill>
                  <w14:solidFill>
                    <w14:schemeClr w14:val="tx1"/>
                  </w14:solidFill>
                </w14:textFill>
              </w:rPr>
              <w:t>3</w:t>
            </w:r>
            <w:r>
              <w:rPr>
                <w:rFonts w:ascii="Times New Roman" w:hAnsi="宋体"/>
                <w:color w:val="000000" w:themeColor="text1"/>
                <w:sz w:val="18"/>
                <w:szCs w:val="18"/>
                <w14:textFill>
                  <w14:solidFill>
                    <w14:schemeClr w14:val="tx1"/>
                  </w14:solidFill>
                </w14:textFill>
              </w:rPr>
              <w:t>；本项目</w:t>
            </w:r>
            <w:r>
              <w:rPr>
                <w:rFonts w:hint="eastAsia" w:ascii="Times New Roman" w:hAnsi="宋体"/>
                <w:color w:val="000000" w:themeColor="text1"/>
                <w:sz w:val="18"/>
                <w:szCs w:val="18"/>
                <w14:textFill>
                  <w14:solidFill>
                    <w14:schemeClr w14:val="tx1"/>
                  </w14:solidFill>
                </w14:textFill>
              </w:rPr>
              <w:t>距离受纳水体长江2.5km左右，事故状态下采取应急池收集等方式，事故状态不涉及长江水体</w:t>
            </w:r>
            <w:r>
              <w:rPr>
                <w:rFonts w:ascii="Times New Roman" w:hAnsi="宋体"/>
                <w:color w:val="000000" w:themeColor="text1"/>
                <w:sz w:val="18"/>
                <w:szCs w:val="18"/>
                <w14:textFill>
                  <w14:solidFill>
                    <w14:schemeClr w14:val="tx1"/>
                  </w14:solidFill>
                </w14:textFill>
              </w:rPr>
              <w:t>；</w:t>
            </w:r>
          </w:p>
          <w:p>
            <w:pPr>
              <w:rPr>
                <w:rFonts w:ascii="Times New Roman" w:hAnsi="Times New Roman"/>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fldChar w:fldCharType="begin"/>
            </w:r>
            <w:r>
              <w:rPr>
                <w:rFonts w:ascii="Times New Roman" w:hAnsi="Times New Roman"/>
                <w:b/>
                <w:color w:val="000000" w:themeColor="text1"/>
                <w:sz w:val="18"/>
                <w:szCs w:val="18"/>
                <w14:textFill>
                  <w14:solidFill>
                    <w14:schemeClr w14:val="tx1"/>
                  </w14:solidFill>
                </w14:textFill>
              </w:rPr>
              <w:instrText xml:space="preserve"> = 2 \* GB3 </w:instrText>
            </w:r>
            <w:r>
              <w:rPr>
                <w:rFonts w:ascii="Times New Roman" w:hAnsi="Times New Roman"/>
                <w:b/>
                <w:color w:val="000000" w:themeColor="text1"/>
                <w:sz w:val="18"/>
                <w:szCs w:val="18"/>
                <w14:textFill>
                  <w14:solidFill>
                    <w14:schemeClr w14:val="tx1"/>
                  </w14:solidFill>
                </w14:textFill>
              </w:rPr>
              <w:fldChar w:fldCharType="separate"/>
            </w:r>
            <w:r>
              <w:rPr>
                <w:rFonts w:ascii="Times New Roman" w:hAnsi="宋体"/>
                <w:b/>
                <w:color w:val="000000" w:themeColor="text1"/>
                <w:sz w:val="18"/>
                <w:szCs w:val="18"/>
                <w14:textFill>
                  <w14:solidFill>
                    <w14:schemeClr w14:val="tx1"/>
                  </w14:solidFill>
                </w14:textFill>
              </w:rPr>
              <w:t>②</w:t>
            </w:r>
            <w:r>
              <w:rPr>
                <w:rFonts w:ascii="Times New Roman" w:hAnsi="Times New Roman"/>
                <w:b/>
                <w:color w:val="000000" w:themeColor="text1"/>
                <w:sz w:val="18"/>
                <w:szCs w:val="18"/>
                <w14:textFill>
                  <w14:solidFill>
                    <w14:schemeClr w14:val="tx1"/>
                  </w14:solidFill>
                </w14:textFill>
              </w:rPr>
              <w:fldChar w:fldCharType="end"/>
            </w:r>
            <w:r>
              <w:rPr>
                <w:rFonts w:ascii="Times New Roman" w:hAnsi="宋体"/>
                <w:color w:val="000000" w:themeColor="text1"/>
                <w:sz w:val="18"/>
                <w:szCs w:val="18"/>
                <w14:textFill>
                  <w14:solidFill>
                    <w14:schemeClr w14:val="tx1"/>
                  </w14:solidFill>
                </w14:textFill>
              </w:rPr>
              <w:t>环境敏感目标分级：</w:t>
            </w:r>
            <w:r>
              <w:rPr>
                <w:rFonts w:ascii="Times New Roman" w:hAnsi="Times New Roman"/>
                <w:color w:val="000000" w:themeColor="text1"/>
                <w:sz w:val="18"/>
                <w:szCs w:val="18"/>
                <w14:textFill>
                  <w14:solidFill>
                    <w14:schemeClr w14:val="tx1"/>
                  </w14:solidFill>
                </w14:textFill>
              </w:rPr>
              <w:t>S</w:t>
            </w:r>
            <w:r>
              <w:rPr>
                <w:rFonts w:hint="eastAsia" w:ascii="Times New Roman" w:hAnsi="Times New Roman"/>
                <w:color w:val="000000" w:themeColor="text1"/>
                <w:sz w:val="18"/>
                <w:szCs w:val="18"/>
                <w14:textFill>
                  <w14:solidFill>
                    <w14:schemeClr w14:val="tx1"/>
                  </w14:solidFill>
                </w14:textFill>
              </w:rPr>
              <w:t xml:space="preserve">3 </w:t>
            </w:r>
            <w:r>
              <w:rPr>
                <w:rFonts w:ascii="Times New Roman" w:hAnsi="宋体"/>
                <w:color w:val="000000" w:themeColor="text1"/>
                <w:sz w:val="18"/>
                <w:szCs w:val="18"/>
                <w14:textFill>
                  <w14:solidFill>
                    <w14:schemeClr w14:val="tx1"/>
                  </w14:solidFill>
                </w14:textFill>
              </w:rPr>
              <w:t>；本项目</w:t>
            </w:r>
            <w:r>
              <w:rPr>
                <w:rFonts w:hint="eastAsia" w:ascii="Times New Roman" w:hAnsi="宋体"/>
                <w:color w:val="000000" w:themeColor="text1"/>
                <w:sz w:val="18"/>
                <w:szCs w:val="18"/>
                <w14:textFill>
                  <w14:solidFill>
                    <w14:schemeClr w14:val="tx1"/>
                  </w14:solidFill>
                </w14:textFill>
              </w:rPr>
              <w:t>距离受纳水体长江2.5km左右，事故状态下采取应急池收集等方式，因此事故状态不涉及长江水体。</w:t>
            </w:r>
          </w:p>
        </w:tc>
        <w:tc>
          <w:tcPr>
            <w:tcW w:w="1032" w:type="dxa"/>
            <w:shd w:val="clear" w:color="auto" w:fill="auto"/>
            <w:vAlign w:val="center"/>
          </w:tcPr>
          <w:p>
            <w:pPr>
              <w:jc w:val="center"/>
              <w:rPr>
                <w:rFonts w:ascii="Times New Roman" w:hAnsi="Times New Roman"/>
                <w:b/>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92"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地下水</w:t>
            </w:r>
          </w:p>
        </w:tc>
        <w:tc>
          <w:tcPr>
            <w:tcW w:w="7035" w:type="dxa"/>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fldChar w:fldCharType="begin"/>
            </w:r>
            <w:r>
              <w:rPr>
                <w:rFonts w:ascii="Times New Roman" w:hAnsi="Times New Roman"/>
                <w:b/>
                <w:color w:val="000000" w:themeColor="text1"/>
                <w:sz w:val="18"/>
                <w:szCs w:val="18"/>
                <w14:textFill>
                  <w14:solidFill>
                    <w14:schemeClr w14:val="tx1"/>
                  </w14:solidFill>
                </w14:textFill>
              </w:rPr>
              <w:instrText xml:space="preserve"> = 1 \* GB3 </w:instrText>
            </w:r>
            <w:r>
              <w:rPr>
                <w:rFonts w:ascii="Times New Roman" w:hAnsi="Times New Roman"/>
                <w:b/>
                <w:color w:val="000000" w:themeColor="text1"/>
                <w:sz w:val="18"/>
                <w:szCs w:val="18"/>
                <w14:textFill>
                  <w14:solidFill>
                    <w14:schemeClr w14:val="tx1"/>
                  </w14:solidFill>
                </w14:textFill>
              </w:rPr>
              <w:fldChar w:fldCharType="separate"/>
            </w:r>
            <w:r>
              <w:rPr>
                <w:rFonts w:ascii="Times New Roman" w:hAnsi="宋体"/>
                <w:b/>
                <w:color w:val="000000" w:themeColor="text1"/>
                <w:sz w:val="18"/>
                <w:szCs w:val="18"/>
                <w14:textFill>
                  <w14:solidFill>
                    <w14:schemeClr w14:val="tx1"/>
                  </w14:solidFill>
                </w14:textFill>
              </w:rPr>
              <w:t>①</w:t>
            </w:r>
            <w:r>
              <w:rPr>
                <w:rFonts w:ascii="Times New Roman" w:hAnsi="Times New Roman"/>
                <w:b/>
                <w:color w:val="000000" w:themeColor="text1"/>
                <w:sz w:val="18"/>
                <w:szCs w:val="18"/>
                <w14:textFill>
                  <w14:solidFill>
                    <w14:schemeClr w14:val="tx1"/>
                  </w14:solidFill>
                </w14:textFill>
              </w:rPr>
              <w:fldChar w:fldCharType="end"/>
            </w:r>
            <w:r>
              <w:rPr>
                <w:rFonts w:ascii="Times New Roman" w:hAnsi="宋体"/>
                <w:color w:val="000000" w:themeColor="text1"/>
                <w:sz w:val="18"/>
                <w:szCs w:val="18"/>
                <w14:textFill>
                  <w14:solidFill>
                    <w14:schemeClr w14:val="tx1"/>
                  </w14:solidFill>
                </w14:textFill>
              </w:rPr>
              <w:t>地下水功能敏感性分区：不敏感</w:t>
            </w:r>
            <w:r>
              <w:rPr>
                <w:rFonts w:ascii="Times New Roman" w:hAnsi="Times New Roman"/>
                <w:color w:val="000000" w:themeColor="text1"/>
                <w:sz w:val="18"/>
                <w:szCs w:val="18"/>
                <w14:textFill>
                  <w14:solidFill>
                    <w14:schemeClr w14:val="tx1"/>
                  </w14:solidFill>
                </w14:textFill>
              </w:rPr>
              <w:t>G3</w:t>
            </w:r>
            <w:r>
              <w:rPr>
                <w:rFonts w:ascii="Times New Roman" w:hAnsi="宋体"/>
                <w:color w:val="000000" w:themeColor="text1"/>
                <w:sz w:val="18"/>
                <w:szCs w:val="18"/>
                <w14:textFill>
                  <w14:solidFill>
                    <w14:schemeClr w14:val="tx1"/>
                  </w14:solidFill>
                </w14:textFill>
              </w:rPr>
              <w:t>；即导则附录表</w:t>
            </w:r>
            <w:r>
              <w:rPr>
                <w:rFonts w:ascii="Times New Roman" w:hAnsi="Times New Roman"/>
                <w:color w:val="000000" w:themeColor="text1"/>
                <w:sz w:val="18"/>
                <w:szCs w:val="18"/>
                <w14:textFill>
                  <w14:solidFill>
                    <w14:schemeClr w14:val="tx1"/>
                  </w14:solidFill>
                </w14:textFill>
              </w:rPr>
              <w:t>D6</w:t>
            </w:r>
            <w:r>
              <w:rPr>
                <w:rFonts w:ascii="Times New Roman" w:hAnsi="宋体"/>
                <w:color w:val="000000" w:themeColor="text1"/>
                <w:sz w:val="18"/>
                <w:szCs w:val="18"/>
                <w14:textFill>
                  <w14:solidFill>
                    <w14:schemeClr w14:val="tx1"/>
                  </w14:solidFill>
                </w14:textFill>
              </w:rPr>
              <w:t>中</w:t>
            </w:r>
            <w:r>
              <w:rPr>
                <w:rFonts w:ascii="Times New Roman" w:hAnsi="Times New Roman"/>
                <w:color w:val="000000" w:themeColor="text1"/>
                <w:sz w:val="18"/>
                <w:szCs w:val="18"/>
                <w14:textFill>
                  <w14:solidFill>
                    <w14:schemeClr w14:val="tx1"/>
                  </w14:solidFill>
                </w14:textFill>
              </w:rPr>
              <w:t>“</w:t>
            </w:r>
            <w:r>
              <w:rPr>
                <w:rFonts w:ascii="Times New Roman" w:hAnsi="宋体"/>
                <w:color w:val="000000" w:themeColor="text1"/>
                <w:sz w:val="18"/>
                <w:szCs w:val="18"/>
                <w14:textFill>
                  <w14:solidFill>
                    <w14:schemeClr w14:val="tx1"/>
                  </w14:solidFill>
                </w14:textFill>
              </w:rPr>
              <w:t>上述地区之外的其他地区</w:t>
            </w:r>
            <w:r>
              <w:rPr>
                <w:rFonts w:ascii="Times New Roman" w:hAnsi="Times New Roman"/>
                <w:color w:val="000000" w:themeColor="text1"/>
                <w:sz w:val="18"/>
                <w:szCs w:val="18"/>
                <w14:textFill>
                  <w14:solidFill>
                    <w14:schemeClr w14:val="tx1"/>
                  </w14:solidFill>
                </w14:textFill>
              </w:rPr>
              <w:t>”</w:t>
            </w:r>
            <w:r>
              <w:rPr>
                <w:rFonts w:ascii="Times New Roman" w:hAnsi="宋体"/>
                <w:color w:val="000000" w:themeColor="text1"/>
                <w:sz w:val="18"/>
                <w:szCs w:val="18"/>
                <w14:textFill>
                  <w14:solidFill>
                    <w14:schemeClr w14:val="tx1"/>
                  </w14:solidFill>
                </w14:textFill>
              </w:rPr>
              <w:t>；</w:t>
            </w:r>
          </w:p>
          <w:p>
            <w:pPr>
              <w:rPr>
                <w:rFonts w:ascii="Times New Roman" w:hAnsi="Times New Roman"/>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fldChar w:fldCharType="begin"/>
            </w:r>
            <w:r>
              <w:rPr>
                <w:rFonts w:ascii="Times New Roman" w:hAnsi="Times New Roman"/>
                <w:b/>
                <w:color w:val="000000" w:themeColor="text1"/>
                <w:sz w:val="18"/>
                <w:szCs w:val="18"/>
                <w14:textFill>
                  <w14:solidFill>
                    <w14:schemeClr w14:val="tx1"/>
                  </w14:solidFill>
                </w14:textFill>
              </w:rPr>
              <w:instrText xml:space="preserve"> = 2 \* GB3 </w:instrText>
            </w:r>
            <w:r>
              <w:rPr>
                <w:rFonts w:ascii="Times New Roman" w:hAnsi="Times New Roman"/>
                <w:b/>
                <w:color w:val="000000" w:themeColor="text1"/>
                <w:sz w:val="18"/>
                <w:szCs w:val="18"/>
                <w14:textFill>
                  <w14:solidFill>
                    <w14:schemeClr w14:val="tx1"/>
                  </w14:solidFill>
                </w14:textFill>
              </w:rPr>
              <w:fldChar w:fldCharType="separate"/>
            </w:r>
            <w:r>
              <w:rPr>
                <w:rFonts w:ascii="Times New Roman" w:hAnsi="宋体"/>
                <w:b/>
                <w:color w:val="000000" w:themeColor="text1"/>
                <w:sz w:val="18"/>
                <w:szCs w:val="18"/>
                <w14:textFill>
                  <w14:solidFill>
                    <w14:schemeClr w14:val="tx1"/>
                  </w14:solidFill>
                </w14:textFill>
              </w:rPr>
              <w:t>②</w:t>
            </w:r>
            <w:r>
              <w:rPr>
                <w:rFonts w:ascii="Times New Roman" w:hAnsi="Times New Roman"/>
                <w:b/>
                <w:color w:val="000000" w:themeColor="text1"/>
                <w:sz w:val="18"/>
                <w:szCs w:val="18"/>
                <w14:textFill>
                  <w14:solidFill>
                    <w14:schemeClr w14:val="tx1"/>
                  </w14:solidFill>
                </w14:textFill>
              </w:rPr>
              <w:fldChar w:fldCharType="end"/>
            </w:r>
            <w:r>
              <w:rPr>
                <w:rFonts w:ascii="Times New Roman" w:hAnsi="宋体"/>
                <w:color w:val="000000" w:themeColor="text1"/>
                <w:sz w:val="18"/>
                <w:szCs w:val="18"/>
                <w14:textFill>
                  <w14:solidFill>
                    <w14:schemeClr w14:val="tx1"/>
                  </w14:solidFill>
                </w14:textFill>
              </w:rPr>
              <w:t>包气带防污性能分级：</w:t>
            </w:r>
            <w:r>
              <w:rPr>
                <w:rFonts w:ascii="Times New Roman" w:hAnsi="Times New Roman"/>
                <w:color w:val="000000" w:themeColor="text1"/>
                <w:sz w:val="18"/>
                <w:szCs w:val="18"/>
                <w14:textFill>
                  <w14:solidFill>
                    <w14:schemeClr w14:val="tx1"/>
                  </w14:solidFill>
                </w14:textFill>
              </w:rPr>
              <w:t>D</w:t>
            </w:r>
            <w:r>
              <w:rPr>
                <w:rFonts w:hint="eastAsia" w:ascii="Times New Roman" w:hAnsi="Times New Roman"/>
                <w:color w:val="000000" w:themeColor="text1"/>
                <w:sz w:val="18"/>
                <w:szCs w:val="18"/>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w:t>
            </w:r>
            <w:r>
              <w:rPr>
                <w:rFonts w:ascii="Times New Roman" w:hAnsi="宋体"/>
                <w:color w:val="000000" w:themeColor="text1"/>
                <w:sz w:val="18"/>
                <w:szCs w:val="18"/>
                <w14:textFill>
                  <w14:solidFill>
                    <w14:schemeClr w14:val="tx1"/>
                  </w14:solidFill>
                </w14:textFill>
              </w:rPr>
              <w:t>包气带渗透性能：</w:t>
            </w:r>
            <w:r>
              <w:rPr>
                <w:rFonts w:hint="eastAsia" w:ascii="Times New Roman" w:hAnsi="宋体"/>
                <w:color w:val="000000" w:themeColor="text1"/>
                <w:sz w:val="18"/>
                <w:szCs w:val="18"/>
                <w14:textFill>
                  <w14:solidFill>
                    <w14:schemeClr w14:val="tx1"/>
                  </w14:solidFill>
                </w14:textFill>
              </w:rPr>
              <w:t>项目厂区地面整体水泥固化，并采取了分区防渗措施，</w:t>
            </w:r>
            <w:r>
              <w:rPr>
                <w:rFonts w:ascii="Times New Roman" w:hAnsi="Times New Roman"/>
                <w:color w:val="000000" w:themeColor="text1"/>
                <w:sz w:val="18"/>
                <w:szCs w:val="18"/>
                <w14:textFill>
                  <w14:solidFill>
                    <w14:schemeClr w14:val="tx1"/>
                  </w14:solidFill>
                </w14:textFill>
              </w:rPr>
              <w:t>Mb</w:t>
            </w:r>
            <w:r>
              <w:rPr>
                <w:rFonts w:ascii="Times New Roman" w:hAnsi="宋体"/>
                <w:color w:val="000000" w:themeColor="text1"/>
                <w:sz w:val="18"/>
                <w:szCs w:val="18"/>
                <w14:textFill>
                  <w14:solidFill>
                    <w14:schemeClr w14:val="tx1"/>
                  </w14:solidFill>
                </w14:textFill>
              </w:rPr>
              <w:t>大</w:t>
            </w:r>
            <w:r>
              <w:rPr>
                <w:rFonts w:ascii="Times New Roman" w:hAnsi="Times New Roman"/>
                <w:color w:val="000000" w:themeColor="text1"/>
                <w:sz w:val="18"/>
                <w:szCs w:val="18"/>
                <w14:textFill>
                  <w14:solidFill>
                    <w14:schemeClr w14:val="tx1"/>
                  </w14:solidFill>
                </w14:textFill>
              </w:rPr>
              <w:t>于1m</w:t>
            </w:r>
            <w:r>
              <w:rPr>
                <w:rFonts w:hint="eastAsia" w:ascii="Times New Roman" w:hAnsi="Times New Roman"/>
                <w:color w:val="000000" w:themeColor="text1"/>
                <w:sz w:val="18"/>
                <w:szCs w:val="18"/>
                <w14:textFill>
                  <w14:solidFill>
                    <w14:schemeClr w14:val="tx1"/>
                  </w14:solidFill>
                </w14:textFill>
              </w:rPr>
              <w:t>， K≤1.0×10</w:t>
            </w:r>
            <w:r>
              <w:rPr>
                <w:rFonts w:hint="eastAsia" w:ascii="Times New Roman" w:hAnsi="Times New Roman"/>
                <w:color w:val="000000" w:themeColor="text1"/>
                <w:sz w:val="18"/>
                <w:szCs w:val="18"/>
                <w:vertAlign w:val="superscript"/>
                <w14:textFill>
                  <w14:solidFill>
                    <w14:schemeClr w14:val="tx1"/>
                  </w14:solidFill>
                </w14:textFill>
              </w:rPr>
              <w:t>-6</w:t>
            </w:r>
            <w:r>
              <w:rPr>
                <w:rFonts w:hint="eastAsia" w:ascii="Times New Roman" w:hAnsi="Times New Roman"/>
                <w:color w:val="000000" w:themeColor="text1"/>
                <w:sz w:val="18"/>
                <w:szCs w:val="18"/>
                <w14:textFill>
                  <w14:solidFill>
                    <w14:schemeClr w14:val="tx1"/>
                  </w14:solidFill>
                </w14:textFill>
              </w:rPr>
              <w:t>cm/s</w:t>
            </w:r>
            <w:r>
              <w:rPr>
                <w:rFonts w:ascii="Times New Roman" w:hAnsi="Times New Roman"/>
                <w:color w:val="000000" w:themeColor="text1"/>
                <w:sz w:val="18"/>
                <w:szCs w:val="18"/>
                <w14:textFill>
                  <w14:solidFill>
                    <w14:schemeClr w14:val="tx1"/>
                  </w14:solidFill>
                </w14:textFill>
              </w:rPr>
              <w:t>。</w:t>
            </w:r>
          </w:p>
        </w:tc>
        <w:tc>
          <w:tcPr>
            <w:tcW w:w="1032" w:type="dxa"/>
            <w:shd w:val="clear" w:color="auto" w:fill="auto"/>
            <w:vAlign w:val="center"/>
          </w:tcPr>
          <w:p>
            <w:pPr>
              <w:jc w:val="center"/>
              <w:rPr>
                <w:rFonts w:ascii="Times New Roman" w:hAnsi="Times New Roman"/>
                <w:b/>
                <w:color w:val="000000" w:themeColor="text1"/>
                <w:sz w:val="18"/>
                <w:szCs w:val="18"/>
                <w14:textFill>
                  <w14:solidFill>
                    <w14:schemeClr w14:val="tx1"/>
                  </w14:solidFill>
                </w14:textFill>
              </w:rPr>
            </w:pPr>
            <w:r>
              <w:rPr>
                <w:rFonts w:ascii="Times New Roman" w:hAnsi="Times New Roman"/>
                <w:b/>
                <w:color w:val="000000" w:themeColor="text1"/>
                <w:sz w:val="18"/>
                <w:szCs w:val="18"/>
                <w14:textFill>
                  <w14:solidFill>
                    <w14:schemeClr w14:val="tx1"/>
                  </w14:solidFill>
                </w14:textFill>
              </w:rPr>
              <w:t>E</w:t>
            </w:r>
            <w:r>
              <w:rPr>
                <w:rFonts w:hint="eastAsia" w:ascii="Times New Roman" w:hAnsi="Times New Roman"/>
                <w:b/>
                <w:color w:val="000000" w:themeColor="text1"/>
                <w:sz w:val="18"/>
                <w:szCs w:val="18"/>
                <w14:textFill>
                  <w14:solidFill>
                    <w14:schemeClr w14:val="tx1"/>
                  </w14:solidFill>
                </w14:textFill>
              </w:rPr>
              <w:t>3</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35" w:name="_Toc30423"/>
      <w:bookmarkStart w:id="636" w:name="_Toc7549"/>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.3.4环境风险潜势初判</w:t>
      </w:r>
      <w:bookmarkEnd w:id="635"/>
      <w:bookmarkEnd w:id="636"/>
    </w:p>
    <w:p>
      <w:pPr>
        <w:pStyle w:val="428"/>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《建设项目环境风险评价技术导则》（</w:t>
      </w:r>
      <w:r>
        <w:rPr>
          <w:rFonts w:hAnsi="Times New Roman"/>
          <w:color w:val="000000" w:themeColor="text1"/>
          <w14:textFill>
            <w14:solidFill>
              <w14:schemeClr w14:val="tx1"/>
            </w14:solidFill>
          </w14:textFill>
        </w:rPr>
        <w:t>HJ</w:t>
      </w:r>
      <w:r>
        <w:rPr>
          <w:rFonts w:hint="eastAsia" w:hAnsi="Times New Roman"/>
          <w:color w:val="000000" w:themeColor="text1"/>
          <w14:textFill>
            <w14:solidFill>
              <w14:schemeClr w14:val="tx1"/>
            </w14:solidFill>
          </w14:textFill>
        </w:rPr>
        <w:t xml:space="preserve"> </w:t>
      </w:r>
      <w:r>
        <w:rPr>
          <w:rFonts w:hAnsi="Times New Roman"/>
          <w:color w:val="000000" w:themeColor="text1"/>
          <w14:textFill>
            <w14:solidFill>
              <w14:schemeClr w14:val="tx1"/>
            </w14:solidFill>
          </w14:textFill>
        </w:rPr>
        <w:t>169-2018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的相关内容，可按下表确定项目各环境要素的环境风险潜势。</w:t>
      </w:r>
    </w:p>
    <w:p>
      <w:pPr>
        <w:spacing w:line="520" w:lineRule="exact"/>
        <w:ind w:firstLine="482" w:firstLineChars="20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7</w:t>
      </w:r>
      <w:r>
        <w:rPr>
          <w:rFonts w:ascii="Times New Roman" w:hAnsi="Times New Roman"/>
          <w:b/>
          <w:color w:val="000000" w:themeColor="text1"/>
          <w:sz w:val="24"/>
          <w:szCs w:val="24"/>
          <w14:textFill>
            <w14:solidFill>
              <w14:schemeClr w14:val="tx1"/>
            </w14:solidFill>
          </w14:textFill>
        </w:rPr>
        <w:t>.3-7  建设项目环境风险潜势划分</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407"/>
        <w:gridCol w:w="1638"/>
        <w:gridCol w:w="1638"/>
        <w:gridCol w:w="1638"/>
        <w:gridCol w:w="16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407" w:type="dxa"/>
            <w:vMerge w:val="restart"/>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环境敏感程度（</w:t>
            </w:r>
            <w:r>
              <w:rPr>
                <w:rFonts w:ascii="Times New Roman" w:hAnsi="Times New Roman"/>
                <w:color w:val="000000" w:themeColor="text1"/>
                <w:sz w:val="18"/>
                <w:szCs w:val="18"/>
                <w14:textFill>
                  <w14:solidFill>
                    <w14:schemeClr w14:val="tx1"/>
                  </w14:solidFill>
                </w14:textFill>
              </w:rPr>
              <w:t>E</w:t>
            </w:r>
            <w:r>
              <w:rPr>
                <w:rFonts w:ascii="Times New Roman" w:hAnsi="宋体"/>
                <w:color w:val="000000" w:themeColor="text1"/>
                <w:sz w:val="18"/>
                <w:szCs w:val="18"/>
                <w14:textFill>
                  <w14:solidFill>
                    <w14:schemeClr w14:val="tx1"/>
                  </w14:solidFill>
                </w14:textFill>
              </w:rPr>
              <w:t>）</w:t>
            </w:r>
          </w:p>
        </w:tc>
        <w:tc>
          <w:tcPr>
            <w:tcW w:w="6552" w:type="dxa"/>
            <w:gridSpan w:val="4"/>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危险物质及工艺系统危险性（</w:t>
            </w:r>
            <w:r>
              <w:rPr>
                <w:rFonts w:ascii="Times New Roman" w:hAnsi="Times New Roman"/>
                <w:color w:val="000000" w:themeColor="text1"/>
                <w:sz w:val="18"/>
                <w:szCs w:val="18"/>
                <w14:textFill>
                  <w14:solidFill>
                    <w14:schemeClr w14:val="tx1"/>
                  </w14:solidFill>
                </w14:textFill>
              </w:rPr>
              <w:t>P</w:t>
            </w:r>
            <w:r>
              <w:rPr>
                <w:rFonts w:ascii="Times New Roman" w:hAnsi="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7"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极高危害（</w:t>
            </w:r>
            <w:r>
              <w:rPr>
                <w:rFonts w:ascii="Times New Roman" w:hAnsi="Times New Roman"/>
                <w:color w:val="000000" w:themeColor="text1"/>
                <w:sz w:val="18"/>
                <w:szCs w:val="18"/>
                <w14:textFill>
                  <w14:solidFill>
                    <w14:schemeClr w14:val="tx1"/>
                  </w14:solidFill>
                </w14:textFill>
              </w:rPr>
              <w:t>P1</w:t>
            </w:r>
            <w:r>
              <w:rPr>
                <w:rFonts w:ascii="Times New Roman" w:hAnsi="宋体"/>
                <w:color w:val="000000" w:themeColor="text1"/>
                <w:sz w:val="18"/>
                <w:szCs w:val="18"/>
                <w14:textFill>
                  <w14:solidFill>
                    <w14:schemeClr w14:val="tx1"/>
                  </w14:solidFill>
                </w14:textFill>
              </w:rPr>
              <w:t>）</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高度危害（</w:t>
            </w:r>
            <w:r>
              <w:rPr>
                <w:rFonts w:ascii="Times New Roman" w:hAnsi="Times New Roman"/>
                <w:color w:val="000000" w:themeColor="text1"/>
                <w:sz w:val="18"/>
                <w:szCs w:val="18"/>
                <w14:textFill>
                  <w14:solidFill>
                    <w14:schemeClr w14:val="tx1"/>
                  </w14:solidFill>
                </w14:textFill>
              </w:rPr>
              <w:t>P2</w:t>
            </w:r>
            <w:r>
              <w:rPr>
                <w:rFonts w:ascii="Times New Roman" w:hAnsi="宋体"/>
                <w:color w:val="000000" w:themeColor="text1"/>
                <w:sz w:val="18"/>
                <w:szCs w:val="18"/>
                <w14:textFill>
                  <w14:solidFill>
                    <w14:schemeClr w14:val="tx1"/>
                  </w14:solidFill>
                </w14:textFill>
              </w:rPr>
              <w:t>）</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中度危害（</w:t>
            </w:r>
            <w:r>
              <w:rPr>
                <w:rFonts w:ascii="Times New Roman" w:hAnsi="Times New Roman"/>
                <w:color w:val="000000" w:themeColor="text1"/>
                <w:sz w:val="18"/>
                <w:szCs w:val="18"/>
                <w14:textFill>
                  <w14:solidFill>
                    <w14:schemeClr w14:val="tx1"/>
                  </w14:solidFill>
                </w14:textFill>
              </w:rPr>
              <w:t>P3</w:t>
            </w:r>
            <w:r>
              <w:rPr>
                <w:rFonts w:ascii="Times New Roman" w:hAnsi="宋体"/>
                <w:color w:val="000000" w:themeColor="text1"/>
                <w:sz w:val="18"/>
                <w:szCs w:val="18"/>
                <w14:textFill>
                  <w14:solidFill>
                    <w14:schemeClr w14:val="tx1"/>
                  </w14:solidFill>
                </w14:textFill>
              </w:rPr>
              <w:t>）</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轻度危害（</w:t>
            </w:r>
            <w:r>
              <w:rPr>
                <w:rFonts w:ascii="Times New Roman" w:hAnsi="Times New Roman"/>
                <w:color w:val="000000" w:themeColor="text1"/>
                <w:sz w:val="18"/>
                <w:szCs w:val="18"/>
                <w14:textFill>
                  <w14:solidFill>
                    <w14:schemeClr w14:val="tx1"/>
                  </w14:solidFill>
                </w14:textFill>
              </w:rPr>
              <w:t>P4</w:t>
            </w:r>
            <w:r>
              <w:rPr>
                <w:rFonts w:ascii="Times New Roman" w:hAnsi="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40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环境高度敏感区（</w:t>
            </w:r>
            <w:r>
              <w:rPr>
                <w:rFonts w:ascii="Times New Roman" w:hAnsi="Times New Roman"/>
                <w:color w:val="000000" w:themeColor="text1"/>
                <w:sz w:val="18"/>
                <w:szCs w:val="18"/>
                <w14:textFill>
                  <w14:solidFill>
                    <w14:schemeClr w14:val="tx1"/>
                  </w14:solidFill>
                </w14:textFill>
              </w:rPr>
              <w:t>E1</w:t>
            </w:r>
            <w:r>
              <w:rPr>
                <w:rFonts w:ascii="Times New Roman" w:hAnsi="宋体"/>
                <w:color w:val="000000" w:themeColor="text1"/>
                <w:sz w:val="18"/>
                <w:szCs w:val="18"/>
                <w14:textFill>
                  <w14:solidFill>
                    <w14:schemeClr w14:val="tx1"/>
                  </w14:solidFill>
                </w14:textFill>
              </w:rPr>
              <w:t>）</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fldChar w:fldCharType="begin"/>
            </w:r>
            <w:r>
              <w:rPr>
                <w:rFonts w:ascii="Times New Roman" w:hAnsi="宋体"/>
                <w:color w:val="000000" w:themeColor="text1"/>
                <w:sz w:val="18"/>
                <w:szCs w:val="18"/>
                <w14:textFill>
                  <w14:solidFill>
                    <w14:schemeClr w14:val="tx1"/>
                  </w14:solidFill>
                </w14:textFill>
              </w:rPr>
              <w:instrText xml:space="preserve"> </w:instrText>
            </w:r>
            <w:r>
              <w:rPr>
                <w:rFonts w:hint="eastAsia" w:ascii="Times New Roman" w:hAnsi="宋体"/>
                <w:color w:val="000000" w:themeColor="text1"/>
                <w:sz w:val="18"/>
                <w:szCs w:val="18"/>
                <w14:textFill>
                  <w14:solidFill>
                    <w14:schemeClr w14:val="tx1"/>
                  </w14:solidFill>
                </w14:textFill>
              </w:rPr>
              <w:instrText xml:space="preserve">= 4 \* ROMAN</w:instrText>
            </w:r>
            <w:r>
              <w:rPr>
                <w:rFonts w:ascii="Times New Roman" w:hAnsi="宋体"/>
                <w:color w:val="000000" w:themeColor="text1"/>
                <w:sz w:val="18"/>
                <w:szCs w:val="18"/>
                <w14:textFill>
                  <w14:solidFill>
                    <w14:schemeClr w14:val="tx1"/>
                  </w14:solidFill>
                </w14:textFill>
              </w:rPr>
              <w:instrText xml:space="preserve"> </w:instrText>
            </w:r>
            <w:r>
              <w:rPr>
                <w:rFonts w:ascii="Times New Roman" w:hAnsi="宋体"/>
                <w:color w:val="000000" w:themeColor="text1"/>
                <w:sz w:val="18"/>
                <w:szCs w:val="18"/>
                <w14:textFill>
                  <w14:solidFill>
                    <w14:schemeClr w14:val="tx1"/>
                  </w14:solidFill>
                </w14:textFill>
              </w:rPr>
              <w:fldChar w:fldCharType="separate"/>
            </w:r>
            <w:r>
              <w:rPr>
                <w:rFonts w:ascii="Times New Roman" w:hAnsi="宋体"/>
                <w:color w:val="000000" w:themeColor="text1"/>
                <w:sz w:val="18"/>
                <w:szCs w:val="18"/>
                <w14:textFill>
                  <w14:solidFill>
                    <w14:schemeClr w14:val="tx1"/>
                  </w14:solidFill>
                </w14:textFill>
              </w:rPr>
              <w:t>IV</w:t>
            </w:r>
            <w:r>
              <w:rPr>
                <w:rFonts w:ascii="Times New Roman" w:hAnsi="宋体"/>
                <w:color w:val="000000" w:themeColor="text1"/>
                <w:sz w:val="18"/>
                <w:szCs w:val="18"/>
                <w14:textFill>
                  <w14:solidFill>
                    <w14:schemeClr w14:val="tx1"/>
                  </w14:solidFill>
                </w14:textFill>
              </w:rPr>
              <w:fldChar w:fldCharType="end"/>
            </w:r>
            <w:r>
              <w:rPr>
                <w:rFonts w:hint="eastAsia" w:ascii="Times New Roman" w:hAnsi="宋体"/>
                <w:color w:val="000000" w:themeColor="text1"/>
                <w:sz w:val="18"/>
                <w:szCs w:val="18"/>
                <w:vertAlign w:val="superscript"/>
                <w14:textFill>
                  <w14:solidFill>
                    <w14:schemeClr w14:val="tx1"/>
                  </w14:solidFill>
                </w14:textFill>
              </w:rPr>
              <w:t>+</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fldChar w:fldCharType="begin"/>
            </w:r>
            <w:r>
              <w:rPr>
                <w:rFonts w:ascii="Times New Roman" w:hAnsi="宋体"/>
                <w:color w:val="000000" w:themeColor="text1"/>
                <w:sz w:val="18"/>
                <w:szCs w:val="18"/>
                <w14:textFill>
                  <w14:solidFill>
                    <w14:schemeClr w14:val="tx1"/>
                  </w14:solidFill>
                </w14:textFill>
              </w:rPr>
              <w:instrText xml:space="preserve"> </w:instrText>
            </w:r>
            <w:r>
              <w:rPr>
                <w:rFonts w:hint="eastAsia" w:ascii="Times New Roman" w:hAnsi="宋体"/>
                <w:color w:val="000000" w:themeColor="text1"/>
                <w:sz w:val="18"/>
                <w:szCs w:val="18"/>
                <w14:textFill>
                  <w14:solidFill>
                    <w14:schemeClr w14:val="tx1"/>
                  </w14:solidFill>
                </w14:textFill>
              </w:rPr>
              <w:instrText xml:space="preserve">= 4 \* ROMAN</w:instrText>
            </w:r>
            <w:r>
              <w:rPr>
                <w:rFonts w:ascii="Times New Roman" w:hAnsi="宋体"/>
                <w:color w:val="000000" w:themeColor="text1"/>
                <w:sz w:val="18"/>
                <w:szCs w:val="18"/>
                <w14:textFill>
                  <w14:solidFill>
                    <w14:schemeClr w14:val="tx1"/>
                  </w14:solidFill>
                </w14:textFill>
              </w:rPr>
              <w:instrText xml:space="preserve"> </w:instrText>
            </w:r>
            <w:r>
              <w:rPr>
                <w:rFonts w:ascii="Times New Roman" w:hAnsi="宋体"/>
                <w:color w:val="000000" w:themeColor="text1"/>
                <w:sz w:val="18"/>
                <w:szCs w:val="18"/>
                <w14:textFill>
                  <w14:solidFill>
                    <w14:schemeClr w14:val="tx1"/>
                  </w14:solidFill>
                </w14:textFill>
              </w:rPr>
              <w:fldChar w:fldCharType="separate"/>
            </w:r>
            <w:r>
              <w:rPr>
                <w:rFonts w:ascii="Times New Roman" w:hAnsi="宋体"/>
                <w:color w:val="000000" w:themeColor="text1"/>
                <w:sz w:val="18"/>
                <w:szCs w:val="18"/>
                <w14:textFill>
                  <w14:solidFill>
                    <w14:schemeClr w14:val="tx1"/>
                  </w14:solidFill>
                </w14:textFill>
              </w:rPr>
              <w:t>IV</w:t>
            </w:r>
            <w:r>
              <w:rPr>
                <w:rFonts w:ascii="Times New Roman" w:hAnsi="宋体"/>
                <w:color w:val="000000" w:themeColor="text1"/>
                <w:sz w:val="18"/>
                <w:szCs w:val="18"/>
                <w14:textFill>
                  <w14:solidFill>
                    <w14:schemeClr w14:val="tx1"/>
                  </w14:solidFill>
                </w14:textFill>
              </w:rPr>
              <w:fldChar w:fldCharType="end"/>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3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III</w:t>
            </w:r>
            <w:r>
              <w:rPr>
                <w:rFonts w:ascii="Times New Roman" w:hAnsi="Times New Roman"/>
                <w:color w:val="000000" w:themeColor="text1"/>
                <w:sz w:val="18"/>
                <w:szCs w:val="18"/>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环境中度敏感区（</w:t>
            </w:r>
            <w:r>
              <w:rPr>
                <w:rFonts w:ascii="Times New Roman" w:hAnsi="Times New Roman"/>
                <w:color w:val="000000" w:themeColor="text1"/>
                <w:sz w:val="18"/>
                <w:szCs w:val="18"/>
                <w14:textFill>
                  <w14:solidFill>
                    <w14:schemeClr w14:val="tx1"/>
                  </w14:solidFill>
                </w14:textFill>
              </w:rPr>
              <w:t>E2</w:t>
            </w:r>
            <w:r>
              <w:rPr>
                <w:rFonts w:ascii="Times New Roman" w:hAnsi="宋体"/>
                <w:color w:val="000000" w:themeColor="text1"/>
                <w:sz w:val="18"/>
                <w:szCs w:val="18"/>
                <w14:textFill>
                  <w14:solidFill>
                    <w14:schemeClr w14:val="tx1"/>
                  </w14:solidFill>
                </w14:textFill>
              </w:rPr>
              <w:t>）</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fldChar w:fldCharType="begin"/>
            </w:r>
            <w:r>
              <w:rPr>
                <w:rFonts w:ascii="Times New Roman" w:hAnsi="宋体"/>
                <w:color w:val="000000" w:themeColor="text1"/>
                <w:sz w:val="18"/>
                <w:szCs w:val="18"/>
                <w14:textFill>
                  <w14:solidFill>
                    <w14:schemeClr w14:val="tx1"/>
                  </w14:solidFill>
                </w14:textFill>
              </w:rPr>
              <w:instrText xml:space="preserve"> </w:instrText>
            </w:r>
            <w:r>
              <w:rPr>
                <w:rFonts w:hint="eastAsia" w:ascii="Times New Roman" w:hAnsi="宋体"/>
                <w:color w:val="000000" w:themeColor="text1"/>
                <w:sz w:val="18"/>
                <w:szCs w:val="18"/>
                <w14:textFill>
                  <w14:solidFill>
                    <w14:schemeClr w14:val="tx1"/>
                  </w14:solidFill>
                </w14:textFill>
              </w:rPr>
              <w:instrText xml:space="preserve">= 4 \* ROMAN</w:instrText>
            </w:r>
            <w:r>
              <w:rPr>
                <w:rFonts w:ascii="Times New Roman" w:hAnsi="宋体"/>
                <w:color w:val="000000" w:themeColor="text1"/>
                <w:sz w:val="18"/>
                <w:szCs w:val="18"/>
                <w14:textFill>
                  <w14:solidFill>
                    <w14:schemeClr w14:val="tx1"/>
                  </w14:solidFill>
                </w14:textFill>
              </w:rPr>
              <w:instrText xml:space="preserve"> </w:instrText>
            </w:r>
            <w:r>
              <w:rPr>
                <w:rFonts w:ascii="Times New Roman" w:hAnsi="宋体"/>
                <w:color w:val="000000" w:themeColor="text1"/>
                <w:sz w:val="18"/>
                <w:szCs w:val="18"/>
                <w14:textFill>
                  <w14:solidFill>
                    <w14:schemeClr w14:val="tx1"/>
                  </w14:solidFill>
                </w14:textFill>
              </w:rPr>
              <w:fldChar w:fldCharType="separate"/>
            </w:r>
            <w:r>
              <w:rPr>
                <w:rFonts w:ascii="Times New Roman" w:hAnsi="宋体"/>
                <w:color w:val="000000" w:themeColor="text1"/>
                <w:sz w:val="18"/>
                <w:szCs w:val="18"/>
                <w14:textFill>
                  <w14:solidFill>
                    <w14:schemeClr w14:val="tx1"/>
                  </w14:solidFill>
                </w14:textFill>
              </w:rPr>
              <w:t>IV</w:t>
            </w:r>
            <w:r>
              <w:rPr>
                <w:rFonts w:ascii="Times New Roman" w:hAnsi="宋体"/>
                <w:color w:val="000000" w:themeColor="text1"/>
                <w:sz w:val="18"/>
                <w:szCs w:val="18"/>
                <w14:textFill>
                  <w14:solidFill>
                    <w14:schemeClr w14:val="tx1"/>
                  </w14:solidFill>
                </w14:textFill>
              </w:rPr>
              <w:fldChar w:fldCharType="end"/>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2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II</w:t>
            </w:r>
            <w:r>
              <w:rPr>
                <w:rFonts w:ascii="Times New Roman" w:hAnsi="Times New Roman"/>
                <w:color w:val="000000" w:themeColor="text1"/>
                <w:sz w:val="18"/>
                <w:szCs w:val="18"/>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407"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环境低度敏感区（</w:t>
            </w:r>
            <w:r>
              <w:rPr>
                <w:rFonts w:ascii="Times New Roman" w:hAnsi="Times New Roman"/>
                <w:color w:val="000000" w:themeColor="text1"/>
                <w:sz w:val="18"/>
                <w:szCs w:val="18"/>
                <w14:textFill>
                  <w14:solidFill>
                    <w14:schemeClr w14:val="tx1"/>
                  </w14:solidFill>
                </w14:textFill>
              </w:rPr>
              <w:t>E3</w:t>
            </w:r>
            <w:r>
              <w:rPr>
                <w:rFonts w:ascii="Times New Roman" w:hAnsi="宋体"/>
                <w:color w:val="000000" w:themeColor="text1"/>
                <w:sz w:val="18"/>
                <w:szCs w:val="18"/>
                <w14:textFill>
                  <w14:solidFill>
                    <w14:schemeClr w14:val="tx1"/>
                  </w14:solidFill>
                </w14:textFill>
              </w:rPr>
              <w:t>）</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III</w:t>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2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II</w:t>
            </w:r>
            <w:r>
              <w:rPr>
                <w:rFonts w:ascii="Times New Roman" w:hAnsi="Times New Roman"/>
                <w:color w:val="000000" w:themeColor="text1"/>
                <w:sz w:val="18"/>
                <w:szCs w:val="18"/>
                <w14:textFill>
                  <w14:solidFill>
                    <w14:schemeClr w14:val="tx1"/>
                  </w14:solidFill>
                </w14:textFill>
              </w:rPr>
              <w:fldChar w:fldCharType="end"/>
            </w:r>
          </w:p>
        </w:tc>
        <w:tc>
          <w:tcPr>
            <w:tcW w:w="1638"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1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w:t>
            </w:r>
            <w:r>
              <w:rPr>
                <w:rFonts w:ascii="Times New Roman" w:hAnsi="Times New Roman"/>
                <w:color w:val="000000" w:themeColor="text1"/>
                <w:sz w:val="18"/>
                <w:szCs w:val="18"/>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959" w:type="dxa"/>
            <w:gridSpan w:val="5"/>
            <w:shd w:val="clear" w:color="auto" w:fill="auto"/>
            <w:vAlign w:val="center"/>
          </w:tcPr>
          <w:p>
            <w:pPr>
              <w:rPr>
                <w:rFonts w:ascii="Times New Roman" w:hAnsi="Times New Roman"/>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 xml:space="preserve">   </w:t>
            </w:r>
            <w:r>
              <w:rPr>
                <w:rFonts w:ascii="Times New Roman" w:hAnsi="宋体"/>
                <w:color w:val="000000" w:themeColor="text1"/>
                <w:sz w:val="18"/>
                <w:szCs w:val="18"/>
                <w14:textFill>
                  <w14:solidFill>
                    <w14:schemeClr w14:val="tx1"/>
                  </w14:solidFill>
                </w14:textFill>
              </w:rPr>
              <w:fldChar w:fldCharType="begin"/>
            </w:r>
            <w:r>
              <w:rPr>
                <w:rFonts w:ascii="Times New Roman" w:hAnsi="宋体"/>
                <w:color w:val="000000" w:themeColor="text1"/>
                <w:sz w:val="18"/>
                <w:szCs w:val="18"/>
                <w14:textFill>
                  <w14:solidFill>
                    <w14:schemeClr w14:val="tx1"/>
                  </w14:solidFill>
                </w14:textFill>
              </w:rPr>
              <w:instrText xml:space="preserve"> </w:instrText>
            </w:r>
            <w:r>
              <w:rPr>
                <w:rFonts w:hint="eastAsia" w:ascii="Times New Roman" w:hAnsi="宋体"/>
                <w:color w:val="000000" w:themeColor="text1"/>
                <w:sz w:val="18"/>
                <w:szCs w:val="18"/>
                <w14:textFill>
                  <w14:solidFill>
                    <w14:schemeClr w14:val="tx1"/>
                  </w14:solidFill>
                </w14:textFill>
              </w:rPr>
              <w:instrText xml:space="preserve">= 4 \* ROMAN</w:instrText>
            </w:r>
            <w:r>
              <w:rPr>
                <w:rFonts w:ascii="Times New Roman" w:hAnsi="宋体"/>
                <w:color w:val="000000" w:themeColor="text1"/>
                <w:sz w:val="18"/>
                <w:szCs w:val="18"/>
                <w14:textFill>
                  <w14:solidFill>
                    <w14:schemeClr w14:val="tx1"/>
                  </w14:solidFill>
                </w14:textFill>
              </w:rPr>
              <w:instrText xml:space="preserve"> </w:instrText>
            </w:r>
            <w:r>
              <w:rPr>
                <w:rFonts w:ascii="Times New Roman" w:hAnsi="宋体"/>
                <w:color w:val="000000" w:themeColor="text1"/>
                <w:sz w:val="18"/>
                <w:szCs w:val="18"/>
                <w14:textFill>
                  <w14:solidFill>
                    <w14:schemeClr w14:val="tx1"/>
                  </w14:solidFill>
                </w14:textFill>
              </w:rPr>
              <w:fldChar w:fldCharType="separate"/>
            </w:r>
            <w:r>
              <w:rPr>
                <w:rFonts w:ascii="Times New Roman" w:hAnsi="宋体"/>
                <w:color w:val="000000" w:themeColor="text1"/>
                <w:sz w:val="18"/>
                <w:szCs w:val="18"/>
                <w14:textFill>
                  <w14:solidFill>
                    <w14:schemeClr w14:val="tx1"/>
                  </w14:solidFill>
                </w14:textFill>
              </w:rPr>
              <w:t>IV</w:t>
            </w:r>
            <w:r>
              <w:rPr>
                <w:rFonts w:ascii="Times New Roman" w:hAnsi="宋体"/>
                <w:color w:val="000000" w:themeColor="text1"/>
                <w:sz w:val="18"/>
                <w:szCs w:val="18"/>
                <w14:textFill>
                  <w14:solidFill>
                    <w14:schemeClr w14:val="tx1"/>
                  </w14:solidFill>
                </w14:textFill>
              </w:rPr>
              <w:fldChar w:fldCharType="end"/>
            </w:r>
            <w:r>
              <w:rPr>
                <w:rFonts w:hint="eastAsia" w:ascii="Times New Roman" w:hAnsi="宋体"/>
                <w:color w:val="000000" w:themeColor="text1"/>
                <w:sz w:val="18"/>
                <w:szCs w:val="18"/>
                <w:vertAlign w:val="superscript"/>
                <w14:textFill>
                  <w14:solidFill>
                    <w14:schemeClr w14:val="tx1"/>
                  </w14:solidFill>
                </w14:textFill>
              </w:rPr>
              <w:t>+</w:t>
            </w:r>
            <w:r>
              <w:rPr>
                <w:rFonts w:ascii="Times New Roman" w:hAnsi="宋体"/>
                <w:color w:val="000000" w:themeColor="text1"/>
                <w:sz w:val="18"/>
                <w:szCs w:val="18"/>
                <w14:textFill>
                  <w14:solidFill>
                    <w14:schemeClr w14:val="tx1"/>
                  </w14:solidFill>
                </w14:textFill>
              </w:rPr>
              <w:t>为极高环境风险。</w:t>
            </w:r>
          </w:p>
        </w:tc>
      </w:tr>
    </w:tbl>
    <w:p>
      <w:pPr>
        <w:pStyle w:val="42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本项目各环境要素的环境风险潜势划分及对应的评价工作等级列表如下：</w:t>
      </w:r>
    </w:p>
    <w:p>
      <w:pPr>
        <w:spacing w:line="520" w:lineRule="exact"/>
        <w:ind w:firstLine="482" w:firstLineChars="20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表</w:t>
      </w:r>
      <w:r>
        <w:rPr>
          <w:rFonts w:hint="eastAsia" w:ascii="Times New Roman" w:hAnsi="Times New Roman"/>
          <w:b/>
          <w:color w:val="000000" w:themeColor="text1"/>
          <w:sz w:val="24"/>
          <w:szCs w:val="24"/>
          <w:lang w:val="en-US" w:eastAsia="zh-CN"/>
          <w14:textFill>
            <w14:solidFill>
              <w14:schemeClr w14:val="tx1"/>
            </w14:solidFill>
          </w14:textFill>
        </w:rPr>
        <w:t>7</w:t>
      </w:r>
      <w:r>
        <w:rPr>
          <w:rFonts w:ascii="Times New Roman" w:hAnsi="Times New Roman"/>
          <w:b/>
          <w:color w:val="000000" w:themeColor="text1"/>
          <w:sz w:val="24"/>
          <w:szCs w:val="24"/>
          <w14:textFill>
            <w14:solidFill>
              <w14:schemeClr w14:val="tx1"/>
            </w14:solidFill>
          </w14:textFill>
        </w:rPr>
        <w:t>.3-8   本项目各环境要素风险潜势划分</w:t>
      </w:r>
    </w:p>
    <w:tbl>
      <w:tblPr>
        <w:tblStyle w:val="87"/>
        <w:tblW w:w="90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5"/>
        <w:gridCol w:w="2584"/>
        <w:gridCol w:w="2584"/>
        <w:gridCol w:w="25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81" w:hRule="atLeast"/>
          <w:jc w:val="center"/>
        </w:trPr>
        <w:tc>
          <w:tcPr>
            <w:tcW w:w="12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环境要素</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环境要素敏感度分级</w:t>
            </w:r>
            <w:r>
              <w:rPr>
                <w:rFonts w:ascii="Times New Roman" w:hAnsi="Times New Roman"/>
                <w:color w:val="000000" w:themeColor="text1"/>
                <w:sz w:val="18"/>
                <w:szCs w:val="18"/>
                <w14:textFill>
                  <w14:solidFill>
                    <w14:schemeClr w14:val="tx1"/>
                  </w14:solidFill>
                </w14:textFill>
              </w:rPr>
              <w:t>(E)</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危险物质及工艺系统危险性分级</w:t>
            </w:r>
            <w:r>
              <w:rPr>
                <w:rFonts w:ascii="Times New Roman" w:hAnsi="Times New Roman"/>
                <w:color w:val="000000" w:themeColor="text1"/>
                <w:sz w:val="18"/>
                <w:szCs w:val="18"/>
                <w14:textFill>
                  <w14:solidFill>
                    <w14:schemeClr w14:val="tx1"/>
                  </w14:solidFill>
                </w14:textFill>
              </w:rPr>
              <w:t>(P)</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环境风险潜势划分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大气</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E3</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w:t>
            </w:r>
            <w:r>
              <w:rPr>
                <w:rFonts w:hint="eastAsia" w:ascii="Times New Roman" w:hAnsi="Times New Roman"/>
                <w:color w:val="000000" w:themeColor="text1"/>
                <w:sz w:val="18"/>
                <w:szCs w:val="18"/>
                <w14:textFill>
                  <w14:solidFill>
                    <w14:schemeClr w14:val="tx1"/>
                  </w14:solidFill>
                </w14:textFill>
              </w:rPr>
              <w:t>4</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1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w:t>
            </w:r>
            <w:r>
              <w:rPr>
                <w:rFonts w:ascii="Times New Roman" w:hAnsi="Times New Roman"/>
                <w:color w:val="000000" w:themeColor="text1"/>
                <w:sz w:val="18"/>
                <w:szCs w:val="18"/>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地表水</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w:t>
            </w:r>
            <w:r>
              <w:rPr>
                <w:rFonts w:hint="eastAsia" w:ascii="Times New Roman" w:hAnsi="Times New Roman"/>
                <w:color w:val="000000" w:themeColor="text1"/>
                <w:sz w:val="18"/>
                <w:szCs w:val="18"/>
                <w14:textFill>
                  <w14:solidFill>
                    <w14:schemeClr w14:val="tx1"/>
                  </w14:solidFill>
                </w14:textFill>
              </w:rPr>
              <w:t>3</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w:t>
            </w:r>
            <w:r>
              <w:rPr>
                <w:rFonts w:hint="eastAsia" w:ascii="Times New Roman" w:hAnsi="Times New Roman"/>
                <w:color w:val="000000" w:themeColor="text1"/>
                <w:sz w:val="18"/>
                <w:szCs w:val="18"/>
                <w14:textFill>
                  <w14:solidFill>
                    <w14:schemeClr w14:val="tx1"/>
                  </w14:solidFill>
                </w14:textFill>
              </w:rPr>
              <w:t>4</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1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w:t>
            </w:r>
            <w:r>
              <w:rPr>
                <w:rFonts w:ascii="Times New Roman" w:hAnsi="Times New Roman"/>
                <w:color w:val="000000" w:themeColor="text1"/>
                <w:sz w:val="18"/>
                <w:szCs w:val="18"/>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1285"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地下水</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w:t>
            </w:r>
            <w:r>
              <w:rPr>
                <w:rFonts w:hint="eastAsia" w:ascii="Times New Roman" w:hAnsi="Times New Roman"/>
                <w:color w:val="000000" w:themeColor="text1"/>
                <w:sz w:val="18"/>
                <w:szCs w:val="18"/>
                <w14:textFill>
                  <w14:solidFill>
                    <w14:schemeClr w14:val="tx1"/>
                  </w14:solidFill>
                </w14:textFill>
              </w:rPr>
              <w:t>3</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w:t>
            </w:r>
            <w:r>
              <w:rPr>
                <w:rFonts w:hint="eastAsia" w:ascii="Times New Roman" w:hAnsi="Times New Roman"/>
                <w:color w:val="000000" w:themeColor="text1"/>
                <w:sz w:val="18"/>
                <w:szCs w:val="18"/>
                <w14:textFill>
                  <w14:solidFill>
                    <w14:schemeClr w14:val="tx1"/>
                  </w14:solidFill>
                </w14:textFill>
              </w:rPr>
              <w:t>4</w:t>
            </w:r>
          </w:p>
        </w:tc>
        <w:tc>
          <w:tcPr>
            <w:tcW w:w="2584" w:type="dxa"/>
            <w:shd w:val="clear" w:color="auto" w:fill="auto"/>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fldChar w:fldCharType="begin"/>
            </w:r>
            <w:r>
              <w:rPr>
                <w:rFonts w:ascii="Times New Roman" w:hAnsi="Times New Roman"/>
                <w:color w:val="000000" w:themeColor="text1"/>
                <w:sz w:val="18"/>
                <w:szCs w:val="18"/>
                <w14:textFill>
                  <w14:solidFill>
                    <w14:schemeClr w14:val="tx1"/>
                  </w14:solidFill>
                </w14:textFill>
              </w:rPr>
              <w:instrText xml:space="preserve"> </w:instrText>
            </w:r>
            <w:r>
              <w:rPr>
                <w:rFonts w:hint="eastAsia" w:ascii="Times New Roman" w:hAnsi="Times New Roman"/>
                <w:color w:val="000000" w:themeColor="text1"/>
                <w:sz w:val="18"/>
                <w:szCs w:val="18"/>
                <w14:textFill>
                  <w14:solidFill>
                    <w14:schemeClr w14:val="tx1"/>
                  </w14:solidFill>
                </w14:textFill>
              </w:rPr>
              <w:instrText xml:space="preserve">= 1 \* ROMAN</w:instrText>
            </w:r>
            <w:r>
              <w:rPr>
                <w:rFonts w:ascii="Times New Roman" w:hAnsi="Times New Roman"/>
                <w:color w:val="000000" w:themeColor="text1"/>
                <w:sz w:val="18"/>
                <w:szCs w:val="18"/>
                <w14:textFill>
                  <w14:solidFill>
                    <w14:schemeClr w14:val="tx1"/>
                  </w14:solidFill>
                </w14:textFill>
              </w:rPr>
              <w:instrText xml:space="preserve"> </w:instrText>
            </w:r>
            <w:r>
              <w:rPr>
                <w:rFonts w:ascii="Times New Roman" w:hAnsi="Times New Roman"/>
                <w:color w:val="000000" w:themeColor="text1"/>
                <w:sz w:val="18"/>
                <w:szCs w:val="18"/>
                <w14:textFill>
                  <w14:solidFill>
                    <w14:schemeClr w14:val="tx1"/>
                  </w14:solidFill>
                </w14:textFill>
              </w:rPr>
              <w:fldChar w:fldCharType="separate"/>
            </w:r>
            <w:r>
              <w:rPr>
                <w:rFonts w:ascii="Times New Roman" w:hAnsi="Times New Roman"/>
                <w:color w:val="000000" w:themeColor="text1"/>
                <w:sz w:val="18"/>
                <w:szCs w:val="18"/>
                <w14:textFill>
                  <w14:solidFill>
                    <w14:schemeClr w14:val="tx1"/>
                  </w14:solidFill>
                </w14:textFill>
              </w:rPr>
              <w:t>I</w:t>
            </w:r>
            <w:r>
              <w:rPr>
                <w:rFonts w:ascii="Times New Roman" w:hAnsi="Times New Roman"/>
                <w:color w:val="000000" w:themeColor="text1"/>
                <w:sz w:val="18"/>
                <w:szCs w:val="18"/>
                <w14:textFill>
                  <w14:solidFill>
                    <w14:schemeClr w14:val="tx1"/>
                  </w14:solidFill>
                </w14:textFill>
              </w:rPr>
              <w:fldChar w:fldCharType="end"/>
            </w:r>
          </w:p>
        </w:tc>
      </w:tr>
    </w:tbl>
    <w:p>
      <w:pPr>
        <w:pStyle w:val="380"/>
        <w:adjustRightInd w:val="0"/>
        <w:snapToGrid w:val="0"/>
        <w:spacing w:before="48" w:beforeLines="20" w:after="48" w:afterLines="20" w:line="520" w:lineRule="exact"/>
        <w:ind w:firstLine="480"/>
        <w:jc w:val="left"/>
        <w:outlineLvl w:val="2"/>
        <w:rPr>
          <w:rFonts w:ascii="宋体" w:hAnsi="宋体" w:cs="宋体"/>
          <w:bCs/>
          <w:color w:val="000000" w:themeColor="text1"/>
          <w:kern w:val="0"/>
          <w:sz w:val="24"/>
          <w:szCs w:val="24"/>
          <w14:textFill>
            <w14:solidFill>
              <w14:schemeClr w14:val="tx1"/>
            </w14:solidFill>
          </w14:textFill>
        </w:rPr>
      </w:pPr>
      <w:bookmarkStart w:id="637" w:name="_Toc19769"/>
      <w:bookmarkStart w:id="638" w:name="_Toc30883"/>
      <w:r>
        <w:rPr>
          <w:rFonts w:hint="eastAsia" w:ascii="宋体" w:hAnsi="宋体" w:cs="宋体"/>
          <w:bCs/>
          <w:color w:val="000000" w:themeColor="text1"/>
          <w:kern w:val="0"/>
          <w:sz w:val="24"/>
          <w:szCs w:val="24"/>
          <w14:textFill>
            <w14:solidFill>
              <w14:schemeClr w14:val="tx1"/>
            </w14:solidFill>
          </w14:textFill>
        </w:rPr>
        <w:t>根据以上分析可知，本项目大气、地下水、地表水环境风险潜势均为</w:t>
      </w:r>
      <w:r>
        <w:rPr>
          <w:rFonts w:hint="eastAsia" w:ascii="宋体" w:hAnsi="宋体" w:cs="宋体"/>
          <w:bCs/>
          <w:color w:val="000000" w:themeColor="text1"/>
          <w:kern w:val="0"/>
          <w:sz w:val="24"/>
          <w:szCs w:val="24"/>
          <w14:textFill>
            <w14:solidFill>
              <w14:schemeClr w14:val="tx1"/>
            </w14:solidFill>
          </w14:textFill>
        </w:rPr>
        <w:fldChar w:fldCharType="begin"/>
      </w:r>
      <w:r>
        <w:rPr>
          <w:rFonts w:hint="eastAsia" w:ascii="宋体" w:hAnsi="宋体" w:cs="宋体"/>
          <w:bCs/>
          <w:color w:val="000000" w:themeColor="text1"/>
          <w:kern w:val="0"/>
          <w:sz w:val="24"/>
          <w:szCs w:val="24"/>
          <w14:textFill>
            <w14:solidFill>
              <w14:schemeClr w14:val="tx1"/>
            </w14:solidFill>
          </w14:textFill>
        </w:rPr>
        <w:instrText xml:space="preserve"> = 1 \* ROMAN </w:instrText>
      </w:r>
      <w:r>
        <w:rPr>
          <w:rFonts w:hint="eastAsia" w:ascii="宋体" w:hAnsi="宋体" w:cs="宋体"/>
          <w:bCs/>
          <w:color w:val="000000" w:themeColor="text1"/>
          <w:kern w:val="0"/>
          <w:sz w:val="24"/>
          <w:szCs w:val="24"/>
          <w14:textFill>
            <w14:solidFill>
              <w14:schemeClr w14:val="tx1"/>
            </w14:solidFill>
          </w14:textFill>
        </w:rPr>
        <w:fldChar w:fldCharType="separate"/>
      </w:r>
      <w:r>
        <w:rPr>
          <w:rFonts w:hint="eastAsia" w:ascii="宋体" w:hAnsi="宋体" w:cs="宋体"/>
          <w:bCs/>
          <w:color w:val="000000" w:themeColor="text1"/>
          <w:kern w:val="0"/>
          <w:sz w:val="24"/>
          <w:szCs w:val="24"/>
          <w14:textFill>
            <w14:solidFill>
              <w14:schemeClr w14:val="tx1"/>
            </w14:solidFill>
          </w14:textFill>
        </w:rPr>
        <w:t>I</w:t>
      </w:r>
      <w:r>
        <w:rPr>
          <w:rFonts w:hint="eastAsia" w:ascii="宋体" w:hAnsi="宋体" w:cs="宋体"/>
          <w:bCs/>
          <w:color w:val="000000" w:themeColor="text1"/>
          <w:kern w:val="0"/>
          <w:sz w:val="24"/>
          <w:szCs w:val="24"/>
          <w14:textFill>
            <w14:solidFill>
              <w14:schemeClr w14:val="tx1"/>
            </w14:solidFill>
          </w14:textFill>
        </w:rPr>
        <w:fldChar w:fldCharType="end"/>
      </w:r>
      <w:r>
        <w:rPr>
          <w:rFonts w:hint="eastAsia" w:ascii="宋体" w:hAnsi="宋体" w:cs="宋体"/>
          <w:bCs/>
          <w:color w:val="000000" w:themeColor="text1"/>
          <w:kern w:val="0"/>
          <w:sz w:val="24"/>
          <w:szCs w:val="24"/>
          <w14:textFill>
            <w14:solidFill>
              <w14:schemeClr w14:val="tx1"/>
            </w14:solidFill>
          </w14:textFill>
        </w:rPr>
        <w:t>。</w:t>
      </w:r>
      <w:bookmarkEnd w:id="637"/>
      <w:bookmarkEnd w:id="638"/>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39" w:name="_Toc28000"/>
      <w:bookmarkStart w:id="640" w:name="_Toc578"/>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.3.5环境风险等级划分</w:t>
      </w:r>
      <w:bookmarkEnd w:id="639"/>
      <w:bookmarkEnd w:id="640"/>
    </w:p>
    <w:p>
      <w:pPr>
        <w:pStyle w:val="428"/>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根据《建设项目环境风险评价技术导则》（HJ169-2018），环境风险评价工作等级划分见表</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.3-9。</w:t>
      </w:r>
    </w:p>
    <w:p>
      <w:pPr>
        <w:pStyle w:val="2"/>
        <w:adjustRightInd w:val="0"/>
        <w:snapToGrid w:val="0"/>
        <w:spacing w:after="0" w:line="360" w:lineRule="auto"/>
        <w:ind w:firstLine="482" w:firstLineChars="20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表</w:t>
      </w:r>
      <w:r>
        <w:rPr>
          <w:rFonts w:hint="eastAsia" w:ascii="Times New Roman" w:hAnsi="Times New Roman" w:cs="Times New Roman"/>
          <w:b/>
          <w:bCs/>
          <w:color w:val="000000" w:themeColor="text1"/>
          <w:sz w:val="24"/>
          <w:szCs w:val="24"/>
          <w:lang w:val="en-US" w:eastAsia="zh-CN"/>
          <w14:textFill>
            <w14:solidFill>
              <w14:schemeClr w14:val="tx1"/>
            </w14:solidFill>
          </w14:textFill>
        </w:rPr>
        <w:t>7</w:t>
      </w:r>
      <w:r>
        <w:rPr>
          <w:rFonts w:ascii="Times New Roman" w:hAnsi="Times New Roman" w:cs="Times New Roman"/>
          <w:b/>
          <w:bCs/>
          <w:color w:val="000000" w:themeColor="text1"/>
          <w:sz w:val="24"/>
          <w:szCs w:val="24"/>
          <w14:textFill>
            <w14:solidFill>
              <w14:schemeClr w14:val="tx1"/>
            </w14:solidFill>
          </w14:textFill>
        </w:rPr>
        <w:t>.3-9</w:t>
      </w:r>
      <w:r>
        <w:rPr>
          <w:rFonts w:hint="eastAsia"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环境风险评价工作等级划分表</w:t>
      </w:r>
    </w:p>
    <w:tbl>
      <w:tblPr>
        <w:tblStyle w:val="87"/>
        <w:tblW w:w="909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98"/>
        <w:gridCol w:w="1846"/>
        <w:gridCol w:w="1848"/>
        <w:gridCol w:w="1848"/>
        <w:gridCol w:w="185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13" w:hRule="atLeast"/>
        </w:trPr>
        <w:tc>
          <w:tcPr>
            <w:tcW w:w="1698" w:type="dxa"/>
            <w:tcBorders>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环境风险潜势</w:t>
            </w:r>
          </w:p>
        </w:tc>
        <w:tc>
          <w:tcPr>
            <w:tcW w:w="1846" w:type="dxa"/>
            <w:tcBorders>
              <w:left w:val="single" w:color="000000" w:sz="4" w:space="0"/>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Ⅳ、Ⅳ</w:t>
            </w:r>
            <w:r>
              <w:rPr>
                <w:rFonts w:ascii="Times New Roman" w:hAnsi="Times New Roman" w:cs="Times New Roman"/>
                <w:color w:val="000000" w:themeColor="text1"/>
                <w:sz w:val="18"/>
                <w:szCs w:val="18"/>
                <w:vertAlign w:val="superscript"/>
                <w14:textFill>
                  <w14:solidFill>
                    <w14:schemeClr w14:val="tx1"/>
                  </w14:solidFill>
                </w14:textFill>
              </w:rPr>
              <w:t>+</w:t>
            </w:r>
          </w:p>
        </w:tc>
        <w:tc>
          <w:tcPr>
            <w:tcW w:w="1848" w:type="dxa"/>
            <w:tcBorders>
              <w:left w:val="single" w:color="000000" w:sz="4" w:space="0"/>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Ⅲ</w:t>
            </w:r>
          </w:p>
        </w:tc>
        <w:tc>
          <w:tcPr>
            <w:tcW w:w="1848" w:type="dxa"/>
            <w:tcBorders>
              <w:left w:val="single" w:color="000000" w:sz="4" w:space="0"/>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Ⅱ</w:t>
            </w:r>
          </w:p>
        </w:tc>
        <w:tc>
          <w:tcPr>
            <w:tcW w:w="1856" w:type="dxa"/>
            <w:tcBorders>
              <w:left w:val="single" w:color="000000" w:sz="4" w:space="0"/>
              <w:bottom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698" w:type="dxa"/>
            <w:tcBorders>
              <w:top w:val="single" w:color="000000" w:sz="4" w:space="0"/>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评价工作等级</w:t>
            </w:r>
          </w:p>
        </w:tc>
        <w:tc>
          <w:tcPr>
            <w:tcW w:w="1846" w:type="dxa"/>
            <w:tcBorders>
              <w:top w:val="single" w:color="000000" w:sz="4" w:space="0"/>
              <w:left w:val="single" w:color="000000" w:sz="4" w:space="0"/>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w:t>
            </w:r>
          </w:p>
        </w:tc>
        <w:tc>
          <w:tcPr>
            <w:tcW w:w="1848" w:type="dxa"/>
            <w:tcBorders>
              <w:top w:val="single" w:color="000000" w:sz="4" w:space="0"/>
              <w:left w:val="single" w:color="000000" w:sz="4" w:space="0"/>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w:t>
            </w:r>
          </w:p>
        </w:tc>
        <w:tc>
          <w:tcPr>
            <w:tcW w:w="1848" w:type="dxa"/>
            <w:tcBorders>
              <w:top w:val="single" w:color="000000" w:sz="4" w:space="0"/>
              <w:left w:val="single" w:color="000000" w:sz="4" w:space="0"/>
              <w:bottom w:val="single" w:color="000000" w:sz="4" w:space="0"/>
              <w:right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w:t>
            </w:r>
          </w:p>
        </w:tc>
        <w:tc>
          <w:tcPr>
            <w:tcW w:w="1856" w:type="dxa"/>
            <w:tcBorders>
              <w:top w:val="single" w:color="000000" w:sz="4" w:space="0"/>
              <w:left w:val="single" w:color="000000" w:sz="4" w:space="0"/>
              <w:bottom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简单分析 </w:t>
            </w:r>
            <w:r>
              <w:rPr>
                <w:rFonts w:ascii="Times New Roman" w:hAnsi="Times New Roman" w:cs="Times New Roman"/>
                <w:color w:val="000000" w:themeColor="text1"/>
                <w:sz w:val="18"/>
                <w:szCs w:val="18"/>
                <w:vertAlign w:val="superscript"/>
                <w14:textFill>
                  <w14:solidFill>
                    <w14:schemeClr w14:val="tx1"/>
                  </w14:solidFill>
                </w14:textFill>
              </w:rPr>
              <w:t>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7" w:hRule="atLeast"/>
        </w:trPr>
        <w:tc>
          <w:tcPr>
            <w:tcW w:w="9096" w:type="dxa"/>
            <w:gridSpan w:val="5"/>
            <w:tcBorders>
              <w:top w:val="single" w:color="000000" w:sz="4" w:space="0"/>
            </w:tcBorders>
          </w:tcPr>
          <w:p>
            <w:pPr>
              <w:pStyle w:val="383"/>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a </w:t>
            </w:r>
            <w:r>
              <w:rPr>
                <w:rFonts w:ascii="Times New Roman" w:hAnsi="Times New Roman" w:cs="Times New Roman"/>
                <w:color w:val="000000" w:themeColor="text1"/>
                <w:spacing w:val="-5"/>
                <w:sz w:val="18"/>
                <w:szCs w:val="18"/>
                <w14:textFill>
                  <w14:solidFill>
                    <w14:schemeClr w14:val="tx1"/>
                  </w14:solidFill>
                </w14:textFill>
              </w:rPr>
              <w:t>是相对于详细评价工作内容而言，在描述危险物质、环境影响途径、环境危害后果、风险防范措施等方面给出定</w:t>
            </w:r>
            <w:r>
              <w:rPr>
                <w:rFonts w:ascii="Times New Roman" w:hAnsi="Times New Roman" w:cs="Times New Roman"/>
                <w:color w:val="000000" w:themeColor="text1"/>
                <w:sz w:val="18"/>
                <w:szCs w:val="18"/>
                <w14:textFill>
                  <w14:solidFill>
                    <w14:schemeClr w14:val="tx1"/>
                  </w14:solidFill>
                </w14:textFill>
              </w:rPr>
              <w:t>性的说明。见附录 A。</w:t>
            </w:r>
          </w:p>
        </w:tc>
      </w:tr>
    </w:tbl>
    <w:p>
      <w:pPr>
        <w:autoSpaceDE w:val="0"/>
        <w:autoSpaceDN w:val="0"/>
        <w:adjustRightInd w:val="0"/>
        <w:spacing w:line="520" w:lineRule="exact"/>
        <w:ind w:firstLine="480" w:firstLineChars="200"/>
        <w:jc w:val="left"/>
        <w:rPr>
          <w:rFonts w:ascii="Times New Roman" w:hAnsi="宋体"/>
          <w:b/>
          <w:color w:val="000000" w:themeColor="text1"/>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综上所述，本项目环境风险评价等级为简单分析</w:t>
      </w:r>
      <w:r>
        <w:rPr>
          <w:rFonts w:hint="eastAsia" w:ascii="Times New Roman" w:hAnsiTheme="minorEastAsia" w:eastAsiaTheme="minorEastAsia"/>
          <w:color w:val="000000" w:themeColor="text1"/>
          <w:kern w:val="0"/>
          <w:sz w:val="24"/>
          <w:szCs w:val="24"/>
          <w14:textFill>
            <w14:solidFill>
              <w14:schemeClr w14:val="tx1"/>
            </w14:solidFill>
          </w14:textFill>
        </w:rPr>
        <w:t>，只需</w:t>
      </w:r>
      <w:r>
        <w:rPr>
          <w:rFonts w:ascii="Times New Roman" w:hAnsiTheme="minorEastAsia" w:eastAsiaTheme="minorEastAsia"/>
          <w:color w:val="000000" w:themeColor="text1"/>
          <w:kern w:val="0"/>
          <w:sz w:val="24"/>
          <w:szCs w:val="24"/>
          <w14:textFill>
            <w14:solidFill>
              <w14:schemeClr w14:val="tx1"/>
            </w14:solidFill>
          </w14:textFill>
        </w:rPr>
        <w:t>在描述危险物质、环境影响途径、环境危害后果、风险防范措施等方面给出定性的说明。</w:t>
      </w:r>
      <w:bookmarkStart w:id="933" w:name="_GoBack"/>
      <w:bookmarkEnd w:id="933"/>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41" w:name="_Toc15526"/>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.4</w:t>
      </w:r>
      <w:r>
        <w:rPr>
          <w:rFonts w:hint="eastAsia" w:ascii="Times New Roman" w:hAnsi="Times New Roman" w:eastAsia="黑体"/>
          <w:b/>
          <w:color w:val="000000" w:themeColor="text1"/>
          <w:sz w:val="32"/>
          <w:szCs w:val="32"/>
          <w14:textFill>
            <w14:solidFill>
              <w14:schemeClr w14:val="tx1"/>
            </w14:solidFill>
          </w14:textFill>
        </w:rPr>
        <w:t>环境</w:t>
      </w:r>
      <w:r>
        <w:rPr>
          <w:rFonts w:hint="eastAsia" w:ascii="黑体" w:hAnsi="黑体" w:eastAsia="黑体"/>
          <w:b/>
          <w:color w:val="000000" w:themeColor="text1"/>
          <w:sz w:val="32"/>
          <w:szCs w:val="32"/>
          <w14:textFill>
            <w14:solidFill>
              <w14:schemeClr w14:val="tx1"/>
            </w14:solidFill>
          </w14:textFill>
        </w:rPr>
        <w:t>风险识别</w:t>
      </w:r>
      <w:bookmarkEnd w:id="641"/>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42" w:name="_Toc5711"/>
      <w:bookmarkStart w:id="643" w:name="_Toc20067"/>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.4.1环境风险物质识别</w:t>
      </w:r>
      <w:bookmarkEnd w:id="642"/>
      <w:bookmarkEnd w:id="643"/>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根据《建设项目环境风险评价技术导则》（HJ169-2018）附录B，确定本项目生产过程使用的原辅材料中涉及到的环境风险物质为氢氧化钠、氢氟酸、氟硅酸及产品氟硅酸钠。本项目涉及到危险化学品理化特性和危险特性见下表。</w:t>
      </w:r>
    </w:p>
    <w:p>
      <w:pPr>
        <w:spacing w:before="120" w:beforeLines="50" w:line="520" w:lineRule="exact"/>
        <w:ind w:firstLine="482" w:firstLineChars="200"/>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ascii="Times New Roman" w:hAnsi="Times New Roman" w:eastAsiaTheme="minorEastAsia"/>
          <w:b/>
          <w:color w:val="000000" w:themeColor="text1"/>
          <w:sz w:val="24"/>
          <w:szCs w:val="24"/>
          <w14:textFill>
            <w14:solidFill>
              <w14:schemeClr w14:val="tx1"/>
            </w14:solidFill>
          </w14:textFill>
        </w:rPr>
        <w:t>.4-1 氟硅酸的理化特性及危险特性表</w:t>
      </w:r>
    </w:p>
    <w:tbl>
      <w:tblPr>
        <w:tblStyle w:val="87"/>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8"/>
        <w:gridCol w:w="1712"/>
        <w:gridCol w:w="1749"/>
        <w:gridCol w:w="1432"/>
        <w:gridCol w:w="481"/>
        <w:gridCol w:w="862"/>
        <w:gridCol w:w="901"/>
        <w:gridCol w:w="308"/>
        <w:gridCol w:w="13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478"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标识</w:t>
            </w:r>
          </w:p>
        </w:tc>
        <w:tc>
          <w:tcPr>
            <w:tcW w:w="8808" w:type="dxa"/>
            <w:gridSpan w:val="8"/>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中文名：氟硅酸；硅氟氢酸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8"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8808" w:type="dxa"/>
            <w:gridSpan w:val="8"/>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英文名：</w:t>
            </w:r>
            <w:r>
              <w:rPr>
                <w:rFonts w:ascii="Times New Roman" w:hAnsi="Times New Roman"/>
                <w:bCs/>
                <w:color w:val="000000" w:themeColor="text1"/>
                <w:spacing w:val="10"/>
                <w:sz w:val="18"/>
                <w:szCs w:val="18"/>
                <w14:textFill>
                  <w14:solidFill>
                    <w14:schemeClr w14:val="tx1"/>
                  </w14:solidFill>
                </w14:textFill>
              </w:rPr>
              <w:t>Hexafluorosilicicacid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461"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分子式：</w:t>
            </w:r>
            <w:r>
              <w:rPr>
                <w:rFonts w:ascii="Times New Roman" w:hAnsi="Times New Roman"/>
                <w:bCs/>
                <w:color w:val="000000" w:themeColor="text1"/>
                <w:kern w:val="0"/>
                <w:sz w:val="18"/>
                <w:szCs w:val="18"/>
                <w14:textFill>
                  <w14:solidFill>
                    <w14:schemeClr w14:val="tx1"/>
                  </w14:solidFill>
                </w14:textFill>
              </w:rPr>
              <w:t>H</w:t>
            </w:r>
            <w:r>
              <w:rPr>
                <w:rFonts w:ascii="Times New Roman" w:hAnsi="Times New Roman"/>
                <w:bCs/>
                <w:color w:val="000000" w:themeColor="text1"/>
                <w:kern w:val="0"/>
                <w:sz w:val="18"/>
                <w:szCs w:val="18"/>
                <w:vertAlign w:val="subscript"/>
                <w14:textFill>
                  <w14:solidFill>
                    <w14:schemeClr w14:val="tx1"/>
                  </w14:solidFill>
                </w14:textFill>
              </w:rPr>
              <w:t>2</w:t>
            </w:r>
            <w:r>
              <w:rPr>
                <w:rFonts w:ascii="Times New Roman" w:hAnsi="Times New Roman"/>
                <w:bCs/>
                <w:color w:val="000000" w:themeColor="text1"/>
                <w:kern w:val="0"/>
                <w:sz w:val="18"/>
                <w:szCs w:val="18"/>
                <w14:textFill>
                  <w14:solidFill>
                    <w14:schemeClr w14:val="tx1"/>
                  </w14:solidFill>
                </w14:textFill>
              </w:rPr>
              <w:t>[SiF</w:t>
            </w:r>
            <w:r>
              <w:rPr>
                <w:rFonts w:ascii="Times New Roman" w:hAnsi="Times New Roman"/>
                <w:bCs/>
                <w:color w:val="000000" w:themeColor="text1"/>
                <w:kern w:val="0"/>
                <w:sz w:val="18"/>
                <w:szCs w:val="18"/>
                <w:vertAlign w:val="subscript"/>
                <w14:textFill>
                  <w14:solidFill>
                    <w14:schemeClr w14:val="tx1"/>
                  </w14:solidFill>
                </w14:textFill>
              </w:rPr>
              <w:t>6</w:t>
            </w:r>
            <w:r>
              <w:rPr>
                <w:rFonts w:ascii="Times New Roman" w:hAnsi="Times New Roman"/>
                <w:bCs/>
                <w:color w:val="000000" w:themeColor="text1"/>
                <w:kern w:val="0"/>
                <w:sz w:val="18"/>
                <w:szCs w:val="18"/>
                <w14:textFill>
                  <w14:solidFill>
                    <w14:schemeClr w14:val="tx1"/>
                  </w14:solidFill>
                </w14:textFill>
              </w:rPr>
              <w:t>]</w:t>
            </w:r>
          </w:p>
        </w:tc>
        <w:tc>
          <w:tcPr>
            <w:tcW w:w="2775" w:type="dxa"/>
            <w:gridSpan w:val="3"/>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分子量：</w:t>
            </w:r>
            <w:r>
              <w:rPr>
                <w:rFonts w:ascii="Times New Roman" w:hAnsi="Times New Roman"/>
                <w:bCs/>
                <w:color w:val="000000" w:themeColor="text1"/>
                <w:sz w:val="18"/>
                <w:szCs w:val="18"/>
                <w14:textFill>
                  <w14:solidFill>
                    <w14:schemeClr w14:val="tx1"/>
                  </w14:solidFill>
                </w14:textFill>
              </w:rPr>
              <w:t>144.09</w:t>
            </w:r>
          </w:p>
        </w:tc>
        <w:tc>
          <w:tcPr>
            <w:tcW w:w="2572"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CAS号：</w:t>
            </w:r>
            <w:r>
              <w:rPr>
                <w:rFonts w:ascii="Times New Roman" w:hAnsi="Times New Roman"/>
                <w:bCs/>
                <w:color w:val="000000" w:themeColor="text1"/>
                <w:kern w:val="0"/>
                <w:sz w:val="18"/>
                <w:szCs w:val="18"/>
                <w14:textFill>
                  <w14:solidFill>
                    <w14:schemeClr w14:val="tx1"/>
                  </w14:solidFill>
                </w14:textFill>
              </w:rPr>
              <w:t>16961-83-4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461"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UN编号：1778</w:t>
            </w:r>
          </w:p>
        </w:tc>
        <w:tc>
          <w:tcPr>
            <w:tcW w:w="2775" w:type="dxa"/>
            <w:gridSpan w:val="3"/>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包装类别：0</w:t>
            </w:r>
            <w:r>
              <w:rPr>
                <w:rFonts w:hint="eastAsia" w:ascii="Times New Roman" w:hAnsi="Times New Roman"/>
                <w:bCs/>
                <w:color w:val="000000" w:themeColor="text1"/>
                <w:spacing w:val="10"/>
                <w:sz w:val="18"/>
                <w:szCs w:val="18"/>
                <w14:textFill>
                  <w14:solidFill>
                    <w14:schemeClr w14:val="tx1"/>
                  </w14:solidFill>
                </w14:textFill>
              </w:rPr>
              <w:t>52</w:t>
            </w:r>
          </w:p>
        </w:tc>
        <w:tc>
          <w:tcPr>
            <w:tcW w:w="2572"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478"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理化性质</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外观与性状</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其水溶液为无色透明的发烟液体，有刺激性气味。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熔点（℃）</w:t>
            </w:r>
          </w:p>
        </w:tc>
        <w:tc>
          <w:tcPr>
            <w:tcW w:w="1749"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无资料</w:t>
            </w:r>
          </w:p>
        </w:tc>
        <w:tc>
          <w:tcPr>
            <w:tcW w:w="143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沸点（℃）</w:t>
            </w:r>
          </w:p>
        </w:tc>
        <w:tc>
          <w:tcPr>
            <w:tcW w:w="1343"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108.5</w:t>
            </w:r>
          </w:p>
        </w:tc>
        <w:tc>
          <w:tcPr>
            <w:tcW w:w="1209"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闪点（℃）</w:t>
            </w:r>
          </w:p>
        </w:tc>
        <w:tc>
          <w:tcPr>
            <w:tcW w:w="1363"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饱和蒸气压（kPa）</w:t>
            </w:r>
          </w:p>
        </w:tc>
        <w:tc>
          <w:tcPr>
            <w:tcW w:w="1749"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无资料</w:t>
            </w:r>
          </w:p>
        </w:tc>
        <w:tc>
          <w:tcPr>
            <w:tcW w:w="143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相对密度(水=1)</w:t>
            </w:r>
          </w:p>
        </w:tc>
        <w:tc>
          <w:tcPr>
            <w:tcW w:w="1343"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1.32</w:t>
            </w:r>
          </w:p>
        </w:tc>
        <w:tc>
          <w:tcPr>
            <w:tcW w:w="1209"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相对密度(空气=1)</w:t>
            </w:r>
          </w:p>
        </w:tc>
        <w:tc>
          <w:tcPr>
            <w:tcW w:w="1363"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燃烧热（kJ/mol）</w:t>
            </w:r>
          </w:p>
        </w:tc>
        <w:tc>
          <w:tcPr>
            <w:tcW w:w="1749"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43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引燃温度</w:t>
            </w:r>
          </w:p>
        </w:tc>
        <w:tc>
          <w:tcPr>
            <w:tcW w:w="1343"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209"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363"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溶解性</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溶于水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主要用途</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用于制氟硅酸盐和冰晶石，并用于电镀、啤酒消毒、木材防腐等。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 w:hRule="atLeast"/>
        </w:trPr>
        <w:tc>
          <w:tcPr>
            <w:tcW w:w="478"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毒性及健康危害</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侵入途径</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吸入、食入、经皮吸收。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急性毒性</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pacing w:val="-4"/>
                <w:sz w:val="18"/>
                <w:szCs w:val="18"/>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健康危害</w:t>
            </w:r>
          </w:p>
        </w:tc>
        <w:tc>
          <w:tcPr>
            <w:tcW w:w="7096" w:type="dxa"/>
            <w:gridSpan w:val="7"/>
            <w:tcBorders>
              <w:tl2br w:val="nil"/>
              <w:tr2bl w:val="nil"/>
            </w:tcBorders>
            <w:vAlign w:val="center"/>
          </w:tcPr>
          <w:p>
            <w:pPr>
              <w:rPr>
                <w:rFonts w:ascii="Times New Roman" w:hAnsi="Times New Roman"/>
                <w:bCs/>
                <w:color w:val="000000" w:themeColor="text1"/>
                <w:spacing w:val="-4"/>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皮肤直接接触，引起发红，局部有烧灼感，重者有溃疡形成。对机体的作用似氢氟酸，但较弱。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7"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急救措施</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吸入：迅速脱离现场至空气新鲜处。保持呼吸道通畅。如呼吸困难，给输氧。如呼吸停止，立即进行人工呼吸。就医。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食入：用水漱口，给饮牛奶或蛋清。就医。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皮肤接触：立即脱去污染的衣着，用大量流动清水冲洗至少15分钟。就医。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眼睛接触：立即提起眼睑，用大量流动清水或生理盐水彻底冲洗至少15分钟。就医。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478"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个体防护</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工程控制</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密闭操作，注意通风。尽可能机械化、自动化、提供安全淋浴和洗眼设备。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呼吸系统防护</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可能接触其烟雾时，必须佩戴自吸过滤式防毒面具（全面罩）或空气呼吸器。紧急事态抢救或撤离时，应佩戴氧气呼吸器。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眼睛防护</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呼吸系统防护中已作防护。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身体防护</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穿橡胶耐酸碱工作服。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手防护</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戴橡胶耐酸碱手套。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其他防护</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工作现场禁止吸烟、进食和饮水。工作完毕，淋浴更衣。单独存放被毒物污染的衣服，洗后备用。注意个人清洁卫生。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478"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燃烧爆炸危险性</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燃烧性</w:t>
            </w:r>
          </w:p>
        </w:tc>
        <w:tc>
          <w:tcPr>
            <w:tcW w:w="3662"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不燃，具强腐蚀性，可致人体灼伤</w:t>
            </w:r>
          </w:p>
        </w:tc>
        <w:tc>
          <w:tcPr>
            <w:tcW w:w="1763"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有害燃烧产物</w:t>
            </w:r>
          </w:p>
        </w:tc>
        <w:tc>
          <w:tcPr>
            <w:tcW w:w="1671"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氟化氢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危险特性</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受热分解放出有毒的氟化物气体。具有较强的腐蚀性。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2"/>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建规火险分级</w:t>
            </w:r>
          </w:p>
        </w:tc>
        <w:tc>
          <w:tcPr>
            <w:tcW w:w="1749"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戊</w:t>
            </w:r>
          </w:p>
        </w:tc>
        <w:tc>
          <w:tcPr>
            <w:tcW w:w="143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稳定性</w:t>
            </w:r>
          </w:p>
        </w:tc>
        <w:tc>
          <w:tcPr>
            <w:tcW w:w="3915" w:type="dxa"/>
            <w:gridSpan w:val="5"/>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禁忌物</w:t>
            </w:r>
          </w:p>
        </w:tc>
        <w:tc>
          <w:tcPr>
            <w:tcW w:w="7096" w:type="dxa"/>
            <w:gridSpan w:val="7"/>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碱类、易燃或可燃物。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包装方法</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装入塑料瓶，特种电木、橡胶或铅容器，严封后再装入坚固木箱中。木箱内用不燃材料衬垫，每箱净重不超过20公斤，3至5公斤包装每箱限装4瓶；磨砂口玻璃瓶或螺纹口玻璃瓶外普通木箱。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操作注意事项</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密闭操作，注意通风。操作尽可能机械化、自动化。操作人员必须经过专门培训，严格遵守操作规程。建议操作人员佩戴自吸过滤式防毒面具（全面罩），穿橡胶耐酸碱服，戴橡胶耐酸碱手套。远离易燃、可燃物。防止蒸气泄漏到工作场所空气中。避免与碱类接触。搬运时要轻装轻卸，防止包装及容器损坏。配备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储存注意事项</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储存于阴凉、通风的库房。远离火种、热源。库温不宜超过30℃。保持容器密封。应与易（可）燃物、碱类分开存放，切忌混储。储区应备有泄漏应急处理设备和合适的收容材料。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应急处理</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迅速撤离泄漏污染区人员至安全区，并进行隔离，严格限制出入。建议应急处理人员戴自给正压式呼吸器，穿防酸碱工作服。不要直接接触泄漏物。尽可能切断泄漏源。</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小量泄漏：用砂土或其它不燃材料吸附或吸收。也可以用大量水冲洗，洗水稀释后放入废水系统。</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大量泄漏：构筑围堤或挖坑收容。用泡沫覆盖，降低蒸气灾害。用泵转移至槽车或专用收集器内，回收或运至废物处理场所处置。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运输注意事项</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铁路运输应严格按照铁道部《危险货物运输规则》中的危险货物配装表进行配装。起运时包装要完整，装载应稳妥。运输过程中要确保容器不泄漏、不倒塌、不坠落、不损坏。严禁与易燃物或可燃物、碱类、食用化学品等混装混运。运输时运输车辆应配备泄漏应急处理设备。运输途中应防曝晒、雨淋，防高温。公路运输时要按规定路线行驶，勿在居民区和人口稠密区停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478"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灭火方法</w:t>
            </w:r>
          </w:p>
        </w:tc>
        <w:tc>
          <w:tcPr>
            <w:tcW w:w="709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消防人员必须穿全身耐酸碱消防服。</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灭火剂：泡沫、干粉、二氧化碳、砂土。</w:t>
            </w:r>
          </w:p>
        </w:tc>
      </w:tr>
    </w:tbl>
    <w:p>
      <w:pPr>
        <w:autoSpaceDE w:val="0"/>
        <w:autoSpaceDN w:val="0"/>
        <w:adjustRightInd w:val="0"/>
        <w:spacing w:line="520" w:lineRule="exact"/>
        <w:ind w:firstLine="2409" w:firstLineChars="1000"/>
        <w:jc w:val="left"/>
        <w:rPr>
          <w:rFonts w:ascii="Times New Roman" w:hAnsiTheme="minorEastAsia" w:eastAsiaTheme="minorEastAsia"/>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ascii="Times New Roman" w:hAnsi="Times New Roman" w:eastAsiaTheme="minorEastAsia"/>
          <w:b/>
          <w:color w:val="000000" w:themeColor="text1"/>
          <w:sz w:val="24"/>
          <w:szCs w:val="24"/>
          <w14:textFill>
            <w14:solidFill>
              <w14:schemeClr w14:val="tx1"/>
            </w14:solidFill>
          </w14:textFill>
        </w:rPr>
        <w:t>.4-</w:t>
      </w:r>
      <w:r>
        <w:rPr>
          <w:rFonts w:hint="eastAsia" w:ascii="Times New Roman" w:hAnsi="Times New Roman" w:eastAsiaTheme="minorEastAsia"/>
          <w:b/>
          <w:color w:val="000000" w:themeColor="text1"/>
          <w:sz w:val="24"/>
          <w:szCs w:val="24"/>
          <w14:textFill>
            <w14:solidFill>
              <w14:schemeClr w14:val="tx1"/>
            </w14:solidFill>
          </w14:textFill>
        </w:rPr>
        <w:t>2</w:t>
      </w:r>
      <w:r>
        <w:rPr>
          <w:rFonts w:ascii="Times New Roman" w:hAnsi="Times New Roman" w:eastAsiaTheme="minorEastAsia"/>
          <w:b/>
          <w:color w:val="000000" w:themeColor="text1"/>
          <w:sz w:val="24"/>
          <w:szCs w:val="24"/>
          <w14:textFill>
            <w14:solidFill>
              <w14:schemeClr w14:val="tx1"/>
            </w14:solidFill>
          </w14:textFill>
        </w:rPr>
        <w:t xml:space="preserve"> 氟硅酸</w:t>
      </w:r>
      <w:r>
        <w:rPr>
          <w:rFonts w:hint="eastAsia" w:ascii="Times New Roman" w:hAnsi="Times New Roman" w:eastAsiaTheme="minorEastAsia"/>
          <w:b/>
          <w:color w:val="000000" w:themeColor="text1"/>
          <w:sz w:val="24"/>
          <w:szCs w:val="24"/>
          <w14:textFill>
            <w14:solidFill>
              <w14:schemeClr w14:val="tx1"/>
            </w14:solidFill>
          </w14:textFill>
        </w:rPr>
        <w:t>钠</w:t>
      </w:r>
      <w:r>
        <w:rPr>
          <w:rFonts w:ascii="Times New Roman" w:hAnsi="Times New Roman" w:eastAsiaTheme="minorEastAsia"/>
          <w:b/>
          <w:color w:val="000000" w:themeColor="text1"/>
          <w:sz w:val="24"/>
          <w:szCs w:val="24"/>
          <w14:textFill>
            <w14:solidFill>
              <w14:schemeClr w14:val="tx1"/>
            </w14:solidFill>
          </w14:textFill>
        </w:rPr>
        <w:t>的理化特性及危险特性表</w:t>
      </w:r>
    </w:p>
    <w:tbl>
      <w:tblPr>
        <w:tblStyle w:val="87"/>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5"/>
        <w:gridCol w:w="1712"/>
        <w:gridCol w:w="1432"/>
        <w:gridCol w:w="318"/>
        <w:gridCol w:w="1114"/>
        <w:gridCol w:w="318"/>
        <w:gridCol w:w="353"/>
        <w:gridCol w:w="284"/>
        <w:gridCol w:w="1915"/>
        <w:gridCol w:w="13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475"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标识</w:t>
            </w:r>
          </w:p>
        </w:tc>
        <w:tc>
          <w:tcPr>
            <w:tcW w:w="8811" w:type="dxa"/>
            <w:gridSpan w:val="9"/>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中文名：氟硅酸钠；六氟合硅酸(2-)钠；六氟硅酸钠；氟硅化钠；六氟合硅酸钠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8"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8811" w:type="dxa"/>
            <w:gridSpan w:val="9"/>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英文名：sodiumhexafluorosilicate</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144"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分子式：</w:t>
            </w:r>
            <w:r>
              <w:rPr>
                <w:rFonts w:ascii="Times New Roman" w:hAnsi="Times New Roman"/>
                <w:bCs/>
                <w:color w:val="000000" w:themeColor="text1"/>
                <w:sz w:val="18"/>
                <w:szCs w:val="18"/>
                <w14:textFill>
                  <w14:solidFill>
                    <w14:schemeClr w14:val="tx1"/>
                  </w14:solidFill>
                </w14:textFill>
              </w:rPr>
              <w:t>Na2SiF6</w:t>
            </w:r>
          </w:p>
        </w:tc>
        <w:tc>
          <w:tcPr>
            <w:tcW w:w="2387" w:type="dxa"/>
            <w:gridSpan w:val="5"/>
            <w:tcBorders>
              <w:tl2br w:val="nil"/>
              <w:tr2bl w:val="nil"/>
            </w:tcBorders>
            <w:vAlign w:val="center"/>
          </w:tcPr>
          <w:p>
            <w:pPr>
              <w:rPr>
                <w:rFonts w:ascii="Times New Roman" w:hAnsi="Times New Roman"/>
                <w:color w:val="000000" w:themeColor="text1"/>
                <w:spacing w:val="10"/>
                <w:sz w:val="18"/>
                <w:szCs w:val="18"/>
                <w14:textFill>
                  <w14:solidFill>
                    <w14:schemeClr w14:val="tx1"/>
                  </w14:solidFill>
                </w14:textFill>
              </w:rPr>
            </w:pPr>
            <w:r>
              <w:rPr>
                <w:rFonts w:ascii="Times New Roman" w:hAnsi="Times New Roman"/>
                <w:color w:val="000000" w:themeColor="text1"/>
                <w:spacing w:val="10"/>
                <w:sz w:val="18"/>
                <w:szCs w:val="18"/>
                <w14:textFill>
                  <w14:solidFill>
                    <w14:schemeClr w14:val="tx1"/>
                  </w14:solidFill>
                </w14:textFill>
              </w:rPr>
              <w:t>分子量：</w:t>
            </w:r>
            <w:r>
              <w:rPr>
                <w:rFonts w:ascii="Times New Roman" w:hAnsi="Times New Roman"/>
                <w:color w:val="000000" w:themeColor="text1"/>
                <w:sz w:val="18"/>
                <w:szCs w:val="18"/>
                <w14:textFill>
                  <w14:solidFill>
                    <w14:schemeClr w14:val="tx1"/>
                  </w14:solidFill>
                </w14:textFill>
              </w:rPr>
              <w:t>188.05</w:t>
            </w:r>
          </w:p>
        </w:tc>
        <w:tc>
          <w:tcPr>
            <w:tcW w:w="3280" w:type="dxa"/>
            <w:gridSpan w:val="2"/>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CAS号：</w:t>
            </w:r>
            <w:r>
              <w:rPr>
                <w:rFonts w:ascii="Times New Roman" w:hAnsi="Times New Roman"/>
                <w:color w:val="000000" w:themeColor="text1"/>
                <w:kern w:val="0"/>
                <w:sz w:val="18"/>
                <w:szCs w:val="18"/>
                <w14:textFill>
                  <w14:solidFill>
                    <w14:schemeClr w14:val="tx1"/>
                  </w14:solidFill>
                </w14:textFill>
              </w:rPr>
              <w:t>16893-85-9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144"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UN编号：2674</w:t>
            </w:r>
          </w:p>
        </w:tc>
        <w:tc>
          <w:tcPr>
            <w:tcW w:w="2387" w:type="dxa"/>
            <w:gridSpan w:val="5"/>
            <w:tcBorders>
              <w:tl2br w:val="nil"/>
              <w:tr2bl w:val="nil"/>
            </w:tcBorders>
            <w:vAlign w:val="center"/>
          </w:tcPr>
          <w:p>
            <w:pPr>
              <w:rPr>
                <w:rFonts w:ascii="Times New Roman" w:hAnsi="Times New Roman"/>
                <w:color w:val="000000" w:themeColor="text1"/>
                <w:spacing w:val="10"/>
                <w:sz w:val="18"/>
                <w:szCs w:val="18"/>
                <w14:textFill>
                  <w14:solidFill>
                    <w14:schemeClr w14:val="tx1"/>
                  </w14:solidFill>
                </w14:textFill>
              </w:rPr>
            </w:pPr>
            <w:r>
              <w:rPr>
                <w:rFonts w:ascii="Times New Roman" w:hAnsi="Times New Roman"/>
                <w:color w:val="000000" w:themeColor="text1"/>
                <w:spacing w:val="10"/>
                <w:sz w:val="18"/>
                <w:szCs w:val="18"/>
                <w14:textFill>
                  <w14:solidFill>
                    <w14:schemeClr w14:val="tx1"/>
                  </w14:solidFill>
                </w14:textFill>
              </w:rPr>
              <w:t>包装类别：/</w:t>
            </w:r>
          </w:p>
        </w:tc>
        <w:tc>
          <w:tcPr>
            <w:tcW w:w="3280" w:type="dxa"/>
            <w:gridSpan w:val="2"/>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475"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理化性质</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外观与性状</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白色颗粒或结晶性粉末。无臭。无味。有吸湿性。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熔点（℃）</w:t>
            </w:r>
          </w:p>
        </w:tc>
        <w:tc>
          <w:tcPr>
            <w:tcW w:w="1432"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无资料</w:t>
            </w:r>
          </w:p>
        </w:tc>
        <w:tc>
          <w:tcPr>
            <w:tcW w:w="1432" w:type="dxa"/>
            <w:gridSpan w:val="2"/>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沸点（℃）</w:t>
            </w:r>
          </w:p>
        </w:tc>
        <w:tc>
          <w:tcPr>
            <w:tcW w:w="955" w:type="dxa"/>
            <w:gridSpan w:val="3"/>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无资料</w:t>
            </w:r>
          </w:p>
        </w:tc>
        <w:tc>
          <w:tcPr>
            <w:tcW w:w="1915"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闪点（℃）</w:t>
            </w:r>
          </w:p>
        </w:tc>
        <w:tc>
          <w:tcPr>
            <w:tcW w:w="1365"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饱和蒸气压（kPa）</w:t>
            </w:r>
          </w:p>
        </w:tc>
        <w:tc>
          <w:tcPr>
            <w:tcW w:w="1432"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无资料</w:t>
            </w:r>
          </w:p>
        </w:tc>
        <w:tc>
          <w:tcPr>
            <w:tcW w:w="1432" w:type="dxa"/>
            <w:gridSpan w:val="2"/>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相对密度(水=1)</w:t>
            </w:r>
          </w:p>
        </w:tc>
        <w:tc>
          <w:tcPr>
            <w:tcW w:w="955" w:type="dxa"/>
            <w:gridSpan w:val="3"/>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2.68</w:t>
            </w:r>
          </w:p>
        </w:tc>
        <w:tc>
          <w:tcPr>
            <w:tcW w:w="1915"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相对蒸汽密度(空气=1)</w:t>
            </w:r>
          </w:p>
        </w:tc>
        <w:tc>
          <w:tcPr>
            <w:tcW w:w="1365"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燃烧热（kJ/mol）</w:t>
            </w:r>
          </w:p>
        </w:tc>
        <w:tc>
          <w:tcPr>
            <w:tcW w:w="1432"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无意义</w:t>
            </w:r>
          </w:p>
        </w:tc>
        <w:tc>
          <w:tcPr>
            <w:tcW w:w="1432" w:type="dxa"/>
            <w:gridSpan w:val="2"/>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临界温度（℃）</w:t>
            </w:r>
          </w:p>
        </w:tc>
        <w:tc>
          <w:tcPr>
            <w:tcW w:w="955" w:type="dxa"/>
            <w:gridSpan w:val="3"/>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无意义</w:t>
            </w:r>
          </w:p>
        </w:tc>
        <w:tc>
          <w:tcPr>
            <w:tcW w:w="1915"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临界压力（MPa）</w:t>
            </w:r>
          </w:p>
        </w:tc>
        <w:tc>
          <w:tcPr>
            <w:tcW w:w="1365" w:type="dxa"/>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溶解性</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微溶于水，不溶于乙醇，溶于乙醚等溶剂中。在酸中的溶解度比在水中大。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主要用途</w:t>
            </w:r>
          </w:p>
        </w:tc>
        <w:tc>
          <w:tcPr>
            <w:tcW w:w="7099" w:type="dxa"/>
            <w:gridSpan w:val="8"/>
            <w:tcBorders>
              <w:tl2br w:val="nil"/>
              <w:tr2bl w:val="nil"/>
            </w:tcBorders>
            <w:vAlign w:val="center"/>
          </w:tcPr>
          <w:p>
            <w:pPr>
              <w:widowControl/>
              <w:jc w:val="left"/>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用作杀虫剂、粘着剂，也用于陶瓷、玻璃、搪瓷、木材防腐、医药等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 w:hRule="atLeast"/>
        </w:trPr>
        <w:tc>
          <w:tcPr>
            <w:tcW w:w="475"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毒性及健康危害</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侵入途径</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吸入、食入、经皮吸收。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急性毒性</w:t>
            </w:r>
          </w:p>
        </w:tc>
        <w:tc>
          <w:tcPr>
            <w:tcW w:w="7099" w:type="dxa"/>
            <w:gridSpan w:val="8"/>
            <w:tcBorders>
              <w:tl2br w:val="nil"/>
              <w:tr2bl w:val="nil"/>
            </w:tcBorders>
            <w:vAlign w:val="center"/>
          </w:tcPr>
          <w:p>
            <w:pPr>
              <w:rPr>
                <w:rFonts w:ascii="Times New Roman" w:hAnsi="Times New Roman"/>
                <w:color w:val="000000" w:themeColor="text1"/>
                <w:spacing w:val="-4"/>
                <w:sz w:val="18"/>
                <w:szCs w:val="18"/>
                <w14:textFill>
                  <w14:solidFill>
                    <w14:schemeClr w14:val="tx1"/>
                  </w14:solidFill>
                </w14:textFill>
              </w:rPr>
            </w:pPr>
            <w:r>
              <w:rPr>
                <w:rFonts w:ascii="Times New Roman" w:hAnsi="Times New Roman"/>
                <w:color w:val="000000" w:themeColor="text1"/>
                <w:spacing w:val="-4"/>
                <w:sz w:val="18"/>
                <w:szCs w:val="18"/>
                <w14:textFill>
                  <w14:solidFill>
                    <w14:schemeClr w14:val="tx1"/>
                  </w14:solidFill>
                </w14:textFill>
              </w:rPr>
              <w:t>LD</w:t>
            </w:r>
            <w:r>
              <w:rPr>
                <w:rFonts w:ascii="Times New Roman" w:hAnsi="Times New Roman"/>
                <w:color w:val="000000" w:themeColor="text1"/>
                <w:spacing w:val="-4"/>
                <w:sz w:val="18"/>
                <w:szCs w:val="18"/>
                <w:vertAlign w:val="subscript"/>
                <w14:textFill>
                  <w14:solidFill>
                    <w14:schemeClr w14:val="tx1"/>
                  </w14:solidFill>
                </w14:textFill>
              </w:rPr>
              <w:t>50</w:t>
            </w:r>
            <w:r>
              <w:rPr>
                <w:rFonts w:ascii="Times New Roman" w:hAnsi="Times New Roman"/>
                <w:color w:val="000000" w:themeColor="text1"/>
                <w:spacing w:val="-4"/>
                <w:sz w:val="18"/>
                <w:szCs w:val="18"/>
                <w14:textFill>
                  <w14:solidFill>
                    <w14:schemeClr w14:val="tx1"/>
                  </w14:solidFill>
                </w14:textFill>
              </w:rPr>
              <w:t>：125mg/kg（大鼠经口）</w:t>
            </w:r>
          </w:p>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pacing w:val="-4"/>
                <w:sz w:val="18"/>
                <w:szCs w:val="18"/>
                <w14:textFill>
                  <w14:solidFill>
                    <w14:schemeClr w14:val="tx1"/>
                  </w14:solidFill>
                </w14:textFill>
              </w:rPr>
              <w:t>LC</w:t>
            </w:r>
            <w:r>
              <w:rPr>
                <w:rFonts w:ascii="Times New Roman" w:hAnsi="Times New Roman"/>
                <w:color w:val="000000" w:themeColor="text1"/>
                <w:spacing w:val="-4"/>
                <w:sz w:val="18"/>
                <w:szCs w:val="18"/>
                <w:vertAlign w:val="subscript"/>
                <w14:textFill>
                  <w14:solidFill>
                    <w14:schemeClr w14:val="tx1"/>
                  </w14:solidFill>
                </w14:textFill>
              </w:rPr>
              <w:t>50</w:t>
            </w:r>
            <w:r>
              <w:rPr>
                <w:rFonts w:ascii="Times New Roman" w:hAnsi="Times New Roman"/>
                <w:color w:val="000000" w:themeColor="text1"/>
                <w:spacing w:val="-4"/>
                <w:sz w:val="18"/>
                <w:szCs w:val="18"/>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健康危害</w:t>
            </w:r>
          </w:p>
        </w:tc>
        <w:tc>
          <w:tcPr>
            <w:tcW w:w="7099" w:type="dxa"/>
            <w:gridSpan w:val="8"/>
            <w:tcBorders>
              <w:tl2br w:val="nil"/>
              <w:tr2bl w:val="nil"/>
            </w:tcBorders>
            <w:vAlign w:val="center"/>
          </w:tcPr>
          <w:p>
            <w:pPr>
              <w:rPr>
                <w:rFonts w:ascii="Times New Roman" w:hAnsi="Times New Roman"/>
                <w:color w:val="000000" w:themeColor="text1"/>
                <w:spacing w:val="-4"/>
                <w:sz w:val="18"/>
                <w:szCs w:val="18"/>
                <w14:textFill>
                  <w14:solidFill>
                    <w14:schemeClr w14:val="tx1"/>
                  </w14:solidFill>
                </w14:textFill>
              </w:rPr>
            </w:pPr>
            <w:r>
              <w:rPr>
                <w:rFonts w:ascii="Times New Roman" w:hAnsi="Times New Roman"/>
                <w:color w:val="000000" w:themeColor="text1"/>
                <w:spacing w:val="-4"/>
                <w:sz w:val="18"/>
                <w:szCs w:val="18"/>
                <w14:textFill>
                  <w14:solidFill>
                    <w14:schemeClr w14:val="tx1"/>
                  </w14:solidFill>
                </w14:textFill>
              </w:rPr>
              <w:t>误服引起恶心、呕吐、腹痛、腹泻等急性胃肠炎样的急性中毒症状，吐泻物中常含血，严重者可发生抽搐、休克、急性心力衰竭等。可致死。皮肤接触可致皮炎或干裂。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7"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急救措施</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吸入：迅速脱离现场至空气新鲜处。保持呼吸道通畅。呼吸困难时给输氧。呼吸停止时，立即进行人工呼吸。就医。</w:t>
            </w:r>
          </w:p>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食入：给饮牛奶或蛋清。就医。</w:t>
            </w:r>
          </w:p>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皮肤接触：脱去污染的衣着，用大量流动清水彻底冲冼。</w:t>
            </w:r>
          </w:p>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眼睛接触：立即翻开上下眼睑，用流动清水或生理盐水冲洗。就医。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475"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个体防护</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工程控制</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密闭操作，局部排风。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呼吸系统防护</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作业工人应该佩戴防尘口罩。空气中浓度较高时，建议佩戴防毒面具。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眼睛防护</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身体防护</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穿工作服。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手防护</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戴橡皮手套。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其他防护</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工作后，淋浴更衣。注意个人清洁卫生。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475"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燃烧爆炸危险性</w:t>
            </w: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燃烧性</w:t>
            </w:r>
          </w:p>
        </w:tc>
        <w:tc>
          <w:tcPr>
            <w:tcW w:w="1750" w:type="dxa"/>
            <w:gridSpan w:val="2"/>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不燃，有毒</w:t>
            </w:r>
          </w:p>
        </w:tc>
        <w:tc>
          <w:tcPr>
            <w:tcW w:w="1785" w:type="dxa"/>
            <w:gridSpan w:val="3"/>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有害燃烧产物</w:t>
            </w:r>
          </w:p>
        </w:tc>
        <w:tc>
          <w:tcPr>
            <w:tcW w:w="3564" w:type="dxa"/>
            <w:gridSpan w:val="3"/>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氟化氢、氧化硅、氧化钠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危险特性</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不燃。与酸类反应，散发出腐蚀性、剧毒的、刺激性的氟化氢和四氟化硅气体。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2"/>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建规火险分级</w:t>
            </w:r>
          </w:p>
        </w:tc>
        <w:tc>
          <w:tcPr>
            <w:tcW w:w="1750" w:type="dxa"/>
            <w:gridSpan w:val="2"/>
            <w:tcBorders>
              <w:tl2br w:val="nil"/>
              <w:tr2bl w:val="nil"/>
            </w:tcBorders>
            <w:vAlign w:val="center"/>
          </w:tcPr>
          <w:p>
            <w:pPr>
              <w:rPr>
                <w:rFonts w:ascii="Times New Roman" w:hAnsi="Times New Roman"/>
                <w:color w:val="000000" w:themeColor="text1"/>
                <w:spacing w:val="10"/>
                <w:sz w:val="18"/>
                <w:szCs w:val="18"/>
                <w14:textFill>
                  <w14:solidFill>
                    <w14:schemeClr w14:val="tx1"/>
                  </w14:solidFill>
                </w14:textFill>
              </w:rPr>
            </w:pPr>
            <w:r>
              <w:rPr>
                <w:rFonts w:ascii="Times New Roman" w:hAnsi="Times New Roman"/>
                <w:color w:val="000000" w:themeColor="text1"/>
                <w:spacing w:val="10"/>
                <w:sz w:val="18"/>
                <w:szCs w:val="18"/>
                <w14:textFill>
                  <w14:solidFill>
                    <w14:schemeClr w14:val="tx1"/>
                  </w14:solidFill>
                </w14:textFill>
              </w:rPr>
              <w:t>戊</w:t>
            </w:r>
          </w:p>
        </w:tc>
        <w:tc>
          <w:tcPr>
            <w:tcW w:w="1432" w:type="dxa"/>
            <w:gridSpan w:val="2"/>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稳定性</w:t>
            </w:r>
          </w:p>
        </w:tc>
        <w:tc>
          <w:tcPr>
            <w:tcW w:w="3917" w:type="dxa"/>
            <w:gridSpan w:val="4"/>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禁忌物</w:t>
            </w:r>
          </w:p>
        </w:tc>
        <w:tc>
          <w:tcPr>
            <w:tcW w:w="7099" w:type="dxa"/>
            <w:gridSpan w:val="8"/>
            <w:tcBorders>
              <w:tl2br w:val="nil"/>
              <w:tr2bl w:val="nil"/>
            </w:tcBorders>
            <w:vAlign w:val="center"/>
          </w:tcPr>
          <w:p>
            <w:pPr>
              <w:rPr>
                <w:rFonts w:ascii="Times New Roman" w:hAnsi="Times New Roman"/>
                <w:b/>
                <w:color w:val="000000" w:themeColor="text1"/>
                <w:spacing w:val="1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强氧化剂。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包装方法</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塑料袋或二层牛皮纸袋外纤维板桶、胶合板桶、硬纸板桶；塑料袋外塑料桶（固体）；塑料桶（液体）；两层塑料袋或一层塑料袋外麻袋、塑料编织袋、乳胶布袋；塑料袋外复合塑料编织袋（聚丙烯三合一袋、聚乙烯三合一袋、聚丙烯二合一袋、聚乙烯二合一袋）；塑料袋或二层牛皮纸袋外普通木箱；螺纹口玻璃瓶、铁盖压口玻璃瓶、塑料瓶或金属桶（罐）外普通木箱；螺纹口玻璃瓶、塑料瓶或镀锡薄钢板（罐）外满底纹花格箱、纤维板或胶合板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操作注意事项</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pacing w:val="-2"/>
                <w:sz w:val="18"/>
                <w:szCs w:val="18"/>
                <w14:textFill>
                  <w14:solidFill>
                    <w14:schemeClr w14:val="tx1"/>
                  </w14:solidFill>
                </w14:textFill>
              </w:rPr>
              <w:t>密闭操作，局部通风。操作人员必须经过专门的培训，严格遵守操作规程。建议操作人员佩戴自吸过滤式防毒面具（半面罩），戴安全防护眼镜，穿防毒物渗透工作服，戴乳胶手套。避免产生粉尘。避免与氧化剂接触。搬运时要轻装轻卸，防止包装及容器损坏。配备泄漏应急处理设备。倒空的容器可能残留有害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储存注意事项</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储存于阴凉、通风的库房、远离火种、热源。应与氧化剂、食用化学品分开存放，切忌混储。储区应备有合适的材料收容泄露物。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应急处理</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隔离泄漏污染区，周围设警告标志，应急处理人员戴好防毒面具，穿化学防护服。不要直接接触泄漏物，在确保安全情况下堵漏。避免扬尘，用洁净的铲子收集于干燥洁净有盖的容器中，在专用废弃场所深层掩埋。如大量泄漏，收集回收或无害处理后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运输注意事项</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运输前应先检查包装容器是否完整、密封，运输过程中要确保容器不泄露、不倒塌、不坠落、不损坏、严禁与酸类、氧化剂、食品及食品添加剂等混装、混运。运输途中应防曝晒、雨淋，防高温。运输时运输车辆应配备泄露应急处理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475"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12"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灭火方法</w:t>
            </w:r>
          </w:p>
        </w:tc>
        <w:tc>
          <w:tcPr>
            <w:tcW w:w="7099" w:type="dxa"/>
            <w:gridSpan w:val="8"/>
            <w:tcBorders>
              <w:tl2br w:val="nil"/>
              <w:tr2bl w:val="nil"/>
            </w:tcBorders>
            <w:vAlign w:val="center"/>
          </w:tcPr>
          <w:p>
            <w:pP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消防人员必须穿全身防火防毒服，在上风向灭火。灭火时尽可能将容器从火场移至空旷处。灭火剂：水、砂土、干粉、二氧化碳。</w:t>
            </w:r>
          </w:p>
        </w:tc>
      </w:tr>
    </w:tbl>
    <w:p>
      <w:pPr>
        <w:autoSpaceDE w:val="0"/>
        <w:autoSpaceDN w:val="0"/>
        <w:adjustRightInd w:val="0"/>
        <w:spacing w:line="520" w:lineRule="exact"/>
        <w:ind w:firstLine="2409" w:firstLineChars="1000"/>
        <w:jc w:val="left"/>
        <w:rPr>
          <w:rFonts w:ascii="Times New Roman" w:hAnsiTheme="minorEastAsia" w:eastAsiaTheme="minorEastAsia"/>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ascii="Times New Roman" w:hAnsi="Times New Roman" w:eastAsiaTheme="minorEastAsia"/>
          <w:b/>
          <w:color w:val="000000" w:themeColor="text1"/>
          <w:sz w:val="24"/>
          <w:szCs w:val="24"/>
          <w14:textFill>
            <w14:solidFill>
              <w14:schemeClr w14:val="tx1"/>
            </w14:solidFill>
          </w14:textFill>
        </w:rPr>
        <w:t>.4-</w:t>
      </w:r>
      <w:r>
        <w:rPr>
          <w:rFonts w:hint="eastAsia" w:ascii="Times New Roman" w:hAnsi="Times New Roman" w:eastAsiaTheme="minorEastAsia"/>
          <w:b/>
          <w:color w:val="000000" w:themeColor="text1"/>
          <w:sz w:val="24"/>
          <w:szCs w:val="24"/>
          <w14:textFill>
            <w14:solidFill>
              <w14:schemeClr w14:val="tx1"/>
            </w14:solidFill>
          </w14:textFill>
        </w:rPr>
        <w:t>3</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氢氟酸</w:t>
      </w:r>
      <w:r>
        <w:rPr>
          <w:rFonts w:ascii="Times New Roman" w:hAnsi="Times New Roman" w:eastAsiaTheme="minorEastAsia"/>
          <w:b/>
          <w:color w:val="000000" w:themeColor="text1"/>
          <w:sz w:val="24"/>
          <w:szCs w:val="24"/>
          <w14:textFill>
            <w14:solidFill>
              <w14:schemeClr w14:val="tx1"/>
            </w14:solidFill>
          </w14:textFill>
        </w:rPr>
        <w:t>的理化特性及危险特性表</w:t>
      </w:r>
    </w:p>
    <w:tbl>
      <w:tblPr>
        <w:tblStyle w:val="87"/>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707"/>
        <w:gridCol w:w="1744"/>
        <w:gridCol w:w="1426"/>
        <w:gridCol w:w="496"/>
        <w:gridCol w:w="888"/>
        <w:gridCol w:w="895"/>
        <w:gridCol w:w="303"/>
        <w:gridCol w:w="1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标识</w:t>
            </w:r>
          </w:p>
        </w:tc>
        <w:tc>
          <w:tcPr>
            <w:tcW w:w="8813" w:type="dxa"/>
            <w:gridSpan w:val="8"/>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中文名：</w:t>
            </w:r>
            <w:r>
              <w:rPr>
                <w:rFonts w:ascii="Times New Roman" w:hAnsi="Times New Roman"/>
                <w:bCs/>
                <w:color w:val="000000" w:themeColor="text1"/>
                <w:sz w:val="18"/>
                <w:szCs w:val="18"/>
                <w:shd w:val="clear" w:color="auto" w:fill="FFFFFF"/>
                <w14:textFill>
                  <w14:solidFill>
                    <w14:schemeClr w14:val="tx1"/>
                  </w14:solidFill>
                </w14:textFill>
              </w:rPr>
              <w:t>氢氟酸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8813" w:type="dxa"/>
            <w:gridSpan w:val="8"/>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英文名：</w:t>
            </w:r>
            <w:r>
              <w:rPr>
                <w:rFonts w:ascii="Times New Roman" w:hAnsi="Times New Roman"/>
                <w:bCs/>
                <w:color w:val="000000" w:themeColor="text1"/>
                <w:spacing w:val="10"/>
                <w:sz w:val="18"/>
                <w:szCs w:val="18"/>
                <w14:textFill>
                  <w14:solidFill>
                    <w14:schemeClr w14:val="tx1"/>
                  </w14:solidFill>
                </w14:textFill>
              </w:rPr>
              <w:t>hydrofluoricacid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451"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分子式：</w:t>
            </w:r>
            <w:r>
              <w:rPr>
                <w:rFonts w:ascii="Times New Roman" w:hAnsi="Times New Roman"/>
                <w:bCs/>
                <w:color w:val="000000" w:themeColor="text1"/>
                <w:sz w:val="18"/>
                <w:szCs w:val="18"/>
                <w:shd w:val="clear" w:color="auto" w:fill="FFFFFF"/>
                <w14:textFill>
                  <w14:solidFill>
                    <w14:schemeClr w14:val="tx1"/>
                  </w14:solidFill>
                </w14:textFill>
              </w:rPr>
              <w:t>HF</w:t>
            </w:r>
          </w:p>
        </w:tc>
        <w:tc>
          <w:tcPr>
            <w:tcW w:w="2810" w:type="dxa"/>
            <w:gridSpan w:val="3"/>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分子量：</w:t>
            </w:r>
            <w:r>
              <w:rPr>
                <w:rFonts w:ascii="Times New Roman" w:hAnsi="Times New Roman"/>
                <w:bCs/>
                <w:color w:val="000000" w:themeColor="text1"/>
                <w:sz w:val="18"/>
                <w:szCs w:val="18"/>
                <w:shd w:val="clear" w:color="auto" w:fill="FFFFFF"/>
                <w14:textFill>
                  <w14:solidFill>
                    <w14:schemeClr w14:val="tx1"/>
                  </w14:solidFill>
                </w14:textFill>
              </w:rPr>
              <w:t>20.01</w:t>
            </w:r>
          </w:p>
        </w:tc>
        <w:tc>
          <w:tcPr>
            <w:tcW w:w="2552"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CAS号：</w:t>
            </w:r>
            <w:r>
              <w:rPr>
                <w:rFonts w:ascii="Times New Roman" w:hAnsi="Times New Roman"/>
                <w:bCs/>
                <w:color w:val="000000" w:themeColor="text1"/>
                <w:kern w:val="0"/>
                <w:sz w:val="18"/>
                <w:szCs w:val="18"/>
                <w14:textFill>
                  <w14:solidFill>
                    <w14:schemeClr w14:val="tx1"/>
                  </w14:solidFill>
                </w14:textFill>
              </w:rPr>
              <w:t>7664-39-3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451"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UN编号：</w:t>
            </w:r>
            <w:r>
              <w:rPr>
                <w:rFonts w:ascii="Times New Roman" w:hAnsi="Times New Roman"/>
                <w:bCs/>
                <w:color w:val="000000" w:themeColor="text1"/>
                <w:sz w:val="18"/>
                <w:szCs w:val="18"/>
                <w:shd w:val="clear" w:color="auto" w:fill="FFFFFF"/>
                <w14:textFill>
                  <w14:solidFill>
                    <w14:schemeClr w14:val="tx1"/>
                  </w14:solidFill>
                </w14:textFill>
              </w:rPr>
              <w:t>1790</w:t>
            </w:r>
          </w:p>
        </w:tc>
        <w:tc>
          <w:tcPr>
            <w:tcW w:w="2810" w:type="dxa"/>
            <w:gridSpan w:val="3"/>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包装类别：</w:t>
            </w:r>
            <w:r>
              <w:rPr>
                <w:rFonts w:ascii="Times New Roman" w:hAnsi="Times New Roman"/>
                <w:bCs/>
                <w:color w:val="000000" w:themeColor="text1"/>
                <w:sz w:val="18"/>
                <w:szCs w:val="18"/>
                <w:shd w:val="clear" w:color="auto" w:fill="FFFFFF"/>
                <w14:textFill>
                  <w14:solidFill>
                    <w14:schemeClr w14:val="tx1"/>
                  </w14:solidFill>
                </w14:textFill>
              </w:rPr>
              <w:t>O52</w:t>
            </w:r>
          </w:p>
        </w:tc>
        <w:tc>
          <w:tcPr>
            <w:tcW w:w="2552"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理化性质</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外观与性状</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无色透明有刺激性臭味的液体。商品为40%的水溶液。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熔点（℃）</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-83.1(纯)</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沸点（℃）</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120(35.3%)</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闪点（℃）</w:t>
            </w:r>
          </w:p>
        </w:tc>
        <w:tc>
          <w:tcPr>
            <w:tcW w:w="135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饱和蒸气压（kPa）</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无资料</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相对密度(水=1)</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1.26(75%)</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相对密度(空气=1)</w:t>
            </w:r>
          </w:p>
        </w:tc>
        <w:tc>
          <w:tcPr>
            <w:tcW w:w="135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燃烧热（kJ/mol）</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引燃温度</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临界压力</w:t>
            </w:r>
          </w:p>
        </w:tc>
        <w:tc>
          <w:tcPr>
            <w:tcW w:w="135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爆炸上限</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爆炸下限</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354" w:type="dxa"/>
            <w:tcBorders>
              <w:tl2br w:val="nil"/>
              <w:tr2bl w:val="nil"/>
            </w:tcBorders>
            <w:vAlign w:val="center"/>
          </w:tcPr>
          <w:p>
            <w:pPr>
              <w:rPr>
                <w:rFonts w:ascii="Times New Roman" w:hAnsi="Times New Roman"/>
                <w:bCs/>
                <w:color w:val="000000" w:themeColor="text1"/>
                <w:sz w:val="18"/>
                <w:szCs w:val="18"/>
                <w:shd w:val="clear" w:color="auto" w:fill="FFFFFF"/>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溶解性</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与水混溶。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主要用途</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用作分析试剂、高纯氟化物的制备、玻璃蚀刻及电镀表面处理等。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毒性及健康危害</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侵入途径</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吸入、食入。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急性毒性</w:t>
            </w:r>
          </w:p>
        </w:tc>
        <w:tc>
          <w:tcPr>
            <w:tcW w:w="7106" w:type="dxa"/>
            <w:gridSpan w:val="7"/>
            <w:tcBorders>
              <w:tl2br w:val="nil"/>
              <w:tr2bl w:val="nil"/>
            </w:tcBorders>
            <w:vAlign w:val="center"/>
          </w:tcPr>
          <w:p>
            <w:pPr>
              <w:rPr>
                <w:rFonts w:ascii="Times New Roman" w:hAnsi="Times New Roman"/>
                <w:bCs/>
                <w:color w:val="000000" w:themeColor="text1"/>
                <w:spacing w:val="-4"/>
                <w:sz w:val="18"/>
                <w:szCs w:val="18"/>
                <w14:textFill>
                  <w14:solidFill>
                    <w14:schemeClr w14:val="tx1"/>
                  </w14:solidFill>
                </w14:textFill>
              </w:rPr>
            </w:pPr>
            <w:r>
              <w:rPr>
                <w:rFonts w:ascii="Times New Roman" w:hAnsi="Times New Roman"/>
                <w:bCs/>
                <w:color w:val="000000" w:themeColor="text1"/>
                <w:spacing w:val="-4"/>
                <w:sz w:val="18"/>
                <w:szCs w:val="18"/>
                <w14:textFill>
                  <w14:solidFill>
                    <w14:schemeClr w14:val="tx1"/>
                  </w14:solidFill>
                </w14:textFill>
              </w:rPr>
              <w:t>LD50：无资料</w:t>
            </w:r>
          </w:p>
          <w:p>
            <w:pPr>
              <w:rPr>
                <w:rFonts w:ascii="Times New Roman" w:hAnsi="Times New Roman"/>
                <w:bCs/>
                <w:color w:val="000000" w:themeColor="text1"/>
                <w:spacing w:val="-4"/>
                <w:sz w:val="18"/>
                <w:szCs w:val="18"/>
                <w14:textFill>
                  <w14:solidFill>
                    <w14:schemeClr w14:val="tx1"/>
                  </w14:solidFill>
                </w14:textFill>
              </w:rPr>
            </w:pPr>
            <w:r>
              <w:rPr>
                <w:rFonts w:ascii="Times New Roman" w:hAnsi="Times New Roman"/>
                <w:bCs/>
                <w:color w:val="000000" w:themeColor="text1"/>
                <w:spacing w:val="-4"/>
                <w:sz w:val="18"/>
                <w:szCs w:val="18"/>
                <w14:textFill>
                  <w14:solidFill>
                    <w14:schemeClr w14:val="tx1"/>
                  </w14:solidFill>
                </w14:textFill>
              </w:rPr>
              <w:t>LC50：1044mg/m</w:t>
            </w:r>
            <w:r>
              <w:rPr>
                <w:rFonts w:ascii="Times New Roman" w:hAnsi="Times New Roman"/>
                <w:bCs/>
                <w:color w:val="000000" w:themeColor="text1"/>
                <w:spacing w:val="-4"/>
                <w:sz w:val="18"/>
                <w:szCs w:val="18"/>
                <w:vertAlign w:val="superscript"/>
                <w14:textFill>
                  <w14:solidFill>
                    <w14:schemeClr w14:val="tx1"/>
                  </w14:solidFill>
                </w14:textFill>
              </w:rPr>
              <w:t>3</w:t>
            </w:r>
            <w:r>
              <w:rPr>
                <w:rFonts w:ascii="Times New Roman" w:hAnsi="Times New Roman"/>
                <w:bCs/>
                <w:color w:val="000000" w:themeColor="text1"/>
                <w:spacing w:val="-4"/>
                <w:sz w:val="18"/>
                <w:szCs w:val="18"/>
                <w14:textFill>
                  <w14:solidFill>
                    <w14:schemeClr w14:val="tx1"/>
                  </w14:solidFill>
                </w14:textFill>
              </w:rPr>
              <w:t>(大鼠吸入)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健康危害</w:t>
            </w:r>
          </w:p>
        </w:tc>
        <w:tc>
          <w:tcPr>
            <w:tcW w:w="7106" w:type="dxa"/>
            <w:gridSpan w:val="7"/>
            <w:tcBorders>
              <w:tl2br w:val="nil"/>
              <w:tr2bl w:val="nil"/>
            </w:tcBorders>
            <w:vAlign w:val="center"/>
          </w:tcPr>
          <w:p>
            <w:pPr>
              <w:rPr>
                <w:rFonts w:ascii="Times New Roman" w:hAnsi="Times New Roman"/>
                <w:bCs/>
                <w:color w:val="000000" w:themeColor="text1"/>
                <w:spacing w:val="-4"/>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对皮肤有强烈的腐蚀作用。灼伤初期皮肤潮红、干燥。创面苍白，坏死，继而呈紫黑色或灰黑色。深部灼伤或处理不当时，可形成难以愈合的深溃疡，损及骨膜和骨质。本品灼伤疼痛剧烈。眼接触高浓度本品可引起角膜穿孔。接触其蒸气，可发生支气管炎、肺炎等。慢性影响：眼和上呼吸道刺激症状，或有鼻衄，嗅觉减退。可有牙齿酸蚀症。骨骼Ｘ线异常与工业性氟病少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急救措施</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皮肤接触：立即脱去污染的衣着，用大量流动清水冲洗至少15分钟。就医。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眼睛接触：立即提起眼睑，用大量流动清水或生理盐水彻底冲洗至少15分钟。就医。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吸入：迅速脱离现场至空气新鲜处。保持呼吸道通畅。如呼吸困难，给输氧。如呼吸停止，立即进行人工呼吸。就医。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食入：用水漱口，给饮牛奶或蛋清。就医。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个体防护</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工程控制</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密闭操作，注意通风。尽可能机械化、自动化。提供安全淋浴和洗眼设备。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呼吸系统防护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可能接触其烟雾时，佩戴自吸过滤式防毒面具（全面罩）或空气呼吸器。紧急事态抢救或撤离时，建议佩戴氧气呼吸器。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眼睛防护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呼吸系统防护中已作防护。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身体防护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穿橡胶耐酸碱服。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手防护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戴橡胶耐酸碱手套。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其他防护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工作现场禁止吸烟、进食和饮水。工作完毕，淋浴更衣。单独存放被毒物污染的衣服，洗后备用。保持良好的卫生习惯。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燃烧爆炸危险性</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燃爆危险</w:t>
            </w:r>
          </w:p>
        </w:tc>
        <w:tc>
          <w:tcPr>
            <w:tcW w:w="3666"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不燃，具强腐蚀性、强刺激性，可致人体灼伤。</w:t>
            </w:r>
          </w:p>
        </w:tc>
        <w:tc>
          <w:tcPr>
            <w:tcW w:w="1783"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有害燃烧产物</w:t>
            </w:r>
          </w:p>
        </w:tc>
        <w:tc>
          <w:tcPr>
            <w:tcW w:w="1657"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氟化氢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危险特性</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不燃，但能与大多数金属反应，生成氢气而引起爆炸。遇Ｈ发泡剂立即燃烧。腐蚀性极强。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2"/>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建规火险分级</w:t>
            </w:r>
          </w:p>
        </w:tc>
        <w:tc>
          <w:tcPr>
            <w:tcW w:w="1744"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戊</w:t>
            </w:r>
          </w:p>
        </w:tc>
        <w:tc>
          <w:tcPr>
            <w:tcW w:w="1426"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稳定性</w:t>
            </w:r>
          </w:p>
        </w:tc>
        <w:tc>
          <w:tcPr>
            <w:tcW w:w="3936" w:type="dxa"/>
            <w:gridSpan w:val="5"/>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禁忌物</w:t>
            </w:r>
          </w:p>
        </w:tc>
        <w:tc>
          <w:tcPr>
            <w:tcW w:w="7106" w:type="dxa"/>
            <w:gridSpan w:val="7"/>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强碱、活性金属粉末、玻璃制品。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包装方法</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装入铅桶或特殊塑料容器内，再装入木箱中。空隙用不燃材料填充妥实；装入塑料瓶，特种电木、橡胶或铅容器，严封后再装入坚固木箱中。木箱内用不燃材料衬垫，每箱净重不超过20公斤，3～5公斤包装每箱限装4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操作注意事项</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密闭操作，注意通风。操作尽可能机械化、自动化。操作人员必须经过专门培训，严格遵守操作规程。建议操作人员佩戴自吸过滤式防毒面具（全面罩），穿橡胶耐酸碱服，戴橡胶耐酸碱手套。防止蒸气泄漏到工作场所空气中。避免与碱类、活性金属粉末、玻璃制品接触。搬运时要轻装轻卸，防止包装及容器损坏。配备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储存注意事项</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储存于阴凉、通风的库房。远离火种、热源。库温不超过30℃，相对湿度不超过85％。保持容器密封。应与碱类、活性金属粉末、玻璃制品分开存放，切忌混储。储区应备有泄漏应急处理设备和合适的收容材料。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应急处理</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迅速撤离泄漏污染区人员至安全区，并进行隔离，严格限制出入。建议应急处理人员戴自给正压式呼吸器，穿防酸碱工作服。不要直接接触泄漏物。尽可能切断泄漏源。小量泄漏：用砂土、干燥石灰或苏打灰混合。也可以用大量水冲洗，洗水稀释后放入废水系统。大量泄漏：构筑围堤或挖坑收容。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运输注意事项</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铁路运输时应严格按照铁道部《危险货物运输规则》中的危险货物配装表进行配装。起运时包装要完整，装载应稳妥。运输过程中要确保容器不泄漏、不倒塌、不坠落、不损坏。严禁与碱类、活性金属粉末、玻璃制品、食用化学品等混装混运。运输时运输车辆应配备泄漏应急处理设备。运输途中应防曝晒、雨淋，防高温。公路运输时要按规定路线行驶，勿在居民区和人口稠密区停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灭火方法</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灭火剂：雾状水、泡沫。</w:t>
            </w:r>
          </w:p>
        </w:tc>
      </w:tr>
    </w:tbl>
    <w:p>
      <w:pPr>
        <w:autoSpaceDE w:val="0"/>
        <w:autoSpaceDN w:val="0"/>
        <w:adjustRightInd w:val="0"/>
        <w:spacing w:line="520" w:lineRule="exact"/>
        <w:ind w:firstLine="2409" w:firstLineChars="1000"/>
        <w:jc w:val="left"/>
        <w:rPr>
          <w:rFonts w:ascii="Times New Roman" w:hAnsiTheme="minorEastAsia" w:eastAsiaTheme="minorEastAsia"/>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ascii="Times New Roman" w:hAnsi="Times New Roman" w:eastAsiaTheme="minorEastAsia"/>
          <w:b/>
          <w:color w:val="000000" w:themeColor="text1"/>
          <w:sz w:val="24"/>
          <w:szCs w:val="24"/>
          <w14:textFill>
            <w14:solidFill>
              <w14:schemeClr w14:val="tx1"/>
            </w14:solidFill>
          </w14:textFill>
        </w:rPr>
        <w:t>.4-</w:t>
      </w:r>
      <w:r>
        <w:rPr>
          <w:rFonts w:hint="eastAsia" w:ascii="Times New Roman" w:hAnsi="Times New Roman" w:eastAsiaTheme="minorEastAsia"/>
          <w:b/>
          <w:color w:val="000000" w:themeColor="text1"/>
          <w:sz w:val="24"/>
          <w:szCs w:val="24"/>
          <w14:textFill>
            <w14:solidFill>
              <w14:schemeClr w14:val="tx1"/>
            </w14:solidFill>
          </w14:textFill>
        </w:rPr>
        <w:t>4</w:t>
      </w:r>
      <w:r>
        <w:rPr>
          <w:rFonts w:ascii="Times New Roman" w:hAnsi="Times New Roman" w:eastAsiaTheme="minorEastAsia"/>
          <w:b/>
          <w:color w:val="000000" w:themeColor="text1"/>
          <w:sz w:val="24"/>
          <w:szCs w:val="24"/>
          <w14:textFill>
            <w14:solidFill>
              <w14:schemeClr w14:val="tx1"/>
            </w14:solidFill>
          </w14:textFill>
        </w:rPr>
        <w:t xml:space="preserve"> </w:t>
      </w:r>
      <w:r>
        <w:rPr>
          <w:rFonts w:hint="eastAsia" w:ascii="Times New Roman" w:hAnsi="Times New Roman" w:eastAsiaTheme="minorEastAsia"/>
          <w:b/>
          <w:color w:val="000000" w:themeColor="text1"/>
          <w:sz w:val="24"/>
          <w:szCs w:val="24"/>
          <w14:textFill>
            <w14:solidFill>
              <w14:schemeClr w14:val="tx1"/>
            </w14:solidFill>
          </w14:textFill>
        </w:rPr>
        <w:t>氢氧化钠</w:t>
      </w:r>
      <w:r>
        <w:rPr>
          <w:rFonts w:ascii="Times New Roman" w:hAnsi="Times New Roman" w:eastAsiaTheme="minorEastAsia"/>
          <w:b/>
          <w:color w:val="000000" w:themeColor="text1"/>
          <w:sz w:val="24"/>
          <w:szCs w:val="24"/>
          <w14:textFill>
            <w14:solidFill>
              <w14:schemeClr w14:val="tx1"/>
            </w14:solidFill>
          </w14:textFill>
        </w:rPr>
        <w:t>的理化特性及危险特性表</w:t>
      </w:r>
    </w:p>
    <w:tbl>
      <w:tblPr>
        <w:tblStyle w:val="87"/>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707"/>
        <w:gridCol w:w="1744"/>
        <w:gridCol w:w="1426"/>
        <w:gridCol w:w="496"/>
        <w:gridCol w:w="888"/>
        <w:gridCol w:w="895"/>
        <w:gridCol w:w="303"/>
        <w:gridCol w:w="1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标识</w:t>
            </w:r>
          </w:p>
        </w:tc>
        <w:tc>
          <w:tcPr>
            <w:tcW w:w="8813" w:type="dxa"/>
            <w:gridSpan w:val="8"/>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中文名：</w:t>
            </w:r>
            <w:r>
              <w:rPr>
                <w:rFonts w:hint="eastAsia" w:ascii="Times New Roman" w:hAnsi="Times New Roman"/>
                <w:bCs/>
                <w:color w:val="000000" w:themeColor="text1"/>
                <w:sz w:val="18"/>
                <w:szCs w:val="18"/>
                <w:shd w:val="clear" w:color="auto" w:fill="FFFFFF"/>
                <w14:textFill>
                  <w14:solidFill>
                    <w14:schemeClr w14:val="tx1"/>
                  </w14:solidFill>
                </w14:textFill>
              </w:rPr>
              <w:t>氢氧化钠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8813" w:type="dxa"/>
            <w:gridSpan w:val="8"/>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英文名：</w:t>
            </w:r>
            <w:r>
              <w:rPr>
                <w:rFonts w:hint="eastAsia" w:ascii="Times New Roman" w:hAnsi="Times New Roman"/>
                <w:bCs/>
                <w:color w:val="000000" w:themeColor="text1"/>
                <w:spacing w:val="10"/>
                <w:sz w:val="18"/>
                <w:szCs w:val="18"/>
                <w14:textFill>
                  <w14:solidFill>
                    <w14:schemeClr w14:val="tx1"/>
                  </w14:solidFill>
                </w14:textFill>
              </w:rPr>
              <w:t>sodiun hydroxide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451"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分子式：</w:t>
            </w:r>
            <w:r>
              <w:rPr>
                <w:rFonts w:hint="eastAsia" w:ascii="Times New Roman" w:hAnsi="Times New Roman"/>
                <w:bCs/>
                <w:color w:val="000000" w:themeColor="text1"/>
                <w:sz w:val="18"/>
                <w:szCs w:val="18"/>
                <w:shd w:val="clear" w:color="auto" w:fill="FFFFFF"/>
                <w14:textFill>
                  <w14:solidFill>
                    <w14:schemeClr w14:val="tx1"/>
                  </w14:solidFill>
                </w14:textFill>
              </w:rPr>
              <w:t>NaOH</w:t>
            </w:r>
          </w:p>
        </w:tc>
        <w:tc>
          <w:tcPr>
            <w:tcW w:w="2810" w:type="dxa"/>
            <w:gridSpan w:val="3"/>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分子量：</w:t>
            </w:r>
            <w:r>
              <w:rPr>
                <w:rFonts w:hint="eastAsia" w:ascii="Times New Roman" w:hAnsi="Times New Roman"/>
                <w:bCs/>
                <w:color w:val="000000" w:themeColor="text1"/>
                <w:sz w:val="18"/>
                <w:szCs w:val="18"/>
                <w:shd w:val="clear" w:color="auto" w:fill="FFFFFF"/>
                <w14:textFill>
                  <w14:solidFill>
                    <w14:schemeClr w14:val="tx1"/>
                  </w14:solidFill>
                </w14:textFill>
              </w:rPr>
              <w:t>40</w:t>
            </w:r>
          </w:p>
        </w:tc>
        <w:tc>
          <w:tcPr>
            <w:tcW w:w="2552"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CAS号：</w:t>
            </w:r>
            <w:r>
              <w:rPr>
                <w:rFonts w:hint="eastAsia" w:ascii="Times New Roman" w:hAnsi="Times New Roman"/>
                <w:bCs/>
                <w:color w:val="000000" w:themeColor="text1"/>
                <w:kern w:val="0"/>
                <w:sz w:val="18"/>
                <w:szCs w:val="18"/>
                <w14:textFill>
                  <w14:solidFill>
                    <w14:schemeClr w14:val="tx1"/>
                  </w14:solidFill>
                </w14:textFill>
              </w:rPr>
              <w:t>1310</w:t>
            </w:r>
            <w:r>
              <w:rPr>
                <w:rFonts w:ascii="Times New Roman" w:hAnsi="Times New Roman"/>
                <w:bCs/>
                <w:color w:val="000000" w:themeColor="text1"/>
                <w:kern w:val="0"/>
                <w:sz w:val="18"/>
                <w:szCs w:val="18"/>
                <w14:textFill>
                  <w14:solidFill>
                    <w14:schemeClr w14:val="tx1"/>
                  </w14:solidFill>
                </w14:textFill>
              </w:rPr>
              <w:t>-</w:t>
            </w:r>
            <w:r>
              <w:rPr>
                <w:rFonts w:hint="eastAsia" w:ascii="Times New Roman" w:hAnsi="Times New Roman"/>
                <w:bCs/>
                <w:color w:val="000000" w:themeColor="text1"/>
                <w:kern w:val="0"/>
                <w:sz w:val="18"/>
                <w:szCs w:val="18"/>
                <w14:textFill>
                  <w14:solidFill>
                    <w14:schemeClr w14:val="tx1"/>
                  </w14:solidFill>
                </w14:textFill>
              </w:rPr>
              <w:t>73</w:t>
            </w:r>
            <w:r>
              <w:rPr>
                <w:rFonts w:ascii="Times New Roman" w:hAnsi="Times New Roman"/>
                <w:bCs/>
                <w:color w:val="000000" w:themeColor="text1"/>
                <w:kern w:val="0"/>
                <w:sz w:val="18"/>
                <w:szCs w:val="18"/>
                <w14:textFill>
                  <w14:solidFill>
                    <w14:schemeClr w14:val="tx1"/>
                  </w14:solidFill>
                </w14:textFill>
              </w:rPr>
              <w:t>-</w:t>
            </w:r>
            <w:r>
              <w:rPr>
                <w:rFonts w:hint="eastAsia" w:ascii="Times New Roman" w:hAnsi="Times New Roman"/>
                <w:bCs/>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3451" w:type="dxa"/>
            <w:gridSpan w:val="2"/>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UN编号：</w:t>
            </w:r>
            <w:r>
              <w:rPr>
                <w:rFonts w:hint="eastAsia" w:ascii="Times New Roman" w:hAnsi="Times New Roman"/>
                <w:bCs/>
                <w:color w:val="000000" w:themeColor="text1"/>
                <w:sz w:val="18"/>
                <w:szCs w:val="18"/>
                <w:shd w:val="clear" w:color="auto" w:fill="FFFFFF"/>
                <w14:textFill>
                  <w14:solidFill>
                    <w14:schemeClr w14:val="tx1"/>
                  </w14:solidFill>
                </w14:textFill>
              </w:rPr>
              <w:t>1823</w:t>
            </w:r>
          </w:p>
        </w:tc>
        <w:tc>
          <w:tcPr>
            <w:tcW w:w="2810" w:type="dxa"/>
            <w:gridSpan w:val="3"/>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包装类别：</w:t>
            </w:r>
            <w:r>
              <w:rPr>
                <w:rFonts w:hint="eastAsia" w:ascii="Times New Roman" w:hAnsi="Times New Roman"/>
                <w:bCs/>
                <w:color w:val="000000" w:themeColor="text1"/>
                <w:sz w:val="18"/>
                <w:szCs w:val="18"/>
                <w:shd w:val="clear" w:color="auto" w:fill="FFFFFF"/>
                <w14:textFill>
                  <w14:solidFill>
                    <w14:schemeClr w14:val="tx1"/>
                  </w14:solidFill>
                </w14:textFill>
              </w:rPr>
              <w:t>O52</w:t>
            </w:r>
          </w:p>
        </w:tc>
        <w:tc>
          <w:tcPr>
            <w:tcW w:w="2552"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理化性质</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外观与性状</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白色不透明固体，易潮解。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熔点（℃）</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318.4</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沸点（℃）</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1390</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闪点（℃）</w:t>
            </w:r>
          </w:p>
        </w:tc>
        <w:tc>
          <w:tcPr>
            <w:tcW w:w="135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饱和蒸气压（kPa）</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0.13（739℃）</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相对密度(水=1)</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2.12</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相对密度(空气=1)</w:t>
            </w:r>
          </w:p>
        </w:tc>
        <w:tc>
          <w:tcPr>
            <w:tcW w:w="135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燃烧热（kJ/mol）</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引燃温度</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临界压力</w:t>
            </w:r>
          </w:p>
        </w:tc>
        <w:tc>
          <w:tcPr>
            <w:tcW w:w="135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爆炸上限</w:t>
            </w:r>
          </w:p>
        </w:tc>
        <w:tc>
          <w:tcPr>
            <w:tcW w:w="1744"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426"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爆炸下限</w:t>
            </w:r>
          </w:p>
        </w:tc>
        <w:tc>
          <w:tcPr>
            <w:tcW w:w="1384"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无意义</w:t>
            </w:r>
          </w:p>
        </w:tc>
        <w:tc>
          <w:tcPr>
            <w:tcW w:w="1198"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354" w:type="dxa"/>
            <w:tcBorders>
              <w:tl2br w:val="nil"/>
              <w:tr2bl w:val="nil"/>
            </w:tcBorders>
            <w:vAlign w:val="center"/>
          </w:tcPr>
          <w:p>
            <w:pPr>
              <w:rPr>
                <w:rFonts w:ascii="Times New Roman" w:hAnsi="Times New Roman"/>
                <w:bCs/>
                <w:color w:val="000000" w:themeColor="text1"/>
                <w:sz w:val="18"/>
                <w:szCs w:val="18"/>
                <w:shd w:val="clear" w:color="auto" w:fill="FFFFFF"/>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溶解性</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易溶于水、乙醇、甘油，不溶于丙酮。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主要用途</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用作</w:t>
            </w:r>
            <w:r>
              <w:rPr>
                <w:rFonts w:hint="eastAsia" w:ascii="Times New Roman" w:hAnsi="Times New Roman"/>
                <w:bCs/>
                <w:color w:val="000000" w:themeColor="text1"/>
                <w:sz w:val="18"/>
                <w:szCs w:val="18"/>
                <w:shd w:val="clear" w:color="auto" w:fill="FFFFFF"/>
                <w14:textFill>
                  <w14:solidFill>
                    <w14:schemeClr w14:val="tx1"/>
                  </w14:solidFill>
                </w14:textFill>
              </w:rPr>
              <w:t>肥皂工业、石油精炼、造纸、人造丝、染色、制革、医药、有机合成等。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毒性及健康危害</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侵入途径</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吸入、食入。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急性毒性</w:t>
            </w:r>
          </w:p>
        </w:tc>
        <w:tc>
          <w:tcPr>
            <w:tcW w:w="7106" w:type="dxa"/>
            <w:gridSpan w:val="7"/>
            <w:tcBorders>
              <w:tl2br w:val="nil"/>
              <w:tr2bl w:val="nil"/>
            </w:tcBorders>
            <w:vAlign w:val="center"/>
          </w:tcPr>
          <w:p>
            <w:pPr>
              <w:rPr>
                <w:rFonts w:ascii="Times New Roman" w:hAnsi="Times New Roman"/>
                <w:bCs/>
                <w:color w:val="000000" w:themeColor="text1"/>
                <w:spacing w:val="-4"/>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LD</w:t>
            </w:r>
            <w:r>
              <w:rPr>
                <w:rFonts w:ascii="Times New Roman" w:hAnsi="Times New Roman"/>
                <w:color w:val="000000" w:themeColor="text1"/>
                <w:kern w:val="0"/>
                <w:sz w:val="18"/>
                <w:szCs w:val="18"/>
                <w:vertAlign w:val="subscript"/>
                <w14:textFill>
                  <w14:solidFill>
                    <w14:schemeClr w14:val="tx1"/>
                  </w14:solidFill>
                </w14:textFill>
              </w:rPr>
              <w:t>50</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40mg/kg</w:t>
            </w:r>
            <w:r>
              <w:rPr>
                <w:rFonts w:ascii="Times New Roman" w:hAnsi="宋体"/>
                <w:color w:val="000000" w:themeColor="text1"/>
                <w:kern w:val="0"/>
                <w:sz w:val="18"/>
                <w:szCs w:val="18"/>
                <w14:textFill>
                  <w14:solidFill>
                    <w14:schemeClr w14:val="tx1"/>
                  </w14:solidFill>
                </w14:textFill>
              </w:rPr>
              <w:t>（小鼠腹膜腔）</w:t>
            </w:r>
          </w:p>
          <w:p>
            <w:pPr>
              <w:rPr>
                <w:rFonts w:ascii="Times New Roman" w:hAnsi="Times New Roman"/>
                <w:bCs/>
                <w:color w:val="000000" w:themeColor="text1"/>
                <w:spacing w:val="-4"/>
                <w:sz w:val="18"/>
                <w:szCs w:val="18"/>
                <w14:textFill>
                  <w14:solidFill>
                    <w14:schemeClr w14:val="tx1"/>
                  </w14:solidFill>
                </w14:textFill>
              </w:rPr>
            </w:pPr>
            <w:r>
              <w:rPr>
                <w:rFonts w:ascii="Times New Roman" w:hAnsi="Times New Roman"/>
                <w:bCs/>
                <w:color w:val="000000" w:themeColor="text1"/>
                <w:spacing w:val="-4"/>
                <w:sz w:val="18"/>
                <w:szCs w:val="18"/>
                <w14:textFill>
                  <w14:solidFill>
                    <w14:schemeClr w14:val="tx1"/>
                  </w14:solidFill>
                </w14:textFill>
              </w:rPr>
              <w:t>LC50：</w:t>
            </w:r>
            <w:r>
              <w:rPr>
                <w:rFonts w:hint="eastAsia" w:ascii="Times New Roman" w:hAnsi="Times New Roman"/>
                <w:bCs/>
                <w:color w:val="000000" w:themeColor="text1"/>
                <w:spacing w:val="-4"/>
                <w:sz w:val="18"/>
                <w:szCs w:val="18"/>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健康危害</w:t>
            </w:r>
          </w:p>
        </w:tc>
        <w:tc>
          <w:tcPr>
            <w:tcW w:w="7106" w:type="dxa"/>
            <w:gridSpan w:val="7"/>
            <w:tcBorders>
              <w:tl2br w:val="nil"/>
              <w:tr2bl w:val="nil"/>
            </w:tcBorders>
            <w:vAlign w:val="center"/>
          </w:tcPr>
          <w:p>
            <w:pPr>
              <w:rPr>
                <w:rFonts w:ascii="Times New Roman" w:hAnsi="Times New Roman"/>
                <w:bCs/>
                <w:color w:val="000000" w:themeColor="text1"/>
                <w:spacing w:val="-4"/>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有强烈刺激和腐蚀性。粉尘或烟雾刺激眼和呼吸道，腐蚀鼻中隔；皮肤和眼直接接触可引起灼伤；误服可造成消化道灼伤，粘膜糜烂、出血和休克。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急救措施</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眼睛接触：应立即提起眼睑，用流动清水或</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"https://baike.baidu.com/item/%E7%94%9F%E7%90%86%E7%9B%90%E6%B0%B4/1407814" \t "https://baike.baidu.com/item/%E6%B0%A2%E6%B0%A7%E5%8C%96%E9%92%A0/_blank" </w:instrText>
            </w:r>
            <w:r>
              <w:rPr>
                <w:color w:val="000000" w:themeColor="text1"/>
                <w14:textFill>
                  <w14:solidFill>
                    <w14:schemeClr w14:val="tx1"/>
                  </w14:solidFill>
                </w14:textFill>
              </w:rPr>
              <w:fldChar w:fldCharType="separate"/>
            </w:r>
            <w:r>
              <w:rPr>
                <w:rFonts w:ascii="Times New Roman" w:hAnsi="Times New Roman"/>
                <w:bCs/>
                <w:color w:val="000000" w:themeColor="text1"/>
                <w:sz w:val="18"/>
                <w:szCs w:val="18"/>
                <w14:textFill>
                  <w14:solidFill>
                    <w14:schemeClr w14:val="tx1"/>
                  </w14:solidFill>
                </w14:textFill>
              </w:rPr>
              <w:t>生理盐水</w:t>
            </w:r>
            <w:r>
              <w:rPr>
                <w:rFonts w:ascii="Times New Roman" w:hAnsi="Times New Roman"/>
                <w:bCs/>
                <w:color w:val="000000" w:themeColor="text1"/>
                <w:sz w:val="18"/>
                <w:szCs w:val="18"/>
                <w14:textFill>
                  <w14:solidFill>
                    <w14:schemeClr w14:val="tx1"/>
                  </w14:solidFill>
                </w14:textFill>
              </w:rPr>
              <w:fldChar w:fldCharType="end"/>
            </w:r>
            <w:r>
              <w:rPr>
                <w:rFonts w:ascii="Times New Roman" w:hAnsi="Times New Roman"/>
                <w:bCs/>
                <w:color w:val="000000" w:themeColor="text1"/>
                <w:sz w:val="18"/>
                <w:szCs w:val="18"/>
                <w14:textFill>
                  <w14:solidFill>
                    <w14:schemeClr w14:val="tx1"/>
                  </w14:solidFill>
                </w14:textFill>
              </w:rPr>
              <w:t>冲洗至少15分钟，或用3%</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"https://baike.baidu.com/item/%E7%A1%BC%E9%85%B8/1132205" \t "https://baike.baidu.com/item/%E6%B0%A2%E6%B0%A7%E5%8C%96%E9%92%A0/_blank" </w:instrText>
            </w:r>
            <w:r>
              <w:rPr>
                <w:color w:val="000000" w:themeColor="text1"/>
                <w14:textFill>
                  <w14:solidFill>
                    <w14:schemeClr w14:val="tx1"/>
                  </w14:solidFill>
                </w14:textFill>
              </w:rPr>
              <w:fldChar w:fldCharType="separate"/>
            </w:r>
            <w:r>
              <w:rPr>
                <w:rFonts w:ascii="Times New Roman" w:hAnsi="Times New Roman"/>
                <w:bCs/>
                <w:color w:val="000000" w:themeColor="text1"/>
                <w:sz w:val="18"/>
                <w:szCs w:val="18"/>
                <w14:textFill>
                  <w14:solidFill>
                    <w14:schemeClr w14:val="tx1"/>
                  </w14:solidFill>
                </w14:textFill>
              </w:rPr>
              <w:t>硼酸</w:t>
            </w:r>
            <w:r>
              <w:rPr>
                <w:rFonts w:ascii="Times New Roman" w:hAnsi="Times New Roman"/>
                <w:bCs/>
                <w:color w:val="000000" w:themeColor="text1"/>
                <w:sz w:val="18"/>
                <w:szCs w:val="18"/>
                <w14:textFill>
                  <w14:solidFill>
                    <w14:schemeClr w14:val="tx1"/>
                  </w14:solidFill>
                </w14:textFill>
              </w:rPr>
              <w:fldChar w:fldCharType="end"/>
            </w:r>
            <w:r>
              <w:rPr>
                <w:rFonts w:ascii="Times New Roman" w:hAnsi="Times New Roman"/>
                <w:bCs/>
                <w:color w:val="000000" w:themeColor="text1"/>
                <w:sz w:val="18"/>
                <w:szCs w:val="18"/>
                <w14:textFill>
                  <w14:solidFill>
                    <w14:schemeClr w14:val="tx1"/>
                  </w14:solidFill>
                </w14:textFill>
              </w:rPr>
              <w:t>溶液冲洗，迅速就医。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吸入：迅速脱离现场值空气新鲜处。必要时进行人工呼吸，迅速就医。</w:t>
            </w:r>
          </w:p>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食入：患者清醒时立即漱口，口服稀释的醋或柠檬汁，迅速就医。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个体防护</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工程控制</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密闭操作，注意通风。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呼吸系统防护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必要时佩戴防毒口罩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眼睛防护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身体防护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穿橡胶耐酸碱服。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手防护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戴橡胶耐酸碱手套。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其他防护</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Helvetica" w:hAnsi="Helvetica" w:eastAsia="Helvetica" w:cs="Helvetica"/>
                <w:color w:val="000000" w:themeColor="text1"/>
                <w:sz w:val="18"/>
                <w:szCs w:val="18"/>
                <w:shd w:val="clear" w:color="auto" w:fill="FFFFFF"/>
                <w14:textFill>
                  <w14:solidFill>
                    <w14:schemeClr w14:val="tx1"/>
                  </w14:solidFill>
                </w14:textFill>
              </w:rPr>
              <w:t>工作后，沐浴更衣。注意个人清洁卫生</w:t>
            </w:r>
            <w:r>
              <w:rPr>
                <w:rFonts w:ascii="Times New Roman" w:hAnsi="Times New Roman"/>
                <w:bCs/>
                <w:color w:val="000000" w:themeColor="text1"/>
                <w:sz w:val="18"/>
                <w:szCs w:val="18"/>
                <w:shd w:val="clear" w:color="auto" w:fill="FFFFFF"/>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3" w:type="dxa"/>
            <w:vMerge w:val="restart"/>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燃烧爆炸危险性</w:t>
            </w: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燃爆危险</w:t>
            </w:r>
          </w:p>
        </w:tc>
        <w:tc>
          <w:tcPr>
            <w:tcW w:w="3666" w:type="dxa"/>
            <w:gridSpan w:val="3"/>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不燃，具强腐蚀性、强刺激性，可致人体灼伤。</w:t>
            </w:r>
          </w:p>
        </w:tc>
        <w:tc>
          <w:tcPr>
            <w:tcW w:w="1783"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有害燃烧产物</w:t>
            </w:r>
          </w:p>
        </w:tc>
        <w:tc>
          <w:tcPr>
            <w:tcW w:w="1657" w:type="dxa"/>
            <w:gridSpan w:val="2"/>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可能产生有害的毒性烟雾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危险特性</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与酸发生中和反应并放热，遇潮时对铝、锌和锡有腐蚀性，并放出易燃易爆的氢气。本品不会燃烧，遇水和水蒸气大量放热，形成腐蚀性溶液。具有强腐蚀性。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2"/>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建规火险分级</w:t>
            </w:r>
          </w:p>
        </w:tc>
        <w:tc>
          <w:tcPr>
            <w:tcW w:w="1744"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戊</w:t>
            </w:r>
          </w:p>
        </w:tc>
        <w:tc>
          <w:tcPr>
            <w:tcW w:w="1426"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稳定性</w:t>
            </w:r>
          </w:p>
        </w:tc>
        <w:tc>
          <w:tcPr>
            <w:tcW w:w="3936" w:type="dxa"/>
            <w:gridSpan w:val="5"/>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禁忌物</w:t>
            </w:r>
          </w:p>
        </w:tc>
        <w:tc>
          <w:tcPr>
            <w:tcW w:w="7106" w:type="dxa"/>
            <w:gridSpan w:val="7"/>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强</w:t>
            </w:r>
            <w:r>
              <w:rPr>
                <w:rFonts w:hint="eastAsia" w:ascii="Times New Roman" w:hAnsi="Times New Roman"/>
                <w:bCs/>
                <w:color w:val="000000" w:themeColor="text1"/>
                <w:sz w:val="18"/>
                <w:szCs w:val="18"/>
                <w:shd w:val="clear" w:color="auto" w:fill="FFFFFF"/>
                <w14:textFill>
                  <w14:solidFill>
                    <w14:schemeClr w14:val="tx1"/>
                  </w14:solidFill>
                </w14:textFill>
              </w:rPr>
              <w:t>酸</w:t>
            </w:r>
            <w:r>
              <w:rPr>
                <w:rFonts w:ascii="Times New Roman" w:hAnsi="Times New Roman"/>
                <w:bCs/>
                <w:color w:val="000000" w:themeColor="text1"/>
                <w:sz w:val="18"/>
                <w:szCs w:val="18"/>
                <w:shd w:val="clear" w:color="auto" w:fill="FFFFFF"/>
                <w14:textFill>
                  <w14:solidFill>
                    <w14:schemeClr w14:val="tx1"/>
                  </w14:solidFill>
                </w14:textFill>
              </w:rPr>
              <w:t>、</w:t>
            </w:r>
            <w:r>
              <w:rPr>
                <w:rFonts w:hint="eastAsia" w:ascii="Times New Roman" w:hAnsi="Times New Roman"/>
                <w:bCs/>
                <w:color w:val="000000" w:themeColor="text1"/>
                <w:sz w:val="18"/>
                <w:szCs w:val="18"/>
                <w:shd w:val="clear" w:color="auto" w:fill="FFFFFF"/>
                <w14:textFill>
                  <w14:solidFill>
                    <w14:schemeClr w14:val="tx1"/>
                  </w14:solidFill>
                </w14:textFill>
              </w:rPr>
              <w:t>易燃或可燃物、二氧化碳、过氧化物、水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包装方法</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 xml:space="preserve">安瓿瓶外普通木箱。螺纹口玻璃瓶、铁盖压口玻璃瓶、塑料瓶或金属桶（罐）外普通木箱。磨砂口玻璃瓶或螺纹口玻璃瓶外普通木箱。按照生产商推荐的方法进行包装。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操作注意事项</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密闭操作，注意通风。操作人员必须经过专门培训，严格遵守操作规程。建议操作人员佩戴自吸过滤式防毒面具（全面罩），穿橡胶耐酸碱服，戴橡胶耐酸碱手套。避免与</w:t>
            </w:r>
            <w:r>
              <w:rPr>
                <w:rFonts w:hint="eastAsia" w:ascii="Times New Roman" w:hAnsi="Times New Roman"/>
                <w:bCs/>
                <w:color w:val="000000" w:themeColor="text1"/>
                <w:sz w:val="18"/>
                <w:szCs w:val="18"/>
                <w:shd w:val="clear" w:color="auto" w:fill="FFFFFF"/>
                <w14:textFill>
                  <w14:solidFill>
                    <w14:schemeClr w14:val="tx1"/>
                  </w14:solidFill>
                </w14:textFill>
              </w:rPr>
              <w:t>酸类</w:t>
            </w:r>
            <w:r>
              <w:rPr>
                <w:rFonts w:ascii="Times New Roman" w:hAnsi="Times New Roman"/>
                <w:bCs/>
                <w:color w:val="000000" w:themeColor="text1"/>
                <w:sz w:val="18"/>
                <w:szCs w:val="18"/>
                <w:shd w:val="clear" w:color="auto" w:fill="FFFFFF"/>
                <w14:textFill>
                  <w14:solidFill>
                    <w14:schemeClr w14:val="tx1"/>
                  </w14:solidFill>
                </w14:textFill>
              </w:rPr>
              <w:t>、活性金属粉末、</w:t>
            </w:r>
            <w:r>
              <w:rPr>
                <w:rFonts w:hint="eastAsia" w:ascii="Times New Roman" w:hAnsi="Times New Roman"/>
                <w:bCs/>
                <w:color w:val="000000" w:themeColor="text1"/>
                <w:sz w:val="18"/>
                <w:szCs w:val="18"/>
                <w:shd w:val="clear" w:color="auto" w:fill="FFFFFF"/>
                <w14:textFill>
                  <w14:solidFill>
                    <w14:schemeClr w14:val="tx1"/>
                  </w14:solidFill>
                </w14:textFill>
              </w:rPr>
              <w:t>水</w:t>
            </w:r>
            <w:r>
              <w:rPr>
                <w:rFonts w:ascii="Times New Roman" w:hAnsi="Times New Roman"/>
                <w:bCs/>
                <w:color w:val="000000" w:themeColor="text1"/>
                <w:sz w:val="18"/>
                <w:szCs w:val="18"/>
                <w:shd w:val="clear" w:color="auto" w:fill="FFFFFF"/>
                <w14:textFill>
                  <w14:solidFill>
                    <w14:schemeClr w14:val="tx1"/>
                  </w14:solidFill>
                </w14:textFill>
              </w:rPr>
              <w:t>接触。搬运时要轻装轻卸，防止包装及容器损坏。配备泄漏应急处理设备。倒空的容器可能残留有害物。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储存注意事项</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储存于阴凉、通风的库房。远离火种、热源。库温不超过30℃，相对湿度不超过85％。保持容器密封。应与</w:t>
            </w:r>
            <w:r>
              <w:rPr>
                <w:rFonts w:hint="eastAsia" w:ascii="Times New Roman" w:hAnsi="Times New Roman"/>
                <w:bCs/>
                <w:color w:val="000000" w:themeColor="text1"/>
                <w:sz w:val="18"/>
                <w:szCs w:val="18"/>
                <w:shd w:val="clear" w:color="auto" w:fill="FFFFFF"/>
                <w14:textFill>
                  <w14:solidFill>
                    <w14:schemeClr w14:val="tx1"/>
                  </w14:solidFill>
                </w14:textFill>
              </w:rPr>
              <w:t>酸</w:t>
            </w:r>
            <w:r>
              <w:rPr>
                <w:rFonts w:ascii="Times New Roman" w:hAnsi="Times New Roman"/>
                <w:bCs/>
                <w:color w:val="000000" w:themeColor="text1"/>
                <w:sz w:val="18"/>
                <w:szCs w:val="18"/>
                <w:shd w:val="clear" w:color="auto" w:fill="FFFFFF"/>
                <w14:textFill>
                  <w14:solidFill>
                    <w14:schemeClr w14:val="tx1"/>
                  </w14:solidFill>
                </w14:textFill>
              </w:rPr>
              <w:t>类、活性金属粉末、分开存放，切忌混储。储区应备有泄漏应急处理设备和合适的收容材料。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应急处理</w:t>
            </w:r>
          </w:p>
        </w:tc>
        <w:tc>
          <w:tcPr>
            <w:tcW w:w="7106" w:type="dxa"/>
            <w:gridSpan w:val="7"/>
            <w:tcBorders>
              <w:tl2br w:val="nil"/>
              <w:tr2bl w:val="nil"/>
            </w:tcBorders>
            <w:vAlign w:val="center"/>
          </w:tcPr>
          <w:p>
            <w:pPr>
              <w:rPr>
                <w:rFonts w:ascii="Times New Roman" w:hAnsi="Times New Roman"/>
                <w:bCs/>
                <w:color w:val="000000" w:themeColor="text1"/>
                <w:sz w:val="18"/>
                <w:szCs w:val="18"/>
                <w:shd w:val="clear" w:color="auto" w:fill="FFFFFF"/>
                <w14:textFill>
                  <w14:solidFill>
                    <w14:schemeClr w14:val="tx1"/>
                  </w14:solidFill>
                </w14:textFill>
              </w:rPr>
            </w:pPr>
            <w:r>
              <w:rPr>
                <w:rFonts w:hint="eastAsia" w:ascii="Times New Roman" w:hAnsi="Times New Roman"/>
                <w:bCs/>
                <w:color w:val="000000" w:themeColor="text1"/>
                <w:sz w:val="18"/>
                <w:szCs w:val="18"/>
                <w:shd w:val="clear" w:color="auto" w:fill="FFFFFF"/>
                <w14:textFill>
                  <w14:solidFill>
                    <w14:schemeClr w14:val="tx1"/>
                  </w14:solidFill>
                </w14:textFill>
              </w:rPr>
              <w:t>隔离泄漏污染区，限值出入。建议应急处理人员戴防尘面具（全面罩），穿防酸碱工作服。不要直接接触泄漏物。小量泄漏：避免扬尘，用洁净的铲子收集于干燥、洁净、有盖的容器中。也可以用大量水冲洗，洗水稀释后放入废水系统。大量泄漏：收集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pacing w:val="10"/>
                <w:sz w:val="18"/>
                <w:szCs w:val="18"/>
                <w14:textFill>
                  <w14:solidFill>
                    <w14:schemeClr w14:val="tx1"/>
                  </w14:solidFill>
                </w14:textFill>
              </w:rPr>
            </w:pPr>
            <w:r>
              <w:rPr>
                <w:rFonts w:ascii="Times New Roman" w:hAnsi="Times New Roman"/>
                <w:bCs/>
                <w:color w:val="000000" w:themeColor="text1"/>
                <w:spacing w:val="10"/>
                <w:sz w:val="18"/>
                <w:szCs w:val="18"/>
                <w14:textFill>
                  <w14:solidFill>
                    <w14:schemeClr w14:val="tx1"/>
                  </w14:solidFill>
                </w14:textFill>
              </w:rPr>
              <w:t>运输注意事项</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铁路运输时应严格按照铁道部《危险货物运输规则》中的危险货物配装表进行配装。起运时包装要完整，装载应稳妥。运输过程中要确保容器不泄漏、不倒塌、不坠落、不损坏。严禁与</w:t>
            </w:r>
            <w:r>
              <w:rPr>
                <w:rFonts w:hint="eastAsia" w:ascii="Times New Roman" w:hAnsi="Times New Roman"/>
                <w:bCs/>
                <w:color w:val="000000" w:themeColor="text1"/>
                <w:sz w:val="18"/>
                <w:szCs w:val="18"/>
                <w:shd w:val="clear" w:color="auto" w:fill="FFFFFF"/>
                <w14:textFill>
                  <w14:solidFill>
                    <w14:schemeClr w14:val="tx1"/>
                  </w14:solidFill>
                </w14:textFill>
              </w:rPr>
              <w:t>易染物或可燃物、酸类、食用化学品等混装混运</w:t>
            </w:r>
            <w:r>
              <w:rPr>
                <w:rFonts w:ascii="Times New Roman" w:hAnsi="Times New Roman"/>
                <w:bCs/>
                <w:color w:val="000000" w:themeColor="text1"/>
                <w:sz w:val="18"/>
                <w:szCs w:val="18"/>
                <w:shd w:val="clear" w:color="auto" w:fill="FFFFFF"/>
                <w14:textFill>
                  <w14:solidFill>
                    <w14:schemeClr w14:val="tx1"/>
                  </w14:solidFill>
                </w14:textFill>
              </w:rPr>
              <w:t>。运输时运输车辆应配备泄漏应急处理设备。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73" w:type="dxa"/>
            <w:vMerge w:val="continue"/>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p>
        </w:tc>
        <w:tc>
          <w:tcPr>
            <w:tcW w:w="1707" w:type="dxa"/>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14:textFill>
                  <w14:solidFill>
                    <w14:schemeClr w14:val="tx1"/>
                  </w14:solidFill>
                </w14:textFill>
              </w:rPr>
              <w:t>灭火方法</w:t>
            </w:r>
          </w:p>
        </w:tc>
        <w:tc>
          <w:tcPr>
            <w:tcW w:w="7106" w:type="dxa"/>
            <w:gridSpan w:val="7"/>
            <w:tcBorders>
              <w:tl2br w:val="nil"/>
              <w:tr2bl w:val="nil"/>
            </w:tcBorders>
            <w:vAlign w:val="center"/>
          </w:tcPr>
          <w:p>
            <w:pPr>
              <w:rPr>
                <w:rFonts w:ascii="Times New Roman" w:hAnsi="Times New Roman"/>
                <w:bCs/>
                <w:color w:val="000000" w:themeColor="text1"/>
                <w:sz w:val="18"/>
                <w:szCs w:val="18"/>
                <w14:textFill>
                  <w14:solidFill>
                    <w14:schemeClr w14:val="tx1"/>
                  </w14:solidFill>
                </w14:textFill>
              </w:rPr>
            </w:pPr>
            <w:r>
              <w:rPr>
                <w:rFonts w:ascii="Times New Roman" w:hAnsi="Times New Roman"/>
                <w:bCs/>
                <w:color w:val="000000" w:themeColor="text1"/>
                <w:sz w:val="18"/>
                <w:szCs w:val="18"/>
                <w:shd w:val="clear" w:color="auto" w:fill="FFFFFF"/>
                <w14:textFill>
                  <w14:solidFill>
                    <w14:schemeClr w14:val="tx1"/>
                  </w14:solidFill>
                </w14:textFill>
              </w:rPr>
              <w:t>灭火剂：雾状水、泡沫。</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44" w:name="_Toc16989"/>
      <w:bookmarkStart w:id="645" w:name="_Toc28386"/>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.4.2生产系统风险识别</w:t>
      </w:r>
      <w:bookmarkEnd w:id="644"/>
      <w:bookmarkEnd w:id="645"/>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生产系统危险性识别包括：主要生产装置、贮运系统、公用工程系统、工程环保设施及辅助生产设施等。结合厂区平面布置图和物质危险性识别，拟建项目主要危险设施为生产装置、贮运系统、环保系统</w:t>
      </w:r>
      <w:r>
        <w:rPr>
          <w:rFonts w:ascii="Times New Roman" w:hAnsiTheme="minorEastAsia" w:eastAsiaTheme="minorEastAsia"/>
          <w:color w:val="000000" w:themeColor="text1"/>
          <w:kern w:val="0"/>
          <w:sz w:val="24"/>
          <w:szCs w:val="24"/>
          <w14:textFill>
            <w14:solidFill>
              <w14:schemeClr w14:val="tx1"/>
            </w14:solidFill>
          </w14:textFill>
        </w:rPr>
        <w:t>。</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1、生产装置危险性识别</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由于生产过程中的周期性较长，使整个生产过程中的各类设备的可靠性要求很高，设计中考虑不周、施工中应关不严或者运行中的松懈，操作不当，都可能造成物料泄露，引起工作人员的化学灼伤、中毒，甚至火灾爆炸等事故。因此工艺过程中可能会导致事故如下：</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①运行过程中未严格控制工艺技术指标，造成生产时，系统负荷超标影响生产运行和产品质量并发生事故；</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②不能准确分析故障原因、判断故障部位和正确处理各类故障，潜在危险不能及时排除，致使生产不能正常运行；</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③设备维护保养不严格，在生产运行过程中出现设备故障。</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④若交接班交接不清，记录不明，盲目运行造成操作失误。</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⑤未按规定进行巡回检查，不能及时发现和排除异常情况。</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⑥若操作工违反劳动纪律，不能及时调整工艺参数，可能引发事故。</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2、贮存及运输过程风险识别</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①输送氟硅酸至反应槽时，若管道、泵等设备泄露导致氟硅酸外泄，引起事故。</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②危险化学品储存时若不按照危险化学品的特性分区储存，混合存放的化学品可能发生化学反应，引起火灾、爆炸。</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③若仓库内危险货物摆放过多，阻挡库房内通往消防器材的消防通道，且发生火灾事故，不能及时采取灭火措施，将导致事故扩大化。</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④库房地面未设防潮措施，若包装物长期受潮，可能腐蚀包装物，造成包装容器内物料泄漏，引起事故。</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⑤在储存过程中，若作业人员不能了解和掌握危险化学品的理化特性和安全操作规程，在储存、养护、装卸、搬运过程中不能采用正确方法，易引发事故。在引发事故时，又不能制定正确的消防措施及安全防护措施和人员伤害急救措施，不能使发生的事故如到正确有效的处理，可造成人员伤亡。</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3、环保措施运行时的风险识别</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项目导致废气事故排放的主要原因有废气收集管道破裂、接头处的破损或处置设施故障导致废气事故排放，污染大气环境。厂区设有事故应急池，事故状况下废水可及时收集，一般情况下不会发生废水事故排放，因此也不会对受纳水体长江产生影响。废水事故排放可能的主要原因是生产装置内母液槽受压力或其他因素影响而产生破损，导致高浓度酸性废水持续下渗而污染厂区地下水，影响附近的地下水体</w:t>
      </w:r>
      <w:r>
        <w:rPr>
          <w:rFonts w:ascii="Times New Roman" w:hAnsiTheme="minorEastAsia" w:eastAsiaTheme="minorEastAsia"/>
          <w:color w:val="000000" w:themeColor="text1"/>
          <w:kern w:val="0"/>
          <w:sz w:val="24"/>
          <w:szCs w:val="24"/>
          <w14:textFill>
            <w14:solidFill>
              <w14:schemeClr w14:val="tx1"/>
            </w14:solidFill>
          </w14:textFill>
        </w:rPr>
        <w:t>。</w:t>
      </w:r>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46" w:name="_Toc26380"/>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5环境</w:t>
      </w:r>
      <w:r>
        <w:rPr>
          <w:rFonts w:hint="eastAsia" w:ascii="黑体" w:hAnsi="黑体" w:eastAsia="黑体"/>
          <w:b/>
          <w:color w:val="000000" w:themeColor="text1"/>
          <w:sz w:val="32"/>
          <w:szCs w:val="32"/>
          <w14:textFill>
            <w14:solidFill>
              <w14:schemeClr w14:val="tx1"/>
            </w14:solidFill>
          </w14:textFill>
        </w:rPr>
        <w:t>风险类型及危害分析</w:t>
      </w:r>
      <w:bookmarkEnd w:id="646"/>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（1）潜在环境风险事故分析</w:t>
      </w:r>
    </w:p>
    <w:p>
      <w:pPr>
        <w:autoSpaceDE w:val="0"/>
        <w:autoSpaceDN w:val="0"/>
        <w:adjustRightInd w:val="0"/>
        <w:spacing w:line="520" w:lineRule="exact"/>
        <w:ind w:firstLine="480" w:firstLineChars="200"/>
        <w:jc w:val="left"/>
        <w:rPr>
          <w:rFonts w:ascii="Times New Roman" w:hAnsiTheme="minorEastAsia"/>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本次事故分析不考虑工程外部事故风险因素（如地震、雷电等自然灾害一级战争、认为蓄意破坏等）</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根据企业的资料准备与环境风险识别结果可知，各功能单元潜在的环境风险事故见下表</w:t>
      </w:r>
      <w:r>
        <w:rPr>
          <w:rFonts w:hint="eastAsia"/>
          <w:color w:val="000000" w:themeColor="text1"/>
          <w:sz w:val="24"/>
          <w:szCs w:val="24"/>
          <w14:textFill>
            <w14:solidFill>
              <w14:schemeClr w14:val="tx1"/>
            </w14:solidFill>
          </w14:textFill>
        </w:rPr>
        <w:t>。</w:t>
      </w:r>
    </w:p>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7</w:t>
      </w:r>
      <w:r>
        <w:rPr>
          <w:rFonts w:ascii="Times New Roman" w:hAnsi="Times New Roman"/>
          <w:b/>
          <w:bCs/>
          <w:color w:val="000000" w:themeColor="text1"/>
          <w:sz w:val="24"/>
          <w:szCs w:val="24"/>
          <w14:textFill>
            <w14:solidFill>
              <w14:schemeClr w14:val="tx1"/>
            </w14:solidFill>
          </w14:textFill>
        </w:rPr>
        <w:t>.5-1 各功能单元潜在的环境风险事故</w:t>
      </w:r>
    </w:p>
    <w:tbl>
      <w:tblPr>
        <w:tblStyle w:val="87"/>
        <w:tblW w:w="8997" w:type="dxa"/>
        <w:tblInd w:w="9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99"/>
        <w:gridCol w:w="1373"/>
        <w:gridCol w:w="1241"/>
        <w:gridCol w:w="1792"/>
        <w:gridCol w:w="1241"/>
        <w:gridCol w:w="19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rPr>
        <w:tc>
          <w:tcPr>
            <w:tcW w:w="1399" w:type="dxa"/>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功能单元</w:t>
            </w:r>
          </w:p>
        </w:tc>
        <w:tc>
          <w:tcPr>
            <w:tcW w:w="1373" w:type="dxa"/>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风险物质</w:t>
            </w:r>
          </w:p>
        </w:tc>
        <w:tc>
          <w:tcPr>
            <w:tcW w:w="1241" w:type="dxa"/>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潜在事故</w:t>
            </w:r>
          </w:p>
        </w:tc>
        <w:tc>
          <w:tcPr>
            <w:tcW w:w="1792" w:type="dxa"/>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发生的可能原因</w:t>
            </w:r>
          </w:p>
        </w:tc>
        <w:tc>
          <w:tcPr>
            <w:tcW w:w="1241" w:type="dxa"/>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影响途径</w:t>
            </w:r>
          </w:p>
        </w:tc>
        <w:tc>
          <w:tcPr>
            <w:tcW w:w="1951" w:type="dxa"/>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对周围环境的影响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399"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生产车间</w:t>
            </w:r>
          </w:p>
        </w:tc>
        <w:tc>
          <w:tcPr>
            <w:tcW w:w="1373" w:type="dxa"/>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p>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氟硅酸、氟硅酸钠、废酸（15%氟硅酸+2%氢氟酸）</w:t>
            </w:r>
          </w:p>
        </w:tc>
        <w:tc>
          <w:tcPr>
            <w:tcW w:w="1241" w:type="dxa"/>
            <w:tcBorders>
              <w:tl2br w:val="nil"/>
              <w:tr2bl w:val="nil"/>
            </w:tcBorders>
            <w:vAlign w:val="center"/>
          </w:tcPr>
          <w:p>
            <w:pPr>
              <w:pStyle w:val="107"/>
              <w:jc w:val="center"/>
              <w:rPr>
                <w:rFonts w:ascii="Times New Roman" w:hAnsi="Times New Roman"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18"/>
                <w:szCs w:val="18"/>
                <w14:textFill>
                  <w14:solidFill>
                    <w14:schemeClr w14:val="tx1"/>
                  </w14:solidFill>
                </w14:textFill>
              </w:rPr>
              <w:t>泄漏</w:t>
            </w:r>
          </w:p>
        </w:tc>
        <w:tc>
          <w:tcPr>
            <w:tcW w:w="1792"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设备老化、管道破</w:t>
            </w:r>
          </w:p>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解、阀门不严、操作不当</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大气、土壤、地下水</w:t>
            </w:r>
          </w:p>
        </w:tc>
        <w:tc>
          <w:tcPr>
            <w:tcW w:w="195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污染大气、土壤、地下水环境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99" w:type="dxa"/>
            <w:vMerge w:val="restart"/>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运输系统</w:t>
            </w:r>
          </w:p>
        </w:tc>
        <w:tc>
          <w:tcPr>
            <w:tcW w:w="1373" w:type="dxa"/>
            <w:vMerge w:val="restart"/>
            <w:tcBorders>
              <w:tl2br w:val="nil"/>
              <w:tr2bl w:val="nil"/>
            </w:tcBorders>
            <w:vAlign w:val="center"/>
          </w:tcPr>
          <w:p>
            <w:pPr>
              <w:pStyle w:val="107"/>
              <w:jc w:val="center"/>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bCs/>
                <w:color w:val="000000" w:themeColor="text1"/>
                <w:sz w:val="18"/>
                <w:szCs w:val="18"/>
                <w14:textFill>
                  <w14:solidFill>
                    <w14:schemeClr w14:val="tx1"/>
                  </w14:solidFill>
                </w14:textFill>
              </w:rPr>
              <w:t>氟硅酸</w:t>
            </w:r>
          </w:p>
        </w:tc>
        <w:tc>
          <w:tcPr>
            <w:tcW w:w="1241" w:type="dxa"/>
            <w:vMerge w:val="restart"/>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泄漏</w:t>
            </w:r>
          </w:p>
        </w:tc>
        <w:tc>
          <w:tcPr>
            <w:tcW w:w="1792"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输送管道破损、断裂</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地下水、土壤</w:t>
            </w:r>
          </w:p>
        </w:tc>
        <w:tc>
          <w:tcPr>
            <w:tcW w:w="195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污染土壤、地下水环境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2" w:hRule="atLeast"/>
        </w:trPr>
        <w:tc>
          <w:tcPr>
            <w:tcW w:w="1399" w:type="dxa"/>
            <w:vMerge w:val="continue"/>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p>
        </w:tc>
        <w:tc>
          <w:tcPr>
            <w:tcW w:w="1373" w:type="dxa"/>
            <w:vMerge w:val="continue"/>
            <w:tcBorders>
              <w:tl2br w:val="nil"/>
              <w:tr2bl w:val="nil"/>
            </w:tcBorders>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p>
        </w:tc>
        <w:tc>
          <w:tcPr>
            <w:tcW w:w="1241" w:type="dxa"/>
            <w:vMerge w:val="continue"/>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p>
        </w:tc>
        <w:tc>
          <w:tcPr>
            <w:tcW w:w="1792" w:type="dxa"/>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运输车辆发生碰撞、翻车等事故</w:t>
            </w:r>
          </w:p>
        </w:tc>
        <w:tc>
          <w:tcPr>
            <w:tcW w:w="1241" w:type="dxa"/>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土壤、地表水、地下水</w:t>
            </w:r>
          </w:p>
        </w:tc>
        <w:tc>
          <w:tcPr>
            <w:tcW w:w="1951" w:type="dxa"/>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污染土壤、地表水、地下水环境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56" w:hRule="atLeast"/>
        </w:trPr>
        <w:tc>
          <w:tcPr>
            <w:tcW w:w="1399" w:type="dxa"/>
            <w:tcBorders>
              <w:tl2br w:val="nil"/>
              <w:tr2bl w:val="nil"/>
            </w:tcBorders>
            <w:vAlign w:val="center"/>
          </w:tcPr>
          <w:p>
            <w:pPr>
              <w:pStyle w:val="107"/>
              <w:jc w:val="center"/>
              <w:rPr>
                <w:rFonts w:ascii="Times New Roman" w:hAnsi="Times New Roman"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18"/>
                <w:szCs w:val="18"/>
                <w14:textFill>
                  <w14:solidFill>
                    <w14:schemeClr w14:val="tx1"/>
                  </w14:solidFill>
                </w14:textFill>
              </w:rPr>
              <w:t>废气处理系统</w:t>
            </w:r>
          </w:p>
        </w:tc>
        <w:tc>
          <w:tcPr>
            <w:tcW w:w="1373"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废气</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废气事故排放</w:t>
            </w:r>
          </w:p>
        </w:tc>
        <w:tc>
          <w:tcPr>
            <w:tcW w:w="1792"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废气处理系统发生故障</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大气</w:t>
            </w:r>
          </w:p>
        </w:tc>
        <w:tc>
          <w:tcPr>
            <w:tcW w:w="195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污染大气环境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56" w:hRule="atLeast"/>
        </w:trPr>
        <w:tc>
          <w:tcPr>
            <w:tcW w:w="1399" w:type="dxa"/>
            <w:tcBorders>
              <w:tl2br w:val="nil"/>
              <w:tr2bl w:val="nil"/>
            </w:tcBorders>
            <w:vAlign w:val="center"/>
          </w:tcPr>
          <w:p>
            <w:pPr>
              <w:pStyle w:val="107"/>
              <w:jc w:val="center"/>
              <w:rPr>
                <w:rFonts w:ascii="宋体" w:hAnsi="宋体" w:eastAsia="宋体" w:cs="宋体"/>
                <w:bCs/>
                <w:color w:val="000000" w:themeColor="text1"/>
                <w:sz w:val="18"/>
                <w:szCs w:val="18"/>
                <w14:textFill>
                  <w14:solidFill>
                    <w14:schemeClr w14:val="tx1"/>
                  </w14:solidFill>
                </w14:textFill>
              </w:rPr>
            </w:pPr>
            <w:r>
              <w:rPr>
                <w:rFonts w:hint="eastAsia" w:ascii="宋体" w:hAnsi="宋体" w:eastAsia="宋体" w:cs="宋体"/>
                <w:bCs/>
                <w:color w:val="000000" w:themeColor="text1"/>
                <w:sz w:val="18"/>
                <w:szCs w:val="18"/>
                <w14:textFill>
                  <w14:solidFill>
                    <w14:schemeClr w14:val="tx1"/>
                  </w14:solidFill>
                </w14:textFill>
              </w:rPr>
              <w:t>事故应急池</w:t>
            </w:r>
          </w:p>
        </w:tc>
        <w:tc>
          <w:tcPr>
            <w:tcW w:w="1373"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事故废水</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泄漏</w:t>
            </w:r>
          </w:p>
        </w:tc>
        <w:tc>
          <w:tcPr>
            <w:tcW w:w="1792"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池底破损，废水下渗</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地下水、土壤</w:t>
            </w:r>
          </w:p>
        </w:tc>
        <w:tc>
          <w:tcPr>
            <w:tcW w:w="195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污染土壤、地下水环境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399"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危废暂存间</w:t>
            </w:r>
          </w:p>
        </w:tc>
        <w:tc>
          <w:tcPr>
            <w:tcW w:w="1373"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危险废物</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泄漏</w:t>
            </w:r>
          </w:p>
        </w:tc>
        <w:tc>
          <w:tcPr>
            <w:tcW w:w="1792"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防渗措施失效</w:t>
            </w:r>
          </w:p>
        </w:tc>
        <w:tc>
          <w:tcPr>
            <w:tcW w:w="124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土壤、地下水</w:t>
            </w:r>
          </w:p>
        </w:tc>
        <w:tc>
          <w:tcPr>
            <w:tcW w:w="1951" w:type="dxa"/>
            <w:tcBorders>
              <w:tl2br w:val="nil"/>
              <w:tr2bl w:val="nil"/>
            </w:tcBorders>
            <w:vAlign w:val="center"/>
          </w:tcPr>
          <w:p>
            <w:pPr>
              <w:pStyle w:val="107"/>
              <w:jc w:val="center"/>
              <w:rPr>
                <w:rFonts w:ascii="Times New Roman" w:hAnsi="Times New Roman" w:eastAsia="宋体" w:cs="Times New Roman"/>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18"/>
                <w:szCs w:val="18"/>
                <w14:textFill>
                  <w14:solidFill>
                    <w14:schemeClr w14:val="tx1"/>
                  </w14:solidFill>
                </w14:textFill>
              </w:rPr>
              <w:t>污染土壤、地下水环境</w:t>
            </w:r>
          </w:p>
        </w:tc>
      </w:tr>
    </w:tbl>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（2）</w:t>
      </w:r>
      <w:r>
        <w:rPr>
          <w:color w:val="000000" w:themeColor="text1"/>
          <w:sz w:val="24"/>
          <w14:textFill>
            <w14:solidFill>
              <w14:schemeClr w14:val="tx1"/>
            </w14:solidFill>
          </w14:textFill>
        </w:rPr>
        <w:t>事故情况下污染物转移途径及危害形式</w:t>
      </w:r>
    </w:p>
    <w:p>
      <w:pPr>
        <w:autoSpaceDE w:val="0"/>
        <w:autoSpaceDN w:val="0"/>
        <w:adjustRightInd w:val="0"/>
        <w:spacing w:line="520" w:lineRule="exact"/>
        <w:ind w:firstLine="480" w:firstLineChars="2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color w:val="000000" w:themeColor="text1"/>
          <w:kern w:val="0"/>
          <w:sz w:val="24"/>
          <w:szCs w:val="24"/>
          <w14:textFill>
            <w14:solidFill>
              <w14:schemeClr w14:val="tx1"/>
            </w14:solidFill>
          </w14:textFill>
        </w:rPr>
        <w:t>一旦发生事故，其危险性物质将通过大气、水体、土壤、地下水等途径进入环境， 对环境造成影响和危害，其污染物的转移途径和危害形式见下表。</w:t>
      </w:r>
    </w:p>
    <w:p>
      <w:pPr>
        <w:autoSpaceDE w:val="0"/>
        <w:autoSpaceDN w:val="0"/>
        <w:adjustRightInd w:val="0"/>
        <w:spacing w:line="520" w:lineRule="exact"/>
        <w:ind w:firstLine="2650" w:firstLineChars="1100"/>
        <w:jc w:val="left"/>
        <w:rPr>
          <w:rFonts w:ascii="Times New Roman" w:hAnsiTheme="minorEastAsia" w:eastAsiaTheme="minorEastAsia"/>
          <w:color w:val="000000" w:themeColor="text1"/>
          <w:kern w:val="0"/>
          <w:sz w:val="24"/>
          <w:szCs w:val="24"/>
          <w14:textFill>
            <w14:solidFill>
              <w14:schemeClr w14:val="tx1"/>
            </w14:solidFill>
          </w14:textFill>
        </w:rPr>
      </w:pPr>
      <w:r>
        <w:rPr>
          <w:rFonts w:hint="eastAsia" w:ascii="Times New Roman" w:hAnsiTheme="minorEastAsia" w:eastAsiaTheme="minorEastAsia"/>
          <w:b/>
          <w:bCs/>
          <w:color w:val="000000" w:themeColor="text1"/>
          <w:kern w:val="0"/>
          <w:sz w:val="24"/>
          <w:szCs w:val="24"/>
          <w14:textFill>
            <w14:solidFill>
              <w14:schemeClr w14:val="tx1"/>
            </w14:solidFill>
          </w14:textFill>
        </w:rPr>
        <w:t>表</w:t>
      </w:r>
      <w:r>
        <w:rPr>
          <w:rFonts w:hint="eastAsia" w:ascii="Times New Roman" w:hAnsiTheme="minorEastAsia" w:eastAsiaTheme="minorEastAsia"/>
          <w:b/>
          <w:bCs/>
          <w:color w:val="000000" w:themeColor="text1"/>
          <w:kern w:val="0"/>
          <w:sz w:val="24"/>
          <w:szCs w:val="24"/>
          <w:lang w:val="en-US" w:eastAsia="zh-CN"/>
          <w14:textFill>
            <w14:solidFill>
              <w14:schemeClr w14:val="tx1"/>
            </w14:solidFill>
          </w14:textFill>
        </w:rPr>
        <w:t>7</w:t>
      </w:r>
      <w:r>
        <w:rPr>
          <w:rFonts w:hint="eastAsia" w:ascii="Times New Roman" w:hAnsiTheme="minorEastAsia" w:eastAsiaTheme="minorEastAsia"/>
          <w:b/>
          <w:bCs/>
          <w:color w:val="000000" w:themeColor="text1"/>
          <w:kern w:val="0"/>
          <w:sz w:val="24"/>
          <w:szCs w:val="24"/>
          <w14:textFill>
            <w14:solidFill>
              <w14:schemeClr w14:val="tx1"/>
            </w14:solidFill>
          </w14:textFill>
        </w:rPr>
        <w:t>.5-2 事故危害污染途径</w:t>
      </w:r>
    </w:p>
    <w:tbl>
      <w:tblPr>
        <w:tblStyle w:val="87"/>
        <w:tblW w:w="8959" w:type="dxa"/>
        <w:tblInd w:w="4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45"/>
        <w:gridCol w:w="1582"/>
        <w:gridCol w:w="1870"/>
        <w:gridCol w:w="38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trPr>
        <w:tc>
          <w:tcPr>
            <w:tcW w:w="1645" w:type="dxa"/>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事故类型</w:t>
            </w:r>
          </w:p>
        </w:tc>
        <w:tc>
          <w:tcPr>
            <w:tcW w:w="1582" w:type="dxa"/>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事故位置</w:t>
            </w:r>
          </w:p>
        </w:tc>
        <w:tc>
          <w:tcPr>
            <w:tcW w:w="1870"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事故影响类型</w:t>
            </w:r>
          </w:p>
        </w:tc>
        <w:tc>
          <w:tcPr>
            <w:tcW w:w="3862"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污染物转移途径及危害形式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645"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火灾</w:t>
            </w:r>
          </w:p>
        </w:tc>
        <w:tc>
          <w:tcPr>
            <w:tcW w:w="1582"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装置储运系统</w:t>
            </w:r>
          </w:p>
        </w:tc>
        <w:tc>
          <w:tcPr>
            <w:tcW w:w="1870"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热辐射烟雾</w:t>
            </w:r>
          </w:p>
        </w:tc>
        <w:tc>
          <w:tcPr>
            <w:tcW w:w="3862" w:type="dxa"/>
            <w:tcBorders>
              <w:tl2br w:val="nil"/>
              <w:tr2bl w:val="nil"/>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扩散到大气环境中，造成</w:t>
            </w:r>
            <w:r>
              <w:rPr>
                <w:color w:val="000000" w:themeColor="text1"/>
                <w:sz w:val="18"/>
                <w:szCs w:val="18"/>
                <w14:textFill>
                  <w14:solidFill>
                    <w14:schemeClr w14:val="tx1"/>
                  </w14:solidFill>
                </w14:textFill>
              </w:rPr>
              <w:t>财产损失，人员伤亡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trPr>
        <w:tc>
          <w:tcPr>
            <w:tcW w:w="1645" w:type="dxa"/>
            <w:tcBorders>
              <w:tl2br w:val="nil"/>
              <w:tr2bl w:val="nil"/>
            </w:tcBorders>
            <w:vAlign w:val="center"/>
          </w:tcPr>
          <w:p>
            <w:pPr>
              <w:widowControl/>
              <w:jc w:val="center"/>
              <w:rPr>
                <w:color w:val="000000" w:themeColor="text1"/>
                <w14:textFill>
                  <w14:solidFill>
                    <w14:schemeClr w14:val="tx1"/>
                  </w14:solidFill>
                </w14:textFill>
              </w:rPr>
            </w:pPr>
            <w:r>
              <w:rPr>
                <w:color w:val="000000" w:themeColor="text1"/>
                <w:sz w:val="18"/>
                <w:szCs w:val="18"/>
                <w14:textFill>
                  <w14:solidFill>
                    <w14:schemeClr w14:val="tx1"/>
                  </w14:solidFill>
                </w14:textFill>
              </w:rPr>
              <w:t>爆炸</w:t>
            </w:r>
          </w:p>
        </w:tc>
        <w:tc>
          <w:tcPr>
            <w:tcW w:w="1582"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装置储运系统</w:t>
            </w:r>
          </w:p>
        </w:tc>
        <w:tc>
          <w:tcPr>
            <w:tcW w:w="1870"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冲击波抛射物</w:t>
            </w:r>
          </w:p>
        </w:tc>
        <w:tc>
          <w:tcPr>
            <w:tcW w:w="3862" w:type="dxa"/>
            <w:tcBorders>
              <w:tl2br w:val="nil"/>
              <w:tr2bl w:val="nil"/>
            </w:tcBorders>
            <w:vAlign w:val="center"/>
          </w:tcPr>
          <w:p>
            <w:pPr>
              <w:widowControl/>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扩散到大气环境中，造成</w:t>
            </w:r>
            <w:r>
              <w:rPr>
                <w:color w:val="000000" w:themeColor="text1"/>
                <w:sz w:val="18"/>
                <w:szCs w:val="18"/>
                <w14:textFill>
                  <w14:solidFill>
                    <w14:schemeClr w14:val="tx1"/>
                  </w14:solidFill>
                </w14:textFill>
              </w:rPr>
              <w:t>财产损失，人员伤亡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trPr>
        <w:tc>
          <w:tcPr>
            <w:tcW w:w="1645" w:type="dxa"/>
            <w:tcBorders>
              <w:tl2br w:val="nil"/>
              <w:tr2bl w:val="nil"/>
            </w:tcBorders>
            <w:vAlign w:val="center"/>
          </w:tcPr>
          <w:p>
            <w:pPr>
              <w:widowControl/>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毒物泄漏</w:t>
            </w:r>
          </w:p>
        </w:tc>
        <w:tc>
          <w:tcPr>
            <w:tcW w:w="1582"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装置储运系统</w:t>
            </w:r>
          </w:p>
        </w:tc>
        <w:tc>
          <w:tcPr>
            <w:tcW w:w="1870" w:type="dxa"/>
            <w:tcBorders>
              <w:tl2br w:val="nil"/>
              <w:tr2bl w:val="nil"/>
            </w:tcBorders>
            <w:vAlign w:val="center"/>
          </w:tcPr>
          <w:p>
            <w:pPr>
              <w:widowControl/>
              <w:jc w:val="center"/>
              <w:rPr>
                <w:color w:val="000000" w:themeColor="text1"/>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毒物扩散</w:t>
            </w:r>
          </w:p>
        </w:tc>
        <w:tc>
          <w:tcPr>
            <w:tcW w:w="3862" w:type="dxa"/>
            <w:tcBorders>
              <w:tl2br w:val="nil"/>
              <w:tr2bl w:val="nil"/>
            </w:tcBorders>
            <w:vAlign w:val="center"/>
          </w:tcPr>
          <w:p>
            <w:pPr>
              <w:widowControl/>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扩散到大气、地下水、土壤环境中，造成人员伤害、污染环境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trPr>
        <w:tc>
          <w:tcPr>
            <w:tcW w:w="1645" w:type="dxa"/>
            <w:tcBorders>
              <w:tl2br w:val="nil"/>
              <w:tr2bl w:val="nil"/>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泄漏、渗漏</w:t>
            </w:r>
          </w:p>
        </w:tc>
        <w:tc>
          <w:tcPr>
            <w:tcW w:w="1582" w:type="dxa"/>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事故应急池</w:t>
            </w:r>
          </w:p>
        </w:tc>
        <w:tc>
          <w:tcPr>
            <w:tcW w:w="1870" w:type="dxa"/>
            <w:tcBorders>
              <w:tl2br w:val="nil"/>
              <w:tr2bl w:val="nil"/>
            </w:tcBorders>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事故废水直排</w:t>
            </w:r>
          </w:p>
        </w:tc>
        <w:tc>
          <w:tcPr>
            <w:tcW w:w="3862" w:type="dxa"/>
            <w:tcBorders>
              <w:tl2br w:val="nil"/>
              <w:tr2bl w:val="nil"/>
            </w:tcBorders>
            <w:vAlign w:val="center"/>
          </w:tcPr>
          <w:p>
            <w:pPr>
              <w:widowControl/>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进入地表水、地下水、土壤环境中，污染环境</w:t>
            </w:r>
          </w:p>
        </w:tc>
      </w:tr>
    </w:tbl>
    <w:p>
      <w:pPr>
        <w:autoSpaceDE w:val="0"/>
        <w:autoSpaceDN w:val="0"/>
        <w:adjustRightInd w:val="0"/>
        <w:spacing w:line="520" w:lineRule="exact"/>
        <w:jc w:val="left"/>
        <w:rPr>
          <w:rFonts w:ascii="黑体" w:hAnsi="黑体" w:eastAsia="黑体"/>
          <w:b/>
          <w:color w:val="000000" w:themeColor="text1"/>
          <w:sz w:val="32"/>
          <w:szCs w:val="32"/>
          <w14:textFill>
            <w14:solidFill>
              <w14:schemeClr w14:val="tx1"/>
            </w14:solidFill>
          </w14:textFill>
        </w:rPr>
      </w:pPr>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6 环境</w:t>
      </w:r>
      <w:r>
        <w:rPr>
          <w:rFonts w:hint="eastAsia" w:ascii="黑体" w:hAnsi="黑体" w:eastAsia="黑体"/>
          <w:b/>
          <w:color w:val="000000" w:themeColor="text1"/>
          <w:sz w:val="32"/>
          <w:szCs w:val="32"/>
          <w14:textFill>
            <w14:solidFill>
              <w14:schemeClr w14:val="tx1"/>
            </w14:solidFill>
          </w14:textFill>
        </w:rPr>
        <w:t>风险防范措施</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47" w:name="_Toc5652"/>
      <w:bookmarkStart w:id="648" w:name="_Toc17052"/>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.6.1强化风险意识、加强安全管理</w:t>
      </w:r>
      <w:bookmarkEnd w:id="647"/>
      <w:bookmarkEnd w:id="648"/>
    </w:p>
    <w:p>
      <w:pPr>
        <w:autoSpaceDE w:val="0"/>
        <w:autoSpaceDN w:val="0"/>
        <w:adjustRightInd w:val="0"/>
        <w:spacing w:line="520" w:lineRule="exact"/>
        <w:ind w:firstLine="480" w:firstLineChars="200"/>
        <w:jc w:val="left"/>
        <w:rPr>
          <w:rFonts w:asciiTheme="minorEastAsia" w:hAnsiTheme="minorEastAsia" w:eastAsiaTheme="minorEastAsia"/>
          <w:color w:val="000000" w:themeColor="text1"/>
          <w:kern w:val="0"/>
          <w:sz w:val="24"/>
          <w:szCs w:val="24"/>
          <w14:textFill>
            <w14:solidFill>
              <w14:schemeClr w14:val="tx1"/>
            </w14:solidFill>
          </w14:textFill>
        </w:rPr>
      </w:pPr>
      <w:r>
        <w:rPr>
          <w:rFonts w:asciiTheme="minorEastAsia" w:hAnsiTheme="minorEastAsia" w:eastAsiaTheme="minorEastAsia"/>
          <w:color w:val="000000" w:themeColor="text1"/>
          <w:kern w:val="0"/>
          <w:sz w:val="24"/>
          <w:szCs w:val="24"/>
          <w14:textFill>
            <w14:solidFill>
              <w14:schemeClr w14:val="tx1"/>
            </w14:solidFill>
          </w14:textFill>
        </w:rPr>
        <w:t>本项目环境风险主要是化学品使用过程中的潜在风险事故、环保设施异常导致的潜在风险事故及化学品贮运过程中潜在的事故风险。安全事故发生后，不仅对人员、财产造成损失，而且对周围环境有着难以弥补的损害。为避免风险事故发生，避免风险事故发生后对环境造成的严重污染，建设单位首先应树立环境风险意识，并在管理过程当中强化环境风险意识。在实际工作与管理过程当中应落实环境风险防患措施。</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（1）树立并强化环境风险意识</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贯彻</w:t>
      </w:r>
      <w:r>
        <w:rPr>
          <w:rFonts w:hint="eastAsia" w:ascii="Times New Roman" w:hAnsi="Times New Roman" w:eastAsiaTheme="minorEastAsia"/>
          <w:color w:val="000000" w:themeColor="text1"/>
          <w:kern w:val="0"/>
          <w:sz w:val="24"/>
          <w:szCs w:val="24"/>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安全第一，预防为主</w:t>
      </w:r>
      <w:r>
        <w:rPr>
          <w:rFonts w:hint="eastAsia" w:ascii="Times New Roman" w:hAnsi="Times New Roman" w:eastAsiaTheme="minorEastAsia"/>
          <w:color w:val="000000" w:themeColor="text1"/>
          <w:kern w:val="0"/>
          <w:sz w:val="24"/>
          <w:szCs w:val="24"/>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方针，树立环境风险意识，强化环境风险责任，体现环境保护的内容。</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（2）实行安全环保管理制度</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由风险分析可知，在运输、生产等过程中均有可能发生各种事故，事故发生后会对环境造成不同程度的污染，因此应有针对性地开展全面、全员、全过程的系统安全管理， 把安全工作的重点放在系统的安全隐患上，并从整体和全局上促进建设项目各个环节的安全操作，并建立监察、检测、管理，实行安全检查目标管理。</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（3）规范并强化风险预防措施</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为预防安全事故的发生，建设单位应制定安全管理规章制度，并采取相应的预防和处理措施。对防止安全事故的发生起到制度上、技术上的保证作用。</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（4）提高生产及管理人员技术水平</w:t>
      </w:r>
    </w:p>
    <w:p>
      <w:pPr>
        <w:autoSpaceDE w:val="0"/>
        <w:autoSpaceDN w:val="0"/>
        <w:adjustRightInd w:val="0"/>
        <w:spacing w:line="520" w:lineRule="exact"/>
        <w:ind w:firstLine="480" w:firstLineChars="2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人员的失误也是导致事故发生的重要因素之一。失误的原因主要是，由于技术水平低下、身体状况、工作疏忽。操作事故是生产过程中发生概率较大的风险事故，而操作及管理人员的技术水平则直接影响到此类事故的发生。建设单位应严格要求操作和管理人员的技术水平，职工上岗前必须参加培训，落实三级安全教育制度。</w:t>
      </w:r>
    </w:p>
    <w:p>
      <w:pPr>
        <w:autoSpaceDE w:val="0"/>
        <w:autoSpaceDN w:val="0"/>
        <w:adjustRightInd w:val="0"/>
        <w:spacing w:line="520" w:lineRule="exact"/>
        <w:ind w:firstLine="720" w:firstLineChars="30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（5）建立事故监测报警系统</w:t>
      </w:r>
    </w:p>
    <w:p>
      <w:pPr>
        <w:pStyle w:val="2"/>
        <w:spacing w:before="158" w:line="364" w:lineRule="auto"/>
        <w:ind w:left="300" w:right="356"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对厂内所有容易发生化学品泄露、燃烧的点设置实时监控系统，并与厂内预警系统进行连接；所有的外露生产装置与运输设施中的重大危险源设置应急设施。</w:t>
      </w:r>
    </w:p>
    <w:p>
      <w:pPr>
        <w:ind w:firstLine="720" w:firstLineChars="3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t>）加强检修现场的安全保卫工作</w:t>
      </w:r>
    </w:p>
    <w:p>
      <w:pPr>
        <w:pStyle w:val="2"/>
        <w:spacing w:before="158" w:line="364" w:lineRule="auto"/>
        <w:ind w:left="300" w:right="356"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检修期间，应预先准备好必要的安全保障设施。清理设备或拆卸管理时，应有安全人员在场，负责实施各项安全措施。</w:t>
      </w:r>
    </w:p>
    <w:p>
      <w:pPr>
        <w:ind w:firstLine="720" w:firstLineChars="3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7</w:t>
      </w:r>
      <w:r>
        <w:rPr>
          <w:rFonts w:ascii="Times New Roman" w:hAnsi="Times New Roman"/>
          <w:color w:val="000000" w:themeColor="text1"/>
          <w:sz w:val="24"/>
          <w:szCs w:val="24"/>
          <w14:textFill>
            <w14:solidFill>
              <w14:schemeClr w14:val="tx1"/>
            </w14:solidFill>
          </w14:textFill>
        </w:rPr>
        <w:t>）加强数据的日常记录与管理</w:t>
      </w:r>
    </w:p>
    <w:p>
      <w:pPr>
        <w:pStyle w:val="2"/>
        <w:spacing w:before="159" w:line="364" w:lineRule="auto"/>
        <w:ind w:left="300" w:right="351"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加强对废水、废气处理系统的各项操作参数等数据的日常记录与管理，以及外排废水、废气的监测，以便及时发现问题并能够及时采取减缓危害的措施。</w:t>
      </w:r>
    </w:p>
    <w:p>
      <w:pPr>
        <w:ind w:firstLine="720" w:firstLineChars="3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8</w:t>
      </w:r>
      <w:r>
        <w:rPr>
          <w:rFonts w:ascii="Times New Roman" w:hAnsi="Times New Roman"/>
          <w:color w:val="000000" w:themeColor="text1"/>
          <w:sz w:val="24"/>
          <w:szCs w:val="24"/>
          <w14:textFill>
            <w14:solidFill>
              <w14:schemeClr w14:val="tx1"/>
            </w14:solidFill>
          </w14:textFill>
        </w:rPr>
        <w:t>）从法律法规上加强管理</w:t>
      </w:r>
    </w:p>
    <w:p>
      <w:pPr>
        <w:pStyle w:val="2"/>
        <w:spacing w:before="159" w:line="364" w:lineRule="auto"/>
        <w:ind w:left="300" w:right="351"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为确保危险品运输安全，应严格遵守国家及有关部门制定的相关法规，主要有：《化学危险品安全管理条例》、《汽车危险货物运输规则》。</w:t>
      </w:r>
    </w:p>
    <w:p>
      <w:pPr>
        <w:ind w:firstLine="720" w:firstLineChars="3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保障应急物质供应</w:t>
      </w:r>
    </w:p>
    <w:p>
      <w:pPr>
        <w:pStyle w:val="2"/>
        <w:spacing w:before="159" w:line="364" w:lineRule="auto"/>
        <w:ind w:left="300" w:right="351"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公司常备应对突发环境事件的物资和人员装备，专门存放并由相应各组管理维护， 定期检查配备物资是质量否完好、数量是否足够，能否满足应急状态时的需要，并及时更新过期物资。</w:t>
      </w:r>
    </w:p>
    <w:p>
      <w:pPr>
        <w:rPr>
          <w:rFonts w:ascii="黑体" w:hAnsi="黑体" w:eastAsia="黑体" w:cs="黑体"/>
          <w:b/>
          <w:bCs/>
          <w:color w:val="000000" w:themeColor="text1"/>
          <w:sz w:val="28"/>
          <w:szCs w:val="28"/>
          <w14:textFill>
            <w14:solidFill>
              <w14:schemeClr w14:val="tx1"/>
            </w14:solidFill>
          </w14:textFill>
        </w:rPr>
      </w:pPr>
      <w:r>
        <w:rPr>
          <w:rFonts w:hint="eastAsia" w:ascii="Times New Roman" w:hAnsi="Times New Roman" w:eastAsia="黑体"/>
          <w:b/>
          <w:bCs/>
          <w:color w:val="000000" w:themeColor="text1"/>
          <w:sz w:val="28"/>
          <w:szCs w:val="28"/>
          <w:lang w:val="en-US" w:eastAsia="zh-CN"/>
          <w14:textFill>
            <w14:solidFill>
              <w14:schemeClr w14:val="tx1"/>
            </w14:solidFill>
          </w14:textFill>
        </w:rPr>
        <w:t>7</w:t>
      </w:r>
      <w:r>
        <w:rPr>
          <w:rFonts w:ascii="Times New Roman" w:hAnsi="Times New Roman" w:eastAsia="黑体"/>
          <w:b/>
          <w:bCs/>
          <w:color w:val="000000" w:themeColor="text1"/>
          <w:sz w:val="28"/>
          <w:szCs w:val="28"/>
          <w14:textFill>
            <w14:solidFill>
              <w14:schemeClr w14:val="tx1"/>
            </w14:solidFill>
          </w14:textFill>
        </w:rPr>
        <w:t>.6.2</w:t>
      </w:r>
      <w:r>
        <w:rPr>
          <w:rFonts w:hint="eastAsia" w:ascii="黑体" w:hAnsi="黑体" w:eastAsia="黑体" w:cs="黑体"/>
          <w:b/>
          <w:bCs/>
          <w:color w:val="000000" w:themeColor="text1"/>
          <w:sz w:val="28"/>
          <w:szCs w:val="28"/>
          <w14:textFill>
            <w14:solidFill>
              <w14:schemeClr w14:val="tx1"/>
            </w14:solidFill>
          </w14:textFill>
        </w:rPr>
        <w:t>物料运输风险防范措施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部分原料为有毒化学品，在运输过程中具有一定的的危险性，因此在运输过程中应小心谨慎，必须委托有运输资质和经验的运输单位承担，确保安全。为此应采取如下运输管理措施：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①合理规划运输时间，避免在车流和人流高峰时间运输。</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②特殊物料的装运应做到定车、定人。定车就是要使用危险品专用运输车辆，定人就是应有经过培训的专业人员负责驾驶、装卸等工作，从人员上保障运输过程中的安全。</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③各危险品运输车辆的明显位置应有规定的危险物品标志。</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④在各物料运输过程中，一旦发生意外，在采取紧急处理的同时，迅速报告公安机关和环保等有关部门，必要时疏散群众，防止事态进一步扩大，并积极协助公安交通和消防人员抢救伤者和物资，使损失降低到最小程度。</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⑤应对各运输车辆定期维护和检修，防患于未然，保持车辆在良好的工作状态。</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49" w:name="_Toc24996"/>
      <w:bookmarkStart w:id="650" w:name="_Toc12488"/>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.6.3物料存储风险防范措施</w:t>
      </w:r>
      <w:bookmarkEnd w:id="649"/>
      <w:bookmarkEnd w:id="650"/>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储存过程事故风险主要是因设备泄漏而造成的火灾爆炸、毒物泄漏、毒气释放和水质污染等事故，是安全生产的重要方面。</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由于项目使用的部分原料具有毒性，在储存过程中应小心谨慎，熟知每种物料的性质和贮存注意事项，根据物料的燃爆特性及挥发特性等进行储存。要严格遵守有关贮存的安全规定。</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车间、仓库应按消防要求配置消防灭火系统。</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仓库管理人员，必须经过专业知识培训，熟悉贮存物品的特性、事故处理办法和防护知识，持证上岗，同时，必须配备有关的个人防护用品。</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储存的化学品必须设有明显的标志，并按国家规定标准控制不同单位面积的最大贮存限量和垛距。</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储存化学品的库房、场所的消防设施、用电设施、防雷防静电设施等必须符合国家规定的安全要求。</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危险化学品出入库必须检查验收登记，贮存期间定期养护，控制好贮存场所的温度和湿度；装卸、搬运时应轻装轻卸，注意自我防护。</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企业生产区应设置围堰、收容池和排水切换装置，确保正常的冲洗和事故情况下的泄漏污染物、消防水可以纳入污水收集和处理系统。</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51" w:name="_Toc22346"/>
      <w:bookmarkStart w:id="652" w:name="_Toc2716"/>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.6.4生产过程风险防范措施</w:t>
      </w:r>
      <w:bookmarkEnd w:id="651"/>
      <w:bookmarkEnd w:id="652"/>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生产过程事故风险防范是安全生产的核心，火灾爆炸风险以及事故性泄漏常与装置设备故障相关联，安全管理中要密切注意事故易发部位，做好运行监督检查与维修保养，防患于未然。</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企业应将国家要求和安全技术规范转化为各自岗位的安全操作规程，并悬挂在岗位醒目位置，规范岗位操作，降低事故概率。</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企业所涉及的物料，要提高装置密封性能，尽可能减少无组织泄漏。工程设计中充分考虑安全因素，关键岗位应通过设备安全控制连锁措施降低风险性。</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必须组织专门人员每天每班多次进行周期性巡回检查，有跑冒滴漏或其他异常现象的应及时检修，必要时按照</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生产服从安全</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原则停车检修，严禁不正常运转。</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53" w:name="_Toc29769"/>
      <w:bookmarkStart w:id="654" w:name="_Toc23365"/>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.6.5事故废水风险防范措施</w:t>
      </w:r>
      <w:bookmarkEnd w:id="653"/>
      <w:bookmarkEnd w:id="654"/>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地表水环境风险主要来自两个方面：</w:t>
      </w:r>
      <w:r>
        <w:rPr>
          <w:rFonts w:hint="eastAsia" w:ascii="Times New Roman" w:hAnsiTheme="minorEastAsia" w:eastAsiaTheme="minorEastAsia"/>
          <w:color w:val="000000" w:themeColor="text1"/>
          <w:sz w:val="24"/>
          <w:szCs w:val="24"/>
          <w14:textFill>
            <w14:solidFill>
              <w14:schemeClr w14:val="tx1"/>
            </w14:solidFill>
          </w14:textFill>
        </w:rPr>
        <w:t>1、事故</w:t>
      </w:r>
      <w:r>
        <w:rPr>
          <w:rFonts w:ascii="Times New Roman" w:hAnsiTheme="minorEastAsia" w:eastAsiaTheme="minorEastAsia"/>
          <w:color w:val="000000" w:themeColor="text1"/>
          <w:sz w:val="24"/>
          <w:szCs w:val="24"/>
          <w14:textFill>
            <w14:solidFill>
              <w14:schemeClr w14:val="tx1"/>
            </w14:solidFill>
          </w14:textFill>
        </w:rPr>
        <w:t>废水</w:t>
      </w:r>
      <w:r>
        <w:rPr>
          <w:rFonts w:hint="eastAsia" w:ascii="Times New Roman" w:hAnsiTheme="minorEastAsia" w:eastAsiaTheme="minorEastAsia"/>
          <w:color w:val="000000" w:themeColor="text1"/>
          <w:sz w:val="24"/>
          <w:szCs w:val="24"/>
          <w14:textFill>
            <w14:solidFill>
              <w14:schemeClr w14:val="tx1"/>
            </w14:solidFill>
          </w14:textFill>
        </w:rPr>
        <w:t>未经处理直接排入污水管网</w:t>
      </w:r>
      <w:r>
        <w:rPr>
          <w:rFonts w:ascii="Times New Roman" w:hAnsiTheme="minorEastAsia" w:eastAsiaTheme="minorEastAsia"/>
          <w:color w:val="000000" w:themeColor="text1"/>
          <w:sz w:val="24"/>
          <w:szCs w:val="24"/>
          <w14:textFill>
            <w14:solidFill>
              <w14:schemeClr w14:val="tx1"/>
            </w14:solidFill>
          </w14:textFill>
        </w:rPr>
        <w:t>影响工业集中</w:t>
      </w:r>
      <w:r>
        <w:rPr>
          <w:rFonts w:hint="eastAsia" w:ascii="Times New Roman" w:hAnsiTheme="minorEastAsia" w:eastAsiaTheme="minorEastAsia"/>
          <w:color w:val="000000" w:themeColor="text1"/>
          <w:sz w:val="24"/>
          <w:szCs w:val="24"/>
          <w14:textFill>
            <w14:solidFill>
              <w14:schemeClr w14:val="tx1"/>
            </w14:solidFill>
          </w14:textFill>
        </w:rPr>
        <w:t>区</w:t>
      </w:r>
      <w:r>
        <w:rPr>
          <w:rFonts w:ascii="Times New Roman" w:hAnsiTheme="minorEastAsia" w:eastAsiaTheme="minorEastAsia"/>
          <w:color w:val="000000" w:themeColor="text1"/>
          <w:sz w:val="24"/>
          <w:szCs w:val="24"/>
          <w14:textFill>
            <w14:solidFill>
              <w14:schemeClr w14:val="tx1"/>
            </w14:solidFill>
          </w14:textFill>
        </w:rPr>
        <w:t>污水处理厂的正常运行，从而影响污水处理厂尾水的达标排放，对长江产生污染；</w:t>
      </w:r>
      <w:r>
        <w:rPr>
          <w:rFonts w:hint="eastAsia" w:ascii="Times New Roman" w:hAnsiTheme="minorEastAsia"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事故废水未经处理直接通过雨水管网排入地表水体</w:t>
      </w:r>
      <w:r>
        <w:rPr>
          <w:rFonts w:ascii="Times New Roman" w:hAnsiTheme="minorEastAsia" w:eastAsiaTheme="minorEastAsia"/>
          <w:color w:val="000000" w:themeColor="text1"/>
          <w:sz w:val="24"/>
          <w:szCs w:val="24"/>
          <w14:textFill>
            <w14:solidFill>
              <w14:schemeClr w14:val="tx1"/>
            </w14:solidFill>
          </w14:textFill>
        </w:rPr>
        <w:t>，可直接引起周围区域地表水系的污染。</w:t>
      </w:r>
    </w:p>
    <w:p>
      <w:pPr>
        <w:numPr>
          <w:ilvl w:val="0"/>
          <w:numId w:val="39"/>
        </w:num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事故废水</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企业设置事故</w:t>
      </w:r>
      <w:r>
        <w:rPr>
          <w:rFonts w:hint="eastAsia" w:ascii="Times New Roman" w:hAnsiTheme="minorEastAsia" w:eastAsiaTheme="minorEastAsia"/>
          <w:color w:val="000000" w:themeColor="text1"/>
          <w:sz w:val="24"/>
          <w:szCs w:val="24"/>
          <w14:textFill>
            <w14:solidFill>
              <w14:schemeClr w14:val="tx1"/>
            </w14:solidFill>
          </w14:textFill>
        </w:rPr>
        <w:t>应急</w:t>
      </w:r>
      <w:r>
        <w:rPr>
          <w:rFonts w:ascii="Times New Roman" w:hAnsiTheme="minorEastAsia" w:eastAsiaTheme="minorEastAsia"/>
          <w:color w:val="000000" w:themeColor="text1"/>
          <w:sz w:val="24"/>
          <w:szCs w:val="24"/>
          <w14:textFill>
            <w14:solidFill>
              <w14:schemeClr w14:val="tx1"/>
            </w14:solidFill>
          </w14:textFill>
        </w:rPr>
        <w:t>池。当</w:t>
      </w:r>
      <w:r>
        <w:rPr>
          <w:rFonts w:hint="eastAsia" w:ascii="Times New Roman" w:hAnsiTheme="minorEastAsia" w:eastAsiaTheme="minorEastAsia"/>
          <w:color w:val="000000" w:themeColor="text1"/>
          <w:sz w:val="24"/>
          <w:szCs w:val="24"/>
          <w14:textFill>
            <w14:solidFill>
              <w14:schemeClr w14:val="tx1"/>
            </w14:solidFill>
          </w14:textFill>
        </w:rPr>
        <w:t>发生泄漏或火灾事故时</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泄漏物料和消防</w:t>
      </w:r>
      <w:r>
        <w:rPr>
          <w:rFonts w:ascii="Times New Roman" w:hAnsiTheme="minorEastAsia" w:eastAsiaTheme="minorEastAsia"/>
          <w:color w:val="000000" w:themeColor="text1"/>
          <w:sz w:val="24"/>
          <w:szCs w:val="24"/>
          <w14:textFill>
            <w14:solidFill>
              <w14:schemeClr w14:val="tx1"/>
            </w14:solidFill>
          </w14:textFill>
        </w:rPr>
        <w:t>废水首先收集于事故</w:t>
      </w:r>
      <w:r>
        <w:rPr>
          <w:rFonts w:hint="eastAsia" w:ascii="Times New Roman" w:hAnsiTheme="minorEastAsia" w:eastAsiaTheme="minorEastAsia"/>
          <w:color w:val="000000" w:themeColor="text1"/>
          <w:sz w:val="24"/>
          <w:szCs w:val="24"/>
          <w14:textFill>
            <w14:solidFill>
              <w14:schemeClr w14:val="tx1"/>
            </w14:solidFill>
          </w14:textFill>
        </w:rPr>
        <w:t>应急池</w:t>
      </w:r>
      <w:r>
        <w:rPr>
          <w:rFonts w:ascii="Times New Roman" w:hAnsiTheme="minorEastAsia" w:eastAsiaTheme="minorEastAsia"/>
          <w:color w:val="000000" w:themeColor="text1"/>
          <w:sz w:val="24"/>
          <w:szCs w:val="24"/>
          <w14:textFill>
            <w14:solidFill>
              <w14:schemeClr w14:val="tx1"/>
            </w14:solidFill>
          </w14:textFill>
        </w:rPr>
        <w:t>中，然后</w:t>
      </w:r>
      <w:r>
        <w:rPr>
          <w:rFonts w:hint="eastAsia" w:ascii="Times New Roman" w:hAnsiTheme="minorEastAsia" w:eastAsiaTheme="minorEastAsia"/>
          <w:color w:val="000000" w:themeColor="text1"/>
          <w:sz w:val="24"/>
          <w:szCs w:val="24"/>
          <w14:textFill>
            <w14:solidFill>
              <w14:schemeClr w14:val="tx1"/>
            </w14:solidFill>
          </w14:textFill>
        </w:rPr>
        <w:t>待装置恢复正常运行后逐批次加入系统中回用于生产</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公司废水排口与外部水体之间均要安装切断设施，当事故发生后，启用切断设施，确保</w:t>
      </w:r>
      <w:r>
        <w:rPr>
          <w:rFonts w:hint="eastAsia" w:ascii="Times New Roman" w:hAnsiTheme="minorEastAsia" w:eastAsiaTheme="minorEastAsia"/>
          <w:color w:val="000000" w:themeColor="text1"/>
          <w:sz w:val="24"/>
          <w:szCs w:val="24"/>
          <w14:textFill>
            <w14:solidFill>
              <w14:schemeClr w14:val="tx1"/>
            </w14:solidFill>
          </w14:textFill>
        </w:rPr>
        <w:t>事故</w:t>
      </w:r>
      <w:r>
        <w:rPr>
          <w:rFonts w:ascii="Times New Roman" w:hAnsiTheme="minorEastAsia" w:eastAsiaTheme="minorEastAsia"/>
          <w:color w:val="000000" w:themeColor="text1"/>
          <w:sz w:val="24"/>
          <w:szCs w:val="24"/>
          <w14:textFill>
            <w14:solidFill>
              <w14:schemeClr w14:val="tx1"/>
            </w14:solidFill>
          </w14:textFill>
        </w:rPr>
        <w:t>废水不进入工业集中区污水处理厂。</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本项目生产中所用</w:t>
      </w:r>
      <w:r>
        <w:rPr>
          <w:rFonts w:hint="eastAsia" w:ascii="Times New Roman" w:hAnsiTheme="minorEastAsia" w:eastAsiaTheme="minorEastAsia"/>
          <w:color w:val="000000" w:themeColor="text1"/>
          <w:sz w:val="24"/>
          <w:szCs w:val="24"/>
          <w14:textFill>
            <w14:solidFill>
              <w14:schemeClr w14:val="tx1"/>
            </w14:solidFill>
          </w14:textFill>
        </w:rPr>
        <w:t>大量</w:t>
      </w:r>
      <w:r>
        <w:rPr>
          <w:rFonts w:ascii="Times New Roman" w:hAnsiTheme="minorEastAsia" w:eastAsiaTheme="minorEastAsia"/>
          <w:color w:val="000000" w:themeColor="text1"/>
          <w:sz w:val="24"/>
          <w:szCs w:val="24"/>
          <w14:textFill>
            <w14:solidFill>
              <w14:schemeClr w14:val="tx1"/>
            </w14:solidFill>
          </w14:textFill>
        </w:rPr>
        <w:t>原料为有毒有害物质，若进入地表水体，对水环境影响很大。当发生有毒化学品大量泄漏时，应迅速围堵、收集，防止物料泄漏经排水管网直接或间接进入地表水体，引起地表水污染。因此，对化学品的存储和使用场所必须配备围堵、收集设施或措施，严防泄漏事故发生。</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初期</w:t>
      </w:r>
      <w:r>
        <w:rPr>
          <w:rFonts w:ascii="Times New Roman" w:hAnsiTheme="minorEastAsia" w:eastAsiaTheme="minorEastAsia"/>
          <w:color w:val="000000" w:themeColor="text1"/>
          <w:sz w:val="24"/>
          <w:szCs w:val="24"/>
          <w14:textFill>
            <w14:solidFill>
              <w14:schemeClr w14:val="tx1"/>
            </w14:solidFill>
          </w14:textFill>
        </w:rPr>
        <w:t>雨水</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地表径流的产生量按以下方法计算：</w:t>
      </w:r>
    </w:p>
    <w:p>
      <w:pPr>
        <w:spacing w:line="520" w:lineRule="exact"/>
        <w:ind w:firstLine="1440" w:firstLineChars="6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q=2550（1+0.0.77lgp）/（t+12）0.774</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式中：  q－设计暴雨强度（l/s·ha）；</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 xml:space="preserve">        P－设计降雨重现期（年），本设计采用P=2年；</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 xml:space="preserve">        t－设计降雨历时（min），15min。</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地表径流量 V雨水池= q×ψ×F×t×60÷1000</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 xml:space="preserve">           V雨水池：初期雨水池的计算最大容积，m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F：雨水落地面积（ha），本项目汇水面积约1.2ha；</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ψ：地面综合径流系数取0.7；</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t：设计降雨历时（min），15min。</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根据上述公式，计算得出q=174.05L/ s·10000m</w:t>
      </w:r>
      <w:r>
        <w:rPr>
          <w:rFonts w:hint="eastAsia" w:ascii="Times New Roman" w:hAnsiTheme="minorEastAsia" w:eastAsiaTheme="minorEastAsia"/>
          <w:color w:val="000000" w:themeColor="text1"/>
          <w:sz w:val="24"/>
          <w:szCs w:val="24"/>
          <w:vertAlign w:val="super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，一次初期雨水收集量约156.65m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。因此，初期雨水收集池容积应不小于157m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）事故</w:t>
      </w:r>
      <w:r>
        <w:rPr>
          <w:rFonts w:hint="eastAsia" w:ascii="Times New Roman" w:hAnsiTheme="minorEastAsia" w:eastAsiaTheme="minorEastAsia"/>
          <w:color w:val="000000" w:themeColor="text1"/>
          <w:sz w:val="24"/>
          <w:szCs w:val="24"/>
          <w14:textFill>
            <w14:solidFill>
              <w14:schemeClr w14:val="tx1"/>
            </w14:solidFill>
          </w14:textFill>
        </w:rPr>
        <w:t>废</w:t>
      </w:r>
      <w:r>
        <w:rPr>
          <w:rFonts w:ascii="Times New Roman" w:hAnsiTheme="minorEastAsia" w:eastAsiaTheme="minorEastAsia"/>
          <w:color w:val="000000" w:themeColor="text1"/>
          <w:sz w:val="24"/>
          <w:szCs w:val="24"/>
          <w14:textFill>
            <w14:solidFill>
              <w14:schemeClr w14:val="tx1"/>
            </w14:solidFill>
          </w14:textFill>
        </w:rPr>
        <w:t>水收集及防范系统</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本套事故水收集系统包括</w:t>
      </w:r>
      <w:r>
        <w:rPr>
          <w:rFonts w:ascii="Times New Roman" w:hAnsi="Times New Roman" w:eastAsiaTheme="minorEastAsia"/>
          <w:color w:val="000000" w:themeColor="text1"/>
          <w:sz w:val="24"/>
          <w:szCs w:val="24"/>
          <w14:textFill>
            <w14:solidFill>
              <w14:schemeClr w14:val="tx1"/>
            </w14:solidFill>
          </w14:textFill>
        </w:rPr>
        <w:t>：厂区设有</w:t>
      </w:r>
      <w:r>
        <w:rPr>
          <w:rFonts w:hint="eastAsia" w:ascii="Times New Roman" w:hAnsi="Times New Roman" w:eastAsiaTheme="minorEastAsia"/>
          <w:color w:val="000000" w:themeColor="text1"/>
          <w:sz w:val="24"/>
          <w:szCs w:val="24"/>
          <w14:textFill>
            <w14:solidFill>
              <w14:schemeClr w14:val="tx1"/>
            </w14:solidFill>
          </w14:textFill>
        </w:rPr>
        <w:t>1座450</w:t>
      </w:r>
      <w:r>
        <w:rPr>
          <w:rFonts w:ascii="Times New Roman" w:hAnsi="Times New Roman" w:eastAsiaTheme="minorEastAsia"/>
          <w:color w:val="000000" w:themeColor="text1"/>
          <w:sz w:val="24"/>
          <w:szCs w:val="24"/>
          <w14:textFill>
            <w14:solidFill>
              <w14:schemeClr w14:val="tx1"/>
            </w14:solidFill>
          </w14:textFill>
        </w:rPr>
        <w:t>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事故应</w:t>
      </w:r>
      <w:r>
        <w:rPr>
          <w:rFonts w:ascii="Times New Roman" w:hAnsiTheme="minorEastAsia" w:eastAsiaTheme="minorEastAsia"/>
          <w:color w:val="000000" w:themeColor="text1"/>
          <w:sz w:val="24"/>
          <w:szCs w:val="24"/>
          <w14:textFill>
            <w14:solidFill>
              <w14:schemeClr w14:val="tx1"/>
            </w14:solidFill>
          </w14:textFill>
        </w:rPr>
        <w:t>急池，生产装置周围设地沟，在设计中将</w:t>
      </w:r>
      <w:r>
        <w:rPr>
          <w:rFonts w:hint="eastAsia" w:ascii="Times New Roman" w:hAnsiTheme="minorEastAsia" w:eastAsiaTheme="minorEastAsia"/>
          <w:color w:val="000000" w:themeColor="text1"/>
          <w:sz w:val="24"/>
          <w:szCs w:val="24"/>
          <w14:textFill>
            <w14:solidFill>
              <w14:schemeClr w14:val="tx1"/>
            </w14:solidFill>
          </w14:textFill>
        </w:rPr>
        <w:t>事故废水收集</w:t>
      </w:r>
      <w:r>
        <w:rPr>
          <w:rFonts w:ascii="Times New Roman" w:hAnsiTheme="minorEastAsia" w:eastAsiaTheme="minorEastAsia"/>
          <w:color w:val="000000" w:themeColor="text1"/>
          <w:sz w:val="24"/>
          <w:szCs w:val="24"/>
          <w14:textFill>
            <w14:solidFill>
              <w14:schemeClr w14:val="tx1"/>
            </w14:solidFill>
          </w14:textFill>
        </w:rPr>
        <w:t>管网</w:t>
      </w:r>
      <w:r>
        <w:rPr>
          <w:rFonts w:hint="eastAsia" w:ascii="Times New Roman" w:hAnsiTheme="minorEastAsia" w:eastAsiaTheme="minorEastAsia"/>
          <w:color w:val="000000" w:themeColor="text1"/>
          <w:sz w:val="24"/>
          <w:szCs w:val="24"/>
          <w14:textFill>
            <w14:solidFill>
              <w14:schemeClr w14:val="tx1"/>
            </w14:solidFill>
          </w14:textFill>
        </w:rPr>
        <w:t>与事故应急池相连</w:t>
      </w:r>
      <w:r>
        <w:rPr>
          <w:rFonts w:ascii="Times New Roman" w:hAnsiTheme="minorEastAsia" w:eastAsiaTheme="minorEastAsia"/>
          <w:color w:val="000000" w:themeColor="text1"/>
          <w:sz w:val="24"/>
          <w:szCs w:val="24"/>
          <w14:textFill>
            <w14:solidFill>
              <w14:schemeClr w14:val="tx1"/>
            </w14:solidFill>
          </w14:textFill>
        </w:rPr>
        <w:t>，当事故状况发生时，可将</w:t>
      </w:r>
      <w:r>
        <w:rPr>
          <w:rFonts w:hint="eastAsia" w:ascii="Times New Roman" w:hAnsiTheme="minorEastAsia" w:eastAsiaTheme="minorEastAsia"/>
          <w:color w:val="000000" w:themeColor="text1"/>
          <w:sz w:val="24"/>
          <w:szCs w:val="24"/>
          <w14:textFill>
            <w14:solidFill>
              <w14:schemeClr w14:val="tx1"/>
            </w14:solidFill>
          </w14:textFill>
        </w:rPr>
        <w:t>事故废水直接引入事故应急池，避免排入外环境</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4</w:t>
      </w:r>
      <w:r>
        <w:rPr>
          <w:rFonts w:ascii="Times New Roman" w:hAnsiTheme="minorEastAsia" w:eastAsiaTheme="minorEastAsia"/>
          <w:color w:val="000000" w:themeColor="text1"/>
          <w:sz w:val="24"/>
          <w:szCs w:val="24"/>
          <w14:textFill>
            <w14:solidFill>
              <w14:schemeClr w14:val="tx1"/>
            </w14:solidFill>
          </w14:textFill>
        </w:rPr>
        <w:t>）消防尾水收集池容量</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企业发生火灾爆炸或者泄漏等事故时，消防废水是一个不容忽视的二次污染问题，由于消防水在灭火时产生，产生时间短，产生量巨大，不易控制和导向，一般进入火灾厂区雨水管网后直接进入市政雨水管网后进入外界水体环境，从而使带有化学品的消防废水对外界水体环境造成严重的污染事故，根据这些事故特征，本评价提出如下预防措施：</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①</w:t>
      </w:r>
      <w:r>
        <w:rPr>
          <w:rFonts w:ascii="Times New Roman" w:hAnsiTheme="minorEastAsia" w:eastAsiaTheme="minorEastAsia"/>
          <w:color w:val="000000" w:themeColor="text1"/>
          <w:sz w:val="24"/>
          <w14:textFill>
            <w14:solidFill>
              <w14:schemeClr w14:val="tx1"/>
            </w14:solidFill>
          </w14:textFill>
        </w:rPr>
        <w:t>在厂区雨水管网集中汇入市政雨水管网的节点上安装截止阀，可在灭火时将此隔断措施关闭，防止消防废水直接进入市政雨水管网；</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②</w:t>
      </w:r>
      <w:r>
        <w:rPr>
          <w:rFonts w:ascii="Times New Roman" w:hAnsiTheme="minorEastAsia" w:eastAsiaTheme="minorEastAsia"/>
          <w:color w:val="000000" w:themeColor="text1"/>
          <w:sz w:val="24"/>
          <w14:textFill>
            <w14:solidFill>
              <w14:schemeClr w14:val="tx1"/>
            </w14:solidFill>
          </w14:textFill>
        </w:rPr>
        <w:t>在厂区边界预先准备适量的沙包，在厂区灭火时堵住厂界围墙有泄漏的地方，防止消防废水向场外泄漏；</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③</w:t>
      </w:r>
      <w:r>
        <w:rPr>
          <w:rFonts w:ascii="Times New Roman" w:hAnsiTheme="minorEastAsia" w:eastAsiaTheme="minorEastAsia"/>
          <w:color w:val="000000" w:themeColor="text1"/>
          <w:sz w:val="24"/>
          <w14:textFill>
            <w14:solidFill>
              <w14:schemeClr w14:val="tx1"/>
            </w14:solidFill>
          </w14:textFill>
        </w:rPr>
        <w:t>在厂区内构筑建设事故应急池，收集火灾时的消防水。</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事故应急池应如下公式计算：</w:t>
      </w:r>
    </w:p>
    <w:p>
      <w:pPr>
        <w:adjustRightInd w:val="0"/>
        <w:snapToGrid w:val="0"/>
        <w:spacing w:line="520" w:lineRule="exact"/>
        <w:ind w:firstLine="1920" w:firstLineChars="8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V</w:t>
      </w:r>
      <w:r>
        <w:rPr>
          <w:rFonts w:ascii="Times New Roman" w:hAnsiTheme="minorEastAsia" w:eastAsiaTheme="minorEastAsia"/>
          <w:color w:val="000000" w:themeColor="text1"/>
          <w:sz w:val="24"/>
          <w:vertAlign w:val="subscript"/>
          <w14:textFill>
            <w14:solidFill>
              <w14:schemeClr w14:val="tx1"/>
            </w14:solidFill>
          </w14:textFill>
        </w:rPr>
        <w:t>总</w:t>
      </w: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1</w:t>
      </w: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)max+V</w:t>
      </w:r>
      <w:r>
        <w:rPr>
          <w:rFonts w:ascii="Times New Roman" w:hAnsi="Times New Roman" w:eastAsiaTheme="minorEastAsia"/>
          <w:color w:val="000000" w:themeColor="text1"/>
          <w:sz w:val="24"/>
          <w:vertAlign w:val="subscript"/>
          <w14:textFill>
            <w14:solidFill>
              <w14:schemeClr w14:val="tx1"/>
            </w14:solidFill>
          </w14:textFill>
        </w:rPr>
        <w:t>4</w:t>
      </w: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5</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1</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收集系统范围内发生事故的一个罐组或一套装置的物料量</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m</w:t>
      </w:r>
      <w:r>
        <w:rPr>
          <w:rFonts w:ascii="Times New Roman" w:hAnsi="Times New Roman" w:eastAsiaTheme="minorEastAsia"/>
          <w:color w:val="000000" w:themeColor="text1"/>
          <w:sz w:val="24"/>
          <w:vertAlign w:val="superscript"/>
          <w14:textFill>
            <w14:solidFill>
              <w14:schemeClr w14:val="tx1"/>
            </w14:solidFill>
          </w14:textFill>
        </w:rPr>
        <w:t>3</w:t>
      </w:r>
      <w:r>
        <w:rPr>
          <w:rFonts w:hint="eastAsia" w:ascii="Times New Roman" w:hAnsiTheme="minorEastAsia"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以</w:t>
      </w:r>
      <w:r>
        <w:rPr>
          <w:rFonts w:ascii="Times New Roman" w:hAnsi="Times New Roman" w:eastAsiaTheme="minorEastAsia"/>
          <w:color w:val="000000" w:themeColor="text1"/>
          <w:sz w:val="24"/>
          <w14:textFill>
            <w14:solidFill>
              <w14:schemeClr w14:val="tx1"/>
            </w14:solidFill>
          </w14:textFill>
        </w:rPr>
        <w:t>0</w:t>
      </w:r>
      <w:r>
        <w:rPr>
          <w:rFonts w:ascii="Times New Roman" w:hAnsiTheme="minorEastAsia" w:eastAsiaTheme="minorEastAsia"/>
          <w:color w:val="000000" w:themeColor="text1"/>
          <w:sz w:val="24"/>
          <w14:textFill>
            <w14:solidFill>
              <w14:schemeClr w14:val="tx1"/>
            </w14:solidFill>
          </w14:textFill>
        </w:rPr>
        <w:t>计</w:t>
      </w:r>
      <w:r>
        <w:rPr>
          <w:rFonts w:hint="eastAsia" w:ascii="Times New Roman" w:hAnsiTheme="minorEastAsia" w:eastAsiaTheme="minorEastAsia"/>
          <w:color w:val="000000" w:themeColor="text1"/>
          <w:sz w:val="24"/>
          <w14:textFill>
            <w14:solidFill>
              <w14:schemeClr w14:val="tx1"/>
            </w14:solidFill>
          </w14:textFill>
        </w:rPr>
        <w:t>；</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发生事故的储罐或装置的消防水量，</w:t>
      </w:r>
      <w:r>
        <w:rPr>
          <w:rFonts w:ascii="Times New Roman" w:hAnsi="Times New Roman" w:eastAsiaTheme="minorEastAsia"/>
          <w:color w:val="000000" w:themeColor="text1"/>
          <w:sz w:val="24"/>
          <w14:textFill>
            <w14:solidFill>
              <w14:schemeClr w14:val="tx1"/>
            </w14:solidFill>
          </w14:textFill>
        </w:rPr>
        <w:t>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72m</w:t>
      </w:r>
      <w:r>
        <w:rPr>
          <w:rFonts w:hint="eastAsia" w:ascii="Times New Roman" w:hAnsiTheme="minorEastAsia" w:eastAsiaTheme="minorEastAsia"/>
          <w:color w:val="000000" w:themeColor="text1"/>
          <w:sz w:val="24"/>
          <w:vertAlign w:val="superscript"/>
          <w14:textFill>
            <w14:solidFill>
              <w14:schemeClr w14:val="tx1"/>
            </w14:solidFill>
          </w14:textFill>
        </w:rPr>
        <w:t>3</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发生事故时可以转输到其他储存或处理设施的物料量，</w:t>
      </w:r>
      <w:r>
        <w:rPr>
          <w:rFonts w:ascii="Times New Roman" w:hAnsi="Times New Roman" w:eastAsiaTheme="minorEastAsia"/>
          <w:color w:val="000000" w:themeColor="text1"/>
          <w:sz w:val="24"/>
          <w14:textFill>
            <w14:solidFill>
              <w14:schemeClr w14:val="tx1"/>
            </w14:solidFill>
          </w14:textFill>
        </w:rPr>
        <w:t>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，以</w:t>
      </w:r>
      <w:r>
        <w:rPr>
          <w:rFonts w:ascii="Times New Roman" w:hAnsi="Times New Roman" w:eastAsiaTheme="minorEastAsia"/>
          <w:color w:val="000000" w:themeColor="text1"/>
          <w:sz w:val="24"/>
          <w14:textFill>
            <w14:solidFill>
              <w14:schemeClr w14:val="tx1"/>
            </w14:solidFill>
          </w14:textFill>
        </w:rPr>
        <w:t>0</w:t>
      </w:r>
      <w:r>
        <w:rPr>
          <w:rFonts w:ascii="Times New Roman" w:hAnsiTheme="minorEastAsia" w:eastAsiaTheme="minorEastAsia"/>
          <w:color w:val="000000" w:themeColor="text1"/>
          <w:sz w:val="24"/>
          <w14:textFill>
            <w14:solidFill>
              <w14:schemeClr w14:val="tx1"/>
            </w14:solidFill>
          </w14:textFill>
        </w:rPr>
        <w:t>计；</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4</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发生事故时仍必须进入该收集系统的生产废水量，</w:t>
      </w:r>
      <w:r>
        <w:rPr>
          <w:rFonts w:ascii="Times New Roman" w:hAnsi="Times New Roman" w:eastAsiaTheme="minorEastAsia"/>
          <w:color w:val="000000" w:themeColor="text1"/>
          <w:sz w:val="24"/>
          <w14:textFill>
            <w14:solidFill>
              <w14:schemeClr w14:val="tx1"/>
            </w14:solidFill>
          </w14:textFill>
        </w:rPr>
        <w:t>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，以</w:t>
      </w:r>
      <w:r>
        <w:rPr>
          <w:rFonts w:ascii="Times New Roman" w:hAnsi="Times New Roman" w:eastAsiaTheme="minorEastAsia"/>
          <w:color w:val="000000" w:themeColor="text1"/>
          <w:sz w:val="24"/>
          <w14:textFill>
            <w14:solidFill>
              <w14:schemeClr w14:val="tx1"/>
            </w14:solidFill>
          </w14:textFill>
        </w:rPr>
        <w:t>0</w:t>
      </w:r>
      <w:r>
        <w:rPr>
          <w:rFonts w:ascii="Times New Roman" w:hAnsiTheme="minorEastAsia" w:eastAsiaTheme="minorEastAsia"/>
          <w:color w:val="000000" w:themeColor="text1"/>
          <w:sz w:val="24"/>
          <w14:textFill>
            <w14:solidFill>
              <w14:schemeClr w14:val="tx1"/>
            </w14:solidFill>
          </w14:textFill>
        </w:rPr>
        <w:t>计；</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V</w:t>
      </w:r>
      <w:r>
        <w:rPr>
          <w:rFonts w:ascii="Times New Roman" w:hAnsi="Times New Roman" w:eastAsiaTheme="minorEastAsia"/>
          <w:color w:val="000000" w:themeColor="text1"/>
          <w:sz w:val="24"/>
          <w:vertAlign w:val="subscript"/>
          <w14:textFill>
            <w14:solidFill>
              <w14:schemeClr w14:val="tx1"/>
            </w14:solidFill>
          </w14:textFill>
        </w:rPr>
        <w:t>5</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发生事故时可能进入该收集系统的降雨量，</w:t>
      </w:r>
      <w:r>
        <w:rPr>
          <w:rFonts w:ascii="Times New Roman" w:hAnsi="Times New Roman" w:eastAsiaTheme="minorEastAsia"/>
          <w:color w:val="000000" w:themeColor="text1"/>
          <w:sz w:val="24"/>
          <w14:textFill>
            <w14:solidFill>
              <w14:schemeClr w14:val="tx1"/>
            </w14:solidFill>
          </w14:textFill>
        </w:rPr>
        <w:t>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157m</w:t>
      </w:r>
      <w:r>
        <w:rPr>
          <w:rFonts w:hint="eastAsia" w:ascii="Times New Roman" w:hAnsiTheme="minorEastAsia" w:eastAsiaTheme="minorEastAsia"/>
          <w:color w:val="000000" w:themeColor="text1"/>
          <w:sz w:val="24"/>
          <w:vertAlign w:val="superscript"/>
          <w14:textFill>
            <w14:solidFill>
              <w14:schemeClr w14:val="tx1"/>
            </w14:solidFill>
          </w14:textFill>
        </w:rPr>
        <w:t>3</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根据项目可行性研究报告，消防栓流量为10L/s，消防水连续供给时间为2h，则单次消防水最大用量72m</w:t>
      </w:r>
      <w:r>
        <w:rPr>
          <w:rFonts w:hint="eastAsia" w:ascii="Times New Roman" w:hAnsiTheme="minorEastAsia" w:eastAsiaTheme="minorEastAsia"/>
          <w:color w:val="000000" w:themeColor="text1"/>
          <w:sz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本项目罐区面积1286m</w:t>
      </w:r>
      <w:r>
        <w:rPr>
          <w:rFonts w:hint="eastAsia" w:ascii="Times New Roman" w:hAnsiTheme="minorEastAsia" w:eastAsiaTheme="minorEastAsia"/>
          <w:color w:val="000000" w:themeColor="text1"/>
          <w:sz w:val="24"/>
          <w:szCs w:val="24"/>
          <w:vertAlign w:val="superscript"/>
          <w14:textFill>
            <w14:solidFill>
              <w14:schemeClr w14:val="tx1"/>
            </w14:solidFill>
          </w14:textFill>
        </w:rPr>
        <w:t>2</w:t>
      </w:r>
      <w:r>
        <w:rPr>
          <w:rFonts w:hint="eastAsia" w:ascii="Times New Roman" w:hAnsiTheme="minorEastAsia" w:eastAsiaTheme="minorEastAsia"/>
          <w:color w:val="000000" w:themeColor="text1"/>
          <w:sz w:val="24"/>
          <w:szCs w:val="24"/>
          <w14:textFill>
            <w14:solidFill>
              <w14:schemeClr w14:val="tx1"/>
            </w14:solidFill>
          </w14:textFill>
        </w:rPr>
        <w:t>，围堰高0.5m，围堰可储存容量为643m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，罐区单罐最大容积为400m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，因此罐区泄漏物料不会进入事故应急池，V</w:t>
      </w:r>
      <w:r>
        <w:rPr>
          <w:rFonts w:hint="eastAsia" w:ascii="Times New Roman" w:hAnsiTheme="minorEastAsia" w:eastAsiaTheme="minorEastAsia"/>
          <w:color w:val="000000" w:themeColor="text1"/>
          <w:sz w:val="24"/>
          <w:szCs w:val="24"/>
          <w:vertAlign w:val="subscript"/>
          <w14:textFill>
            <w14:solidFill>
              <w14:schemeClr w14:val="tx1"/>
            </w14:solidFill>
          </w14:textFill>
        </w:rPr>
        <w:t>1</w:t>
      </w:r>
      <w:r>
        <w:rPr>
          <w:rFonts w:hint="eastAsia" w:ascii="Times New Roman" w:hAnsiTheme="minorEastAsia" w:eastAsiaTheme="minorEastAsia"/>
          <w:color w:val="000000" w:themeColor="text1"/>
          <w:sz w:val="24"/>
          <w:szCs w:val="24"/>
          <w14:textFill>
            <w14:solidFill>
              <w14:schemeClr w14:val="tx1"/>
            </w14:solidFill>
          </w14:textFill>
        </w:rPr>
        <w:t>=0。</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综上所述，本项目事故废水收集池总容积不小于229m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，由建设单位提供的资料可知，本项目设有总容积450m</w:t>
      </w:r>
      <w:r>
        <w:rPr>
          <w:rFonts w:hint="eastAsia" w:ascii="Times New Roman" w:hAnsiTheme="minorEastAsia" w:eastAsiaTheme="minorEastAsia"/>
          <w:color w:val="000000" w:themeColor="text1"/>
          <w:sz w:val="24"/>
          <w:szCs w:val="24"/>
          <w:vertAlign w:val="superscript"/>
          <w14:textFill>
            <w14:solidFill>
              <w14:schemeClr w14:val="tx1"/>
            </w14:solidFill>
          </w14:textFill>
        </w:rPr>
        <w:t>3</w:t>
      </w:r>
      <w:r>
        <w:rPr>
          <w:rFonts w:hint="eastAsia" w:ascii="Times New Roman" w:hAnsiTheme="minorEastAsia" w:eastAsiaTheme="minorEastAsia"/>
          <w:color w:val="000000" w:themeColor="text1"/>
          <w:sz w:val="24"/>
          <w:szCs w:val="24"/>
          <w14:textFill>
            <w14:solidFill>
              <w14:schemeClr w14:val="tx1"/>
            </w14:solidFill>
          </w14:textFill>
        </w:rPr>
        <w:t>初期雨水池+事故应急池1座，可满足本项目所需。</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）经常对排水管道进行检查和维修，保持畅通、完好。加强企业安全管理制度和安全教育，制定防止事故发生的各种规章制度并严格执行，使安全工作作到经常化和制度化。</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55" w:name="_Toc20135"/>
      <w:bookmarkStart w:id="656" w:name="_Toc11597"/>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.6.6事故处理措施</w:t>
      </w:r>
      <w:bookmarkEnd w:id="655"/>
      <w:bookmarkEnd w:id="656"/>
    </w:p>
    <w:p>
      <w:pPr>
        <w:pStyle w:val="380"/>
        <w:numPr>
          <w:ilvl w:val="1"/>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657" w:name="_Toc27111"/>
      <w:bookmarkStart w:id="658" w:name="_Toc4064"/>
      <w:r>
        <w:rPr>
          <w:rFonts w:hint="eastAsia" w:ascii="Times New Roman" w:hAnsi="Times New Roman" w:eastAsia="黑体"/>
          <w:b/>
          <w:color w:val="000000" w:themeColor="text1"/>
          <w:sz w:val="24"/>
          <w:szCs w:val="24"/>
          <w:lang w:val="en-US" w:eastAsia="zh-CN"/>
          <w14:textFill>
            <w14:solidFill>
              <w14:schemeClr w14:val="tx1"/>
            </w14:solidFill>
          </w14:textFill>
        </w:rPr>
        <w:t>7</w:t>
      </w:r>
      <w:r>
        <w:rPr>
          <w:rFonts w:hint="eastAsia" w:ascii="Times New Roman" w:hAnsi="Times New Roman" w:eastAsia="黑体"/>
          <w:b/>
          <w:color w:val="000000" w:themeColor="text1"/>
          <w:sz w:val="24"/>
          <w:szCs w:val="24"/>
          <w14:textFill>
            <w14:solidFill>
              <w14:schemeClr w14:val="tx1"/>
            </w14:solidFill>
          </w14:textFill>
        </w:rPr>
        <w:t>.6.6.1火灾扑救</w:t>
      </w:r>
      <w:bookmarkEnd w:id="657"/>
      <w:bookmarkEnd w:id="658"/>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从事化学品生产、使用、储存、运输的人员和消防救护人员时应熟悉和掌握化学品的主要危险特性及其相应的灭火措施，并定期进行防火演习，加强紧急事态时的应变能力。一旦发生火灾，每个职工都应清楚地知道他们的作用和职责，掌握有关消防设施、人员的疏散程序和危险化学品灭火的特殊要求等内容。</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）灭火注意事项</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扑救化学品火灾时，应注意以下事项：</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①灭火人员不应单独灭火；</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②出口应始终保持清洁和畅通；</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③要选择正确的灭火剂；</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④灭火时还应考虑人员的安全。</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）灭火对策</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）扑救初期火灾：</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①迅速关闭火灾部位的上下游阀门，切断进入火灾事故地点的一切物料；</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②在火灾尚未扩大到不可控制之前，应使用移动式灭火器、或现场其它各种消防设备、器材扑灭初期火灾和控制火源。</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）采取保护措施：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为防止火灾危及相邻设施，可采取以下保护措施：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①对周围设施及时采取冷却保护措施；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②迅速疏散受火势威胁的物资；</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③有的火灾可能造成易燃液体外流，这时可用沙袋或其他材料筑堤拦截飘散流淌的液体或挖沟导流将物料导向安全地点；</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④用毛毡、海草帘堵住下水井、窨井口等处，防止火焰蔓延。</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⑶火灾扑救：扑救危险化学品火灾应针对每一类化学品，选择正确的灭火剂和灭火方法来安全地控制火灾。化学品火灾的扑救化学品火灾的扑救应由专业消防队来进行。其它人员不可盲目行动，待消防队到达后，介绍物料介质，配合扑救。</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659" w:name="_Toc7629"/>
      <w:bookmarkStart w:id="660" w:name="_Toc12309"/>
      <w:r>
        <w:rPr>
          <w:rFonts w:hint="eastAsia" w:ascii="Times New Roman" w:hAnsi="Times New Roman" w:eastAsia="黑体"/>
          <w:b/>
          <w:color w:val="000000" w:themeColor="text1"/>
          <w:sz w:val="24"/>
          <w:szCs w:val="24"/>
          <w:lang w:val="en-US" w:eastAsia="zh-CN"/>
          <w14:textFill>
            <w14:solidFill>
              <w14:schemeClr w14:val="tx1"/>
            </w14:solidFill>
          </w14:textFill>
        </w:rPr>
        <w:t>7</w:t>
      </w:r>
      <w:r>
        <w:rPr>
          <w:rFonts w:hint="eastAsia" w:ascii="Times New Roman" w:hAnsi="Times New Roman" w:eastAsia="黑体"/>
          <w:b/>
          <w:color w:val="000000" w:themeColor="text1"/>
          <w:sz w:val="24"/>
          <w:szCs w:val="24"/>
          <w14:textFill>
            <w14:solidFill>
              <w14:schemeClr w14:val="tx1"/>
            </w14:solidFill>
          </w14:textFill>
        </w:rPr>
        <w:t>.6.6.2泄漏处理</w:t>
      </w:r>
      <w:bookmarkEnd w:id="659"/>
      <w:bookmarkEnd w:id="660"/>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危险化学品的泄漏，容易发生中毒或转化为火灾爆炸事故。因此泄漏处理要及时、得当，避免重大事故的发生。</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）泄漏处理注意事项</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进入泄漏现场进行处理时，应注意以下几项：</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①进入现场人员必须配备必要的个人防护器具。</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②如果泄漏物化学品是易燃易爆的，应严禁火种。扑灭任何明火及任何其它形式的热源和火源，以降低发生火灾爆炸危险性；</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③应急处理时严禁单独行动，要有监护人，必要时用水枪、水炮掩护。</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④应从上风、上坡处接近现场，严禁盲目进入。</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）泄漏事故控制</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泄漏事故控制一般分为泄漏源控制和泄漏物处置两部分。</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）泄漏源控制</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可通过控制化学品的溢出或泄漏来消除化学品的进一步扩散。方法：</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①通过关闭有关阀门、停止作业或通过采取改变工艺流程、物料走副线、局部停车、打循环、减负荷运行等方法。</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②容器发生泄漏后，应采取措施修补和堵塞裂口，制止化学品的进一步泄漏。堵漏成功与否取决于几个因素：接近泄漏点的危险程度、泄漏孔的尺寸、泄漏点处实际的或潜在的压力、泄漏物质的特性。</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、小容器泄漏：尽可能将泄漏部位转向上，移至安全区域再进行处置。通常可采取转移物料、钉木楔、注射密封胶等方法处理。</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b</w:t>
      </w:r>
      <w:r>
        <w:rPr>
          <w:rFonts w:ascii="Times New Roman" w:hAnsiTheme="minorEastAsia" w:eastAsiaTheme="minorEastAsia"/>
          <w:color w:val="000000" w:themeColor="text1"/>
          <w:sz w:val="24"/>
          <w:szCs w:val="24"/>
          <w14:textFill>
            <w14:solidFill>
              <w14:schemeClr w14:val="tx1"/>
            </w14:solidFill>
          </w14:textFill>
        </w:rPr>
        <w:t>、大容器泄漏：边将物料转移至安全容器，边采取适当的方法堵漏。</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c</w:t>
      </w:r>
      <w:r>
        <w:rPr>
          <w:rFonts w:ascii="Times New Roman" w:hAnsiTheme="minorEastAsia" w:eastAsiaTheme="minorEastAsia"/>
          <w:color w:val="000000" w:themeColor="text1"/>
          <w:sz w:val="24"/>
          <w:szCs w:val="24"/>
          <w14:textFill>
            <w14:solidFill>
              <w14:schemeClr w14:val="tx1"/>
            </w14:solidFill>
          </w14:textFill>
        </w:rPr>
        <w:t>、管路系统泄漏：泄漏量小时，可采取钉木楔、卡管卡、注射密封胶堵漏；泄漏严重时，应关闭阀门或系统，切断泄漏源，然后修理或更换失效、损坏部件。</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）泄漏物处置</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泄漏被控制后，要及时将现场泄漏物进行覆盖、收容、稀释、处理使泄漏物得到安全可靠的处置，防止二次事故的发生。地面上泄漏物处置主要有以下方法：</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①围堤堵截：如果化学品为液体，泄漏到地面上时会四处蔓延扩散，难以收集处理。为此需要筑堤堵截或者引流到安全地点。对于车间和中间罐区发生液体泄漏时，要及时关闭雨水阀，防止物料沿明沟外流。</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②覆盖：对于液体泄漏，为降低物料向大气中的蒸发速度，可用泡沫或其他覆盖物品覆盖外泄的物料，在其表面形成覆盖层，抑制其蒸发。或者采用低温冷却来降低泄漏物的蒸发。</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稀释：为减少大气污染，通常是采用水枪或消防水带向有害物蒸汽云喷射雾状水，加速气体向高空扩散，使其在安全地带扩散。在使用这一方法时，将产生大量的被污染水，因此应疏通污水排放系统。对于可燃物，也可以在现场施放大量水蒸气或氮气，破坏燃烧条件。</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④收容：对于大型液体泄漏，可选择用隔膜泵将泄漏出的物料抽入容器内或槽车内；当泄漏量小时，可用沙子、吸附材料</w:t>
      </w:r>
      <w:r>
        <w:rPr>
          <w:rFonts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heme="minorEastAsia" w:eastAsiaTheme="minorEastAsia"/>
          <w:color w:val="000000" w:themeColor="text1"/>
          <w:sz w:val="24"/>
          <w:szCs w:val="24"/>
          <w14:textFill>
            <w14:solidFill>
              <w14:schemeClr w14:val="tx1"/>
            </w14:solidFill>
          </w14:textFill>
        </w:rPr>
        <w:t>、中和材料等吸收中和。或者用固化法处理泄漏物。</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⑤废弃：将收集的泄漏物运至废物处理场所处置。用消防水冲洗剩下的少量物料，冲洗水收集后排入应急预案池，然后进入污水处理系统分批处理。</w:t>
      </w:r>
    </w:p>
    <w:p>
      <w:pPr>
        <w:pStyle w:val="380"/>
        <w:adjustRightInd w:val="0"/>
        <w:snapToGrid w:val="0"/>
        <w:spacing w:before="48" w:beforeLines="2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61" w:name="_Toc16863"/>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.7</w:t>
      </w:r>
      <w:r>
        <w:rPr>
          <w:rFonts w:ascii="黑体" w:hAnsi="黑体" w:eastAsia="黑体"/>
          <w:b/>
          <w:color w:val="000000" w:themeColor="text1"/>
          <w:sz w:val="32"/>
          <w:szCs w:val="32"/>
          <w14:textFill>
            <w14:solidFill>
              <w14:schemeClr w14:val="tx1"/>
            </w14:solidFill>
          </w14:textFill>
        </w:rPr>
        <w:t>突发事故应急预案</w:t>
      </w:r>
      <w:bookmarkEnd w:id="661"/>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62" w:name="_Toc23113"/>
      <w:bookmarkStart w:id="663" w:name="_Toc5810"/>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.7.1应急组织机构及人员</w:t>
      </w:r>
      <w:bookmarkEnd w:id="662"/>
      <w:bookmarkEnd w:id="663"/>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公司组建</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事故应急救援队伍</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，其中总经理任指挥长，副总经理任副指挥长，公司员工为应急小组主要组成人员。</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应急小组主要职责如下：</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）第一时间接警，甄别是一般还是较大环境污染事故，并根据事故等级（分为二类），下达启动应急预案指令，同时向相关职能管理部门上报事故发生情况；</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）负责制订环境污染事故的应急方案并组织现场实施；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）制定应急演习工作计划、开展相关人员培训；</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4</w:t>
      </w:r>
      <w:r>
        <w:rPr>
          <w:rFonts w:ascii="Times New Roman" w:hAnsiTheme="minorEastAsia" w:eastAsiaTheme="minorEastAsia"/>
          <w:color w:val="000000" w:themeColor="text1"/>
          <w:sz w:val="24"/>
          <w:szCs w:val="24"/>
          <w14:textFill>
            <w14:solidFill>
              <w14:schemeClr w14:val="tx1"/>
            </w14:solidFill>
          </w14:textFill>
        </w:rPr>
        <w:t>）负责事故现场调查取证；调查分析主要污染物种类、污染程度和范围，对周边生态环境影响；</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）承担与当地区域或各职能管理部门的应急指挥机构的联系工作，及时将事故发生情况及最新进展向有关部门汇报；</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6</w:t>
      </w:r>
      <w:r>
        <w:rPr>
          <w:rFonts w:ascii="Times New Roman" w:hAnsiTheme="minorEastAsia" w:eastAsiaTheme="minorEastAsia"/>
          <w:color w:val="000000" w:themeColor="text1"/>
          <w:sz w:val="24"/>
          <w:szCs w:val="24"/>
          <w14:textFill>
            <w14:solidFill>
              <w14:schemeClr w14:val="tx1"/>
            </w14:solidFill>
          </w14:textFill>
        </w:rPr>
        <w:t>）在事故发生后，迅速派出人员进行抢险救灾；负责在专业消防队伍到之前，进行火灾预防和扑救，尽可能减少损失；</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7</w:t>
      </w:r>
      <w:r>
        <w:rPr>
          <w:rFonts w:ascii="Times New Roman" w:hAnsiTheme="minorEastAsia" w:eastAsiaTheme="minorEastAsia"/>
          <w:color w:val="000000" w:themeColor="text1"/>
          <w:sz w:val="24"/>
          <w:szCs w:val="24"/>
          <w14:textFill>
            <w14:solidFill>
              <w14:schemeClr w14:val="tx1"/>
            </w14:solidFill>
          </w14:textFill>
        </w:rPr>
        <w:t>）在专业消防队伍到后，按专业消防队伍的指挥员要求，配合进行工程抢险或火灾扑救；</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8</w:t>
      </w:r>
      <w:r>
        <w:rPr>
          <w:rFonts w:ascii="Times New Roman" w:hAnsiTheme="minorEastAsia" w:eastAsiaTheme="minorEastAsia"/>
          <w:color w:val="000000" w:themeColor="text1"/>
          <w:sz w:val="24"/>
          <w:szCs w:val="24"/>
          <w14:textFill>
            <w14:solidFill>
              <w14:schemeClr w14:val="tx1"/>
            </w14:solidFill>
          </w14:textFill>
        </w:rPr>
        <w:t>）火灾扑救后，尽快组织力量抢修厂内的供电、供水等重要设施，尽快恢复功能；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9</w:t>
      </w:r>
      <w:r>
        <w:rPr>
          <w:rFonts w:ascii="Times New Roman" w:hAnsiTheme="minorEastAsia" w:eastAsiaTheme="minorEastAsia"/>
          <w:color w:val="000000" w:themeColor="text1"/>
          <w:sz w:val="24"/>
          <w:szCs w:val="24"/>
          <w14:textFill>
            <w14:solidFill>
              <w14:schemeClr w14:val="tx1"/>
            </w14:solidFill>
          </w14:textFill>
        </w:rPr>
        <w:t>）在事故发生时及时将有关应急装备、安全防护品、现场应急处置材料等应急物资运送到事故现场；</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10</w:t>
      </w:r>
      <w:r>
        <w:rPr>
          <w:rFonts w:ascii="Times New Roman" w:hAnsiTheme="minorEastAsia" w:eastAsiaTheme="minorEastAsia"/>
          <w:color w:val="000000" w:themeColor="text1"/>
          <w:sz w:val="24"/>
          <w:szCs w:val="24"/>
          <w14:textFill>
            <w14:solidFill>
              <w14:schemeClr w14:val="tx1"/>
            </w14:solidFill>
          </w14:textFill>
        </w:rPr>
        <w:t>）协助医疗救护部门将伤员护送到相关单位进行抢救和安置。</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64" w:name="_Toc8408"/>
      <w:bookmarkStart w:id="665" w:name="_Toc5456"/>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.7.2预案分级响应条件</w:t>
      </w:r>
      <w:bookmarkEnd w:id="664"/>
      <w:bookmarkEnd w:id="665"/>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根据所发事故的大小，确定了相应的预案级别及分级响应程序。</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）一般污染事故应急响应程序</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①应急指挥小组接到事故报警后，立即通知各应急小组</w:t>
      </w:r>
      <w:r>
        <w:rPr>
          <w:rFonts w:ascii="Times New Roman" w:hAnsi="Times New Roman" w:eastAsiaTheme="minorEastAsia"/>
          <w:color w:val="000000" w:themeColor="text1"/>
          <w:sz w:val="24"/>
          <w:szCs w:val="24"/>
          <w14:textFill>
            <w14:solidFill>
              <w14:schemeClr w14:val="tx1"/>
            </w14:solidFill>
          </w14:textFill>
        </w:rPr>
        <w:t xml:space="preserve">15 </w:t>
      </w:r>
      <w:r>
        <w:rPr>
          <w:rFonts w:ascii="Times New Roman" w:hAnsiTheme="minorEastAsia" w:eastAsiaTheme="minorEastAsia"/>
          <w:color w:val="000000" w:themeColor="text1"/>
          <w:sz w:val="24"/>
          <w:szCs w:val="24"/>
          <w14:textFill>
            <w14:solidFill>
              <w14:schemeClr w14:val="tx1"/>
            </w14:solidFill>
          </w14:textFill>
        </w:rPr>
        <w:t>分钟内到达各自岗位，完成人员、车辆及装备调度；同时，应向事故应急处理指挥部报告。</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②综合协调小组在</w:t>
      </w:r>
      <w:r>
        <w:rPr>
          <w:rFonts w:ascii="Times New Roman" w:hAnsi="Times New Roman" w:eastAsiaTheme="minorEastAsia"/>
          <w:color w:val="000000" w:themeColor="text1"/>
          <w:sz w:val="24"/>
          <w:szCs w:val="24"/>
          <w14:textFill>
            <w14:solidFill>
              <w14:schemeClr w14:val="tx1"/>
            </w14:solidFill>
          </w14:textFill>
        </w:rPr>
        <w:t>15</w:t>
      </w:r>
      <w:r>
        <w:rPr>
          <w:rFonts w:ascii="Times New Roman" w:hAnsiTheme="minorEastAsia" w:eastAsiaTheme="minorEastAsia"/>
          <w:color w:val="000000" w:themeColor="text1"/>
          <w:sz w:val="24"/>
          <w:szCs w:val="24"/>
          <w14:textFill>
            <w14:solidFill>
              <w14:schemeClr w14:val="tx1"/>
            </w14:solidFill>
          </w14:textFill>
        </w:rPr>
        <w:t>分钟之内到达事故现场，进行调查取证，保护现场，查找污染源，并对事故类型、发生时间、地点、污染源、主要污染物质、影响的范围和程度等基本情况进行初步调查分析，形成初步意见，及时反馈上级应急指挥小组。由应急指挥小组根据事故情况启动相应的应急预案，领导各应急小组展开工作。</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③在污染事故现场处置妥当后，经应急指挥小组研究确定后，向当地政府机关和事故应急处理指挥部报告处理结果。现场应急工作结束。</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）较大或严重污染事故应急响应程序</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①应急指挥小组接到事故报警后，立即通知各应急小组</w:t>
      </w:r>
      <w:r>
        <w:rPr>
          <w:rFonts w:ascii="Times New Roman" w:hAnsi="Times New Roman" w:eastAsiaTheme="minorEastAsia"/>
          <w:color w:val="000000" w:themeColor="text1"/>
          <w:sz w:val="24"/>
          <w:szCs w:val="24"/>
          <w14:textFill>
            <w14:solidFill>
              <w14:schemeClr w14:val="tx1"/>
            </w14:solidFill>
          </w14:textFill>
        </w:rPr>
        <w:t>15</w:t>
      </w:r>
      <w:r>
        <w:rPr>
          <w:rFonts w:ascii="Times New Roman" w:hAnsiTheme="minorEastAsia" w:eastAsiaTheme="minorEastAsia"/>
          <w:color w:val="000000" w:themeColor="text1"/>
          <w:sz w:val="24"/>
          <w:szCs w:val="24"/>
          <w14:textFill>
            <w14:solidFill>
              <w14:schemeClr w14:val="tx1"/>
            </w14:solidFill>
          </w14:textFill>
        </w:rPr>
        <w:t>分钟内到达各自岗位，完成人员、车辆及装备调度；同时，向事故应急处理指挥部报告。</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②综合协调小组在</w:t>
      </w:r>
      <w:r>
        <w:rPr>
          <w:rFonts w:ascii="Times New Roman" w:hAnsi="Times New Roman" w:eastAsiaTheme="minorEastAsia"/>
          <w:color w:val="000000" w:themeColor="text1"/>
          <w:sz w:val="24"/>
          <w:szCs w:val="24"/>
          <w14:textFill>
            <w14:solidFill>
              <w14:schemeClr w14:val="tx1"/>
            </w14:solidFill>
          </w14:textFill>
        </w:rPr>
        <w:t>15</w:t>
      </w:r>
      <w:r>
        <w:rPr>
          <w:rFonts w:ascii="Times New Roman" w:hAnsiTheme="minorEastAsia" w:eastAsiaTheme="minorEastAsia"/>
          <w:color w:val="000000" w:themeColor="text1"/>
          <w:sz w:val="24"/>
          <w:szCs w:val="24"/>
          <w14:textFill>
            <w14:solidFill>
              <w14:schemeClr w14:val="tx1"/>
            </w14:solidFill>
          </w14:textFill>
        </w:rPr>
        <w:t>分钟之内到达事故现场，进行调查取证，保护现场，查找污染源，并对事故类型、发生时间、地点、污染源、主要污染物质、影响的范围和程度等基本情况进行初步调查分析，形成初步意见，及时反馈应急指挥小组。</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由应急指挥小组根据事故情况启动相应的应急预案，领导各应急小组展开工作，同时向当地政府机关和园区应急处理指挥部请求支援；由园区应急处理指挥部进行紧急动员，适时启动区域的环境污染事故应急预案，迅速调集救援力量，指挥各成员单位、相关职能部门，根据应急预案组成各个应急行动小组。</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④区域的各应急行动小组迅速到达事故现场，成立现场应急处理指挥部，厂内应急指挥小组移交事故现场指挥权，制定现场救援具体方案；各应急行动小组在现场指挥部的领导下，按照应急预案中各自的职责和现场救援具体方案开展抢险救援工作；厂内的应急小组应听从现场指挥部的领导。现场指挥部同时将有关进展情况向应急处理指挥部汇报。</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⑤污染事故基本控制稳定后，现场应急指挥部将根据专家意见，迅速调集后援力量展开事故处置工作。现场应急处理结束。以上各步程序按照现场实际情况可交叉进行或同时进行。</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当污染事故有进一步扩大、发展趋势，或因事故衍生问题造成重大社会不稳定事态，现场应急指挥部将根据事态发展，及时调整应急响应级别，并发布预警信息，同时可向上级应急处理指挥部和省环境污染事故应急处理指挥部请求援助。</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66" w:name="_Toc1209"/>
      <w:bookmarkStart w:id="667" w:name="_Toc3876"/>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.7.3应急救援保障</w:t>
      </w:r>
      <w:bookmarkEnd w:id="666"/>
      <w:bookmarkEnd w:id="667"/>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）内部保障</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整个厂区的公用工程、行政管理及生产设施人员全部由公司统一配置。</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救援队伍：公司各职能部门和全体员工都负有事故应急救援责任，其任务是担负公司各危险化学品事故救援及处置。</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B.</w:t>
      </w:r>
      <w:r>
        <w:rPr>
          <w:rFonts w:ascii="Times New Roman" w:hAnsiTheme="minorEastAsia" w:eastAsiaTheme="minorEastAsia"/>
          <w:color w:val="000000" w:themeColor="text1"/>
          <w:sz w:val="24"/>
          <w:szCs w:val="24"/>
          <w14:textFill>
            <w14:solidFill>
              <w14:schemeClr w14:val="tx1"/>
            </w14:solidFill>
          </w14:textFill>
        </w:rPr>
        <w:t>消防设施：根据企业及设计规范要求，厂区内设置独立的消防给水和消防基础设施。</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C.</w:t>
      </w:r>
      <w:r>
        <w:rPr>
          <w:rFonts w:ascii="Times New Roman" w:hAnsiTheme="minorEastAsia" w:eastAsiaTheme="minorEastAsia"/>
          <w:color w:val="000000" w:themeColor="text1"/>
          <w:sz w:val="24"/>
          <w:szCs w:val="24"/>
          <w14:textFill>
            <w14:solidFill>
              <w14:schemeClr w14:val="tx1"/>
            </w14:solidFill>
          </w14:textFill>
        </w:rPr>
        <w:t>应急通信：整个厂区的电信电缆线路包括扩音对讲电话线路、火灾自动报警系统线路</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各系统的电缆均各自独立，自成系统。整个厂区的报警系统采用消防报警系统、可燃气体报警仪、手动报警和电话报警系统相结合方式。</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D.</w:t>
      </w:r>
      <w:r>
        <w:rPr>
          <w:rFonts w:ascii="Times New Roman" w:hAnsiTheme="minorEastAsia" w:eastAsiaTheme="minorEastAsia"/>
          <w:color w:val="000000" w:themeColor="text1"/>
          <w:sz w:val="24"/>
          <w:szCs w:val="24"/>
          <w14:textFill>
            <w14:solidFill>
              <w14:schemeClr w14:val="tx1"/>
            </w14:solidFill>
          </w14:textFill>
        </w:rPr>
        <w:t>道路交通：厂区道路交通方便。</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E.</w:t>
      </w:r>
      <w:r>
        <w:rPr>
          <w:rFonts w:ascii="Times New Roman" w:hAnsiTheme="minorEastAsia" w:eastAsiaTheme="minorEastAsia"/>
          <w:color w:val="000000" w:themeColor="text1"/>
          <w:sz w:val="24"/>
          <w:szCs w:val="24"/>
          <w14:textFill>
            <w14:solidFill>
              <w14:schemeClr w14:val="tx1"/>
            </w14:solidFill>
          </w14:textFill>
        </w:rPr>
        <w:t>照明：整个厂区的照明依照《工业企业照明设计标准》（</w:t>
      </w:r>
      <w:r>
        <w:rPr>
          <w:rFonts w:ascii="Times New Roman" w:hAnsi="Times New Roman" w:eastAsiaTheme="minorEastAsia"/>
          <w:color w:val="000000" w:themeColor="text1"/>
          <w:sz w:val="24"/>
          <w:szCs w:val="24"/>
          <w14:textFill>
            <w14:solidFill>
              <w14:schemeClr w14:val="tx1"/>
            </w14:solidFill>
          </w14:textFill>
        </w:rPr>
        <w:t>GB50034-92</w:t>
      </w:r>
      <w:r>
        <w:rPr>
          <w:rFonts w:ascii="Times New Roman" w:hAnsiTheme="minorEastAsia" w:eastAsiaTheme="minorEastAsia"/>
          <w:color w:val="000000" w:themeColor="text1"/>
          <w:sz w:val="24"/>
          <w:szCs w:val="24"/>
          <w14:textFill>
            <w14:solidFill>
              <w14:schemeClr w14:val="tx1"/>
            </w14:solidFill>
          </w14:textFill>
        </w:rPr>
        <w:t>）设计。在防爆区内选用隔爆型照明灯，正常环境采用普通灯。</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F.</w:t>
      </w:r>
      <w:r>
        <w:rPr>
          <w:rFonts w:ascii="Times New Roman" w:hAnsiTheme="minorEastAsia" w:eastAsiaTheme="minorEastAsia"/>
          <w:color w:val="000000" w:themeColor="text1"/>
          <w:sz w:val="24"/>
          <w:szCs w:val="24"/>
          <w14:textFill>
            <w14:solidFill>
              <w14:schemeClr w14:val="tx1"/>
            </w14:solidFill>
          </w14:textFill>
        </w:rPr>
        <w:t>救援设备、物质及药品：厂区内配备所需的个体防护设备，便于紧急情况下使用，在易发生事故的必要位置设置洗眼器及相应的药品。</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G.</w:t>
      </w:r>
      <w:r>
        <w:rPr>
          <w:rFonts w:ascii="Times New Roman" w:hAnsiTheme="minorEastAsia" w:eastAsiaTheme="minorEastAsia"/>
          <w:color w:val="000000" w:themeColor="text1"/>
          <w:sz w:val="24"/>
          <w:szCs w:val="24"/>
          <w14:textFill>
            <w14:solidFill>
              <w14:schemeClr w14:val="tx1"/>
            </w14:solidFill>
          </w14:textFill>
        </w:rPr>
        <w:t>保障制度：整个厂区建立应急救援设备、物资维护和检修制度，由专人负责设备或物质的维护、定期检查与更新。</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）外部保障</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单位互助体系：建设单位和周边企业需建立良好的应急互助关系，在重大事故发生后，能够相互支援。</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B.</w:t>
      </w:r>
      <w:r>
        <w:rPr>
          <w:rFonts w:ascii="Times New Roman" w:hAnsiTheme="minorEastAsia" w:eastAsiaTheme="minorEastAsia"/>
          <w:color w:val="000000" w:themeColor="text1"/>
          <w:sz w:val="24"/>
          <w:szCs w:val="24"/>
          <w14:textFill>
            <w14:solidFill>
              <w14:schemeClr w14:val="tx1"/>
            </w14:solidFill>
          </w14:textFill>
        </w:rPr>
        <w:t>公共援助力量：厂区还可以联系南通市公共消防队、医院、公安、交通、安监局以及各相关职能部门，请求救援力量、设备的支持。</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68" w:name="_Toc32603"/>
      <w:bookmarkStart w:id="669" w:name="_Toc14802"/>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.7.4突发事故的信息报送程序与联络方式</w:t>
      </w:r>
      <w:bookmarkEnd w:id="668"/>
      <w:bookmarkEnd w:id="669"/>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）突发事故的报告时限和程序</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在生产过程中，发生危险品火灾事故时岗位操作人员立即向班长和值班长及公司值班人员汇报并采取相应措施予以处理。当处理无效，危害有扩大趋势时，应立即向公司安全人员报警。当发生Ⅰ级事故，岗位操作人员应立即向公司安全人员报警，公司安全人员接到报警后，下达按应急救援预案处置的指令，立即通知公司应急救援领导小组成员到场成立应急救援指挥部，各专业组按各自职责开展救援工作。</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发生重大事故，应向安检、公安、环保、消防、卫生等上级领导机关报告事故情况。</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）突发事故的报告方式与内容</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突发事故的报告分为初报、续报和处理结果报告三类：</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①初报从发现事件后起</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小时内上报。初报可用电话或直接报告，主要内容包括：环境事件的类型、发生时间、地点、污染源、主要污染物质、人员受害等初步情况。</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②续报在查清有关基本情况后随时上报。续报可通过电话、网络或书面报告，在初报的基础上报告有关确切数据，事件发生的原因、过程、进展情况及采取的应急措施等基本情况。</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③处理结果报告在事件处理完毕后立即上报。处理结果报告采用书面报告，处理结果报告在初报和续报的基础上，报告处理事件的措施、过程和结果，事件潜在或间接的危害、社会影响、处理后的遗留问题，参加处理工作的有关部门和工作内容，出具有关危害与损失的证明文件等详细情况。</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报告应采用适当方式，避免在当地群众中造成不利影响。各部门之间的信息交换按照相关规定程序执行。</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）特殊情况的信息处理</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如果环境污染事故的影响范围涉及到区域外时，必须立即形成信息报告连同预警信息报市政府。如果污染事故涉及到外事工作，指挥部将迅速通报市政府，按照政府有关规定处理。</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70" w:name="_Toc30167"/>
      <w:bookmarkStart w:id="671" w:name="_Toc17848"/>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.7.5应急环境监测、抢险、救援及控制措施</w:t>
      </w:r>
      <w:bookmarkEnd w:id="670"/>
      <w:bookmarkEnd w:id="671"/>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由公司委托专门机构负责对事故现场进行现场应急监测（大气、水），对事故性质、参数与后果进行评估，为指挥部门提供决策依据。</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72" w:name="_Toc5036"/>
      <w:bookmarkStart w:id="673" w:name="_Toc16613"/>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.7.6人员紧急撤离、疏散，应急剂量控制、撤离组织计划</w:t>
      </w:r>
      <w:bookmarkEnd w:id="672"/>
      <w:bookmarkEnd w:id="673"/>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将根据事故影响程度，预先制定相应事故现场、工厂邻近区、受事故影响的区域人员及公众的疏散计划，同时针对灾害类型，确定适当的救护、医疗方法，确保公众健康。</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74" w:name="_Toc1135"/>
      <w:bookmarkStart w:id="675" w:name="_Toc27317"/>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.7.7事故应急救援关闭程序与恢复措施</w:t>
      </w:r>
      <w:bookmarkEnd w:id="674"/>
      <w:bookmarkEnd w:id="675"/>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当事故污染源已得到有效控制，事故现场处置已完成，现场监测符合要求，受伤人员已得到救治，危险化学品储存区基本恢复正常秩序，由指挥中心宣布公司危险化学品重大事故应急工作结束，并进行事故现场的善后处理，对厂区进行恢复、重建工作。</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76" w:name="_Toc18441"/>
      <w:bookmarkStart w:id="677" w:name="_Toc29549"/>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.7.8应急培训计划</w:t>
      </w:r>
      <w:bookmarkEnd w:id="676"/>
      <w:bookmarkEnd w:id="677"/>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针对应急指挥机构、应急救援队伍、生产区操作人员等的应急培训、演练等提出了详细的计划</w:t>
      </w:r>
      <w:r>
        <w:rPr>
          <w:rFonts w:hint="eastAsia" w:ascii="Times New Roman" w:hAnsi="Times New Roman"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）培训</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①首先对公司全体工作人员进行培训，使其对项目的危险化学品必须有一个清晰的认知，熟悉项目危险物质的性质、事故类型和处置方式。</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②应着重对员工培训全厂应急救援程序、应急救援措施等方面。</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）演练</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公司应制定详细的应急演练计划，可开展程序演练、模拟演练、风险事故专项演练操作等演练方式，使员工熟悉事故应急程序和操作，检验各事故救援小组的应急处理能力，并在演练过程中发现存在的问题，对事故应急预案进行修正</w:t>
      </w:r>
      <w:r>
        <w:rPr>
          <w:rFonts w:hint="eastAsia" w:ascii="Times New Roman" w:hAnsiTheme="minorEastAsia" w:eastAsiaTheme="minorEastAsia"/>
          <w:color w:val="000000" w:themeColor="text1"/>
          <w:sz w:val="24"/>
          <w:szCs w:val="24"/>
          <w14:textFill>
            <w14:solidFill>
              <w14:schemeClr w14:val="tx1"/>
            </w14:solidFill>
          </w14:textFill>
        </w:rPr>
        <w:t>并</w:t>
      </w:r>
      <w:r>
        <w:rPr>
          <w:rFonts w:ascii="Times New Roman" w:hAnsiTheme="minorEastAsia" w:eastAsiaTheme="minorEastAsia"/>
          <w:color w:val="000000" w:themeColor="text1"/>
          <w:sz w:val="24"/>
          <w:szCs w:val="24"/>
          <w14:textFill>
            <w14:solidFill>
              <w14:schemeClr w14:val="tx1"/>
            </w14:solidFill>
          </w14:textFill>
        </w:rPr>
        <w:t>完善事故应急预案。</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678" w:name="_Toc17165"/>
      <w:bookmarkStart w:id="679" w:name="_Toc32320"/>
      <w:r>
        <w:rPr>
          <w:rFonts w:hint="eastAsia" w:ascii="Times New Roman" w:hAnsi="Times New Roman" w:eastAsia="黑体"/>
          <w:b/>
          <w:color w:val="000000" w:themeColor="text1"/>
          <w:kern w:val="0"/>
          <w:sz w:val="28"/>
          <w:szCs w:val="28"/>
          <w:lang w:val="en-US" w:eastAsia="zh-CN"/>
          <w14:textFill>
            <w14:solidFill>
              <w14:schemeClr w14:val="tx1"/>
            </w14:solidFill>
          </w14:textFill>
        </w:rPr>
        <w:t>7</w:t>
      </w:r>
      <w:r>
        <w:rPr>
          <w:rFonts w:hint="eastAsia" w:ascii="Times New Roman" w:hAnsi="Times New Roman" w:eastAsia="黑体"/>
          <w:b/>
          <w:color w:val="000000" w:themeColor="text1"/>
          <w:kern w:val="0"/>
          <w:sz w:val="28"/>
          <w:szCs w:val="28"/>
          <w14:textFill>
            <w14:solidFill>
              <w14:schemeClr w14:val="tx1"/>
            </w14:solidFill>
          </w14:textFill>
        </w:rPr>
        <w:t>.7.9公众教育和信息</w:t>
      </w:r>
      <w:bookmarkEnd w:id="678"/>
      <w:bookmarkEnd w:id="679"/>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公司可采取对邻近地区发放传单、开座谈会等形式开展公众教育和发布有关信息，或配合当地消防部门对邻近地区公众进行应急救援的培训。本项目应根据生产特点和事故隐患分析，按表</w:t>
      </w:r>
      <w:r>
        <w:rPr>
          <w:rFonts w:hint="eastAsia" w:ascii="Times New Roman" w:hAnsi="Times New Roman" w:eastAsiaTheme="minorEastAsia"/>
          <w:color w:val="000000" w:themeColor="text1"/>
          <w:sz w:val="24"/>
          <w:szCs w:val="24"/>
          <w:lang w:val="en-US" w:eastAsia="zh-CN"/>
          <w14:textFill>
            <w14:solidFill>
              <w14:schemeClr w14:val="tx1"/>
            </w14:solidFill>
          </w14:textFill>
        </w:rPr>
        <w:t>7</w:t>
      </w:r>
      <w:r>
        <w:rPr>
          <w:rFonts w:hint="eastAsia" w:ascii="Times New Roman" w:hAnsi="Times New Roman" w:eastAsiaTheme="minorEastAsia"/>
          <w:color w:val="000000" w:themeColor="text1"/>
          <w:sz w:val="24"/>
          <w:szCs w:val="24"/>
          <w14:textFill>
            <w14:solidFill>
              <w14:schemeClr w14:val="tx1"/>
            </w14:solidFill>
          </w14:textFill>
        </w:rPr>
        <w:t>.7</w:t>
      </w: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的有关内容和要求制定突发事故应急预案。</w:t>
      </w:r>
    </w:p>
    <w:p>
      <w:pPr>
        <w:spacing w:line="520" w:lineRule="exact"/>
        <w:ind w:firstLine="482" w:firstLineChars="200"/>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imes New Roman" w:eastAsiaTheme="minorEastAsia"/>
          <w:b/>
          <w:color w:val="000000" w:themeColor="text1"/>
          <w:sz w:val="24"/>
          <w:szCs w:val="24"/>
          <w:lang w:val="en-US" w:eastAsia="zh-CN"/>
          <w14:textFill>
            <w14:solidFill>
              <w14:schemeClr w14:val="tx1"/>
            </w14:solidFill>
          </w14:textFill>
        </w:rPr>
        <w:t>7</w:t>
      </w:r>
      <w:r>
        <w:rPr>
          <w:rFonts w:hint="eastAsia" w:ascii="Times New Roman" w:hAnsi="Times New Roman" w:eastAsiaTheme="minorEastAsia"/>
          <w:b/>
          <w:color w:val="000000" w:themeColor="text1"/>
          <w:sz w:val="24"/>
          <w:szCs w:val="24"/>
          <w14:textFill>
            <w14:solidFill>
              <w14:schemeClr w14:val="tx1"/>
            </w14:solidFill>
          </w14:textFill>
        </w:rPr>
        <w:t>.7</w:t>
      </w:r>
      <w:r>
        <w:rPr>
          <w:rFonts w:ascii="Times New Roman" w:hAnsi="Times New Roman" w:eastAsiaTheme="minorEastAsia"/>
          <w:b/>
          <w:color w:val="000000" w:themeColor="text1"/>
          <w:sz w:val="24"/>
          <w:szCs w:val="24"/>
          <w14:textFill>
            <w14:solidFill>
              <w14:schemeClr w14:val="tx1"/>
            </w14:solidFill>
          </w14:textFill>
        </w:rPr>
        <w:t xml:space="preserve">-1  </w:t>
      </w:r>
      <w:r>
        <w:rPr>
          <w:rFonts w:ascii="Times New Roman" w:hAnsiTheme="minorEastAsia" w:eastAsiaTheme="minorEastAsia"/>
          <w:b/>
          <w:color w:val="000000" w:themeColor="text1"/>
          <w:sz w:val="24"/>
          <w:szCs w:val="24"/>
          <w14:textFill>
            <w14:solidFill>
              <w14:schemeClr w14:val="tx1"/>
            </w14:solidFill>
          </w14:textFill>
        </w:rPr>
        <w:t>突发事故应急预案</w:t>
      </w:r>
    </w:p>
    <w:tbl>
      <w:tblPr>
        <w:tblStyle w:val="87"/>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6"/>
        <w:gridCol w:w="2977"/>
        <w:gridCol w:w="54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序号</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项目</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内容及要求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总则</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简述生产过程中涉及物料性质及可能产生的突发事故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2</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危险源概况</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评述危险源类型、数量及其分布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3</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应急计划区</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生产区、贮罐区、邻区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4</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应急组织</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工厂：厂指挥部</w:t>
            </w:r>
            <w:r>
              <w:rPr>
                <w:rFonts w:ascii="Times New Roman" w:hAnsi="Times New Roman" w:eastAsiaTheme="minorEastAsia"/>
                <w:color w:val="000000" w:themeColor="text1"/>
                <w:sz w:val="18"/>
                <w:szCs w:val="18"/>
                <w14:textFill>
                  <w14:solidFill>
                    <w14:schemeClr w14:val="tx1"/>
                  </w14:solidFill>
                </w14:textFill>
              </w:rPr>
              <w:t>—</w:t>
            </w:r>
            <w:r>
              <w:rPr>
                <w:rFonts w:ascii="Times New Roman" w:hAnsiTheme="minorEastAsia" w:eastAsiaTheme="minorEastAsia"/>
                <w:color w:val="000000" w:themeColor="text1"/>
                <w:sz w:val="18"/>
                <w:szCs w:val="18"/>
                <w14:textFill>
                  <w14:solidFill>
                    <w14:schemeClr w14:val="tx1"/>
                  </w14:solidFill>
                </w14:textFill>
              </w:rPr>
              <w:t>负责全厂全面指挥专业救援队伍</w:t>
            </w:r>
            <w:r>
              <w:rPr>
                <w:rFonts w:ascii="Times New Roman" w:hAnsi="Times New Roman" w:eastAsiaTheme="minorEastAsia"/>
                <w:color w:val="000000" w:themeColor="text1"/>
                <w:sz w:val="18"/>
                <w:szCs w:val="18"/>
                <w14:textFill>
                  <w14:solidFill>
                    <w14:schemeClr w14:val="tx1"/>
                  </w14:solidFill>
                </w14:textFill>
              </w:rPr>
              <w:t>—</w:t>
            </w:r>
            <w:r>
              <w:rPr>
                <w:rFonts w:ascii="Times New Roman" w:hAnsiTheme="minorEastAsia" w:eastAsiaTheme="minorEastAsia"/>
                <w:color w:val="000000" w:themeColor="text1"/>
                <w:sz w:val="18"/>
                <w:szCs w:val="18"/>
                <w14:textFill>
                  <w14:solidFill>
                    <w14:schemeClr w14:val="tx1"/>
                  </w14:solidFill>
                </w14:textFill>
              </w:rPr>
              <w:t>负责事故控制、救援善后处理</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地区：地区指挥部</w:t>
            </w:r>
            <w:r>
              <w:rPr>
                <w:rFonts w:ascii="Times New Roman" w:hAnsi="Times New Roman" w:eastAsiaTheme="minorEastAsia"/>
                <w:color w:val="000000" w:themeColor="text1"/>
                <w:sz w:val="18"/>
                <w:szCs w:val="18"/>
                <w14:textFill>
                  <w14:solidFill>
                    <w14:schemeClr w14:val="tx1"/>
                  </w14:solidFill>
                </w14:textFill>
              </w:rPr>
              <w:t>—</w:t>
            </w:r>
            <w:r>
              <w:rPr>
                <w:rFonts w:ascii="Times New Roman" w:hAnsiTheme="minorEastAsia" w:eastAsiaTheme="minorEastAsia"/>
                <w:color w:val="000000" w:themeColor="text1"/>
                <w:sz w:val="18"/>
                <w:szCs w:val="18"/>
                <w14:textFill>
                  <w14:solidFill>
                    <w14:schemeClr w14:val="tx1"/>
                  </w14:solidFill>
                </w14:textFill>
              </w:rPr>
              <w:t>负责工厂附近地区、全面指挥、救援疏</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散，专业救援队伍</w:t>
            </w:r>
            <w:r>
              <w:rPr>
                <w:rFonts w:ascii="Times New Roman" w:hAnsi="Times New Roman" w:eastAsiaTheme="minorEastAsia"/>
                <w:color w:val="000000" w:themeColor="text1"/>
                <w:sz w:val="18"/>
                <w:szCs w:val="18"/>
                <w14:textFill>
                  <w14:solidFill>
                    <w14:schemeClr w14:val="tx1"/>
                  </w14:solidFill>
                </w14:textFill>
              </w:rPr>
              <w:t>—</w:t>
            </w:r>
            <w:r>
              <w:rPr>
                <w:rFonts w:ascii="Times New Roman" w:hAnsiTheme="minorEastAsia" w:eastAsiaTheme="minorEastAsia"/>
                <w:color w:val="000000" w:themeColor="text1"/>
                <w:sz w:val="18"/>
                <w:szCs w:val="18"/>
                <w14:textFill>
                  <w14:solidFill>
                    <w14:schemeClr w14:val="tx1"/>
                  </w14:solidFill>
                </w14:textFill>
              </w:rPr>
              <w:t>负责对厂专业救援队伍支持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5</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应急状态分类及应急响应程度</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规定事故的级别及相应的应急分类响应程度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6</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应急设施、设备与材料</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生产装置：</w:t>
            </w:r>
            <w:r>
              <w:rPr>
                <w:rFonts w:asciiTheme="minorEastAsia" w:hAnsiTheme="minorEastAsia" w:eastAsiaTheme="minorEastAsia"/>
                <w:color w:val="000000" w:themeColor="text1"/>
                <w:sz w:val="18"/>
                <w:szCs w:val="18"/>
                <w14:textFill>
                  <w14:solidFill>
                    <w14:schemeClr w14:val="tx1"/>
                  </w14:solidFill>
                </w14:textFill>
              </w:rPr>
              <w:t>①</w:t>
            </w:r>
            <w:r>
              <w:rPr>
                <w:rFonts w:ascii="Times New Roman" w:hAnsiTheme="minorEastAsia" w:eastAsiaTheme="minorEastAsia"/>
                <w:color w:val="000000" w:themeColor="text1"/>
                <w:sz w:val="18"/>
                <w:szCs w:val="18"/>
                <w14:textFill>
                  <w14:solidFill>
                    <w14:schemeClr w14:val="tx1"/>
                  </w14:solidFill>
                </w14:textFill>
              </w:rPr>
              <w:t>防火灾、防爆炸事故、防中毒应急设施、设备与材料，主要为消防器材，防毒面具和防护服装</w:t>
            </w:r>
            <w:r>
              <w:rPr>
                <w:rFonts w:asciiTheme="minorEastAsia" w:hAnsiTheme="minorEastAsia" w:eastAsiaTheme="minorEastAsia"/>
                <w:color w:val="000000" w:themeColor="text1"/>
                <w:sz w:val="18"/>
                <w:szCs w:val="18"/>
                <w14:textFill>
                  <w14:solidFill>
                    <w14:schemeClr w14:val="tx1"/>
                  </w14:solidFill>
                </w14:textFill>
              </w:rPr>
              <w:t>②</w:t>
            </w:r>
            <w:r>
              <w:rPr>
                <w:rFonts w:ascii="Times New Roman" w:hAnsiTheme="minorEastAsia" w:eastAsiaTheme="minorEastAsia"/>
                <w:color w:val="000000" w:themeColor="text1"/>
                <w:sz w:val="18"/>
                <w:szCs w:val="18"/>
                <w14:textFill>
                  <w14:solidFill>
                    <w14:schemeClr w14:val="tx1"/>
                  </w14:solidFill>
                </w14:textFill>
              </w:rPr>
              <w:t>防止原辅材料外溢、扩散贮存区：</w:t>
            </w:r>
            <w:r>
              <w:rPr>
                <w:rFonts w:asciiTheme="minorEastAsia" w:hAnsiTheme="minorEastAsia" w:eastAsiaTheme="minorEastAsia"/>
                <w:color w:val="000000" w:themeColor="text1"/>
                <w:sz w:val="18"/>
                <w:szCs w:val="18"/>
                <w14:textFill>
                  <w14:solidFill>
                    <w14:schemeClr w14:val="tx1"/>
                  </w14:solidFill>
                </w14:textFill>
              </w:rPr>
              <w:t>①</w:t>
            </w:r>
            <w:r>
              <w:rPr>
                <w:rFonts w:ascii="Times New Roman" w:hAnsiTheme="minorEastAsia" w:eastAsiaTheme="minorEastAsia"/>
                <w:color w:val="000000" w:themeColor="text1"/>
                <w:sz w:val="18"/>
                <w:szCs w:val="18"/>
                <w14:textFill>
                  <w14:solidFill>
                    <w14:schemeClr w14:val="tx1"/>
                  </w14:solidFill>
                </w14:textFill>
              </w:rPr>
              <w:t>防火灾、爆炸和毒气泄漏事故应急设施、设备与材料；主要是消防器材，防毒面具和防护服装</w:t>
            </w:r>
            <w:r>
              <w:rPr>
                <w:rFonts w:asciiTheme="minorEastAsia" w:hAnsiTheme="minorEastAsia" w:eastAsiaTheme="minorEastAsia"/>
                <w:color w:val="000000" w:themeColor="text1"/>
                <w:sz w:val="18"/>
                <w:szCs w:val="18"/>
                <w14:textFill>
                  <w14:solidFill>
                    <w14:schemeClr w14:val="tx1"/>
                  </w14:solidFill>
                </w14:textFill>
              </w:rPr>
              <w:t>②</w:t>
            </w:r>
            <w:r>
              <w:rPr>
                <w:rFonts w:ascii="Times New Roman" w:hAnsiTheme="minorEastAsia" w:eastAsiaTheme="minorEastAsia"/>
                <w:color w:val="000000" w:themeColor="text1"/>
                <w:sz w:val="18"/>
                <w:szCs w:val="18"/>
                <w14:textFill>
                  <w14:solidFill>
                    <w14:schemeClr w14:val="tx1"/>
                  </w14:solidFill>
                </w14:textFill>
              </w:rPr>
              <w:t>防止原辅材料外溢、扩散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7</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应急通讯、通知和交通</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规定应急状态下的通讯方式、通知方式和交通保障、管制措施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8</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应急环境监测及事故后评估</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由专业队伍对事故现场进行侦察监测，对事故性质、参数与后果进行评估，为指挥部门提供决策依据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9</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应急防护措施、</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消除泄漏措施方法和器材</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事故现场：控制事故、防止扩大、漫延及连锁反应、消除现场泄漏物、降低危害；相应的设施器材配备</w:t>
            </w:r>
            <w:r>
              <w:rPr>
                <w:rFonts w:ascii="Times New Roman" w:hAnsi="Times New Roman" w:eastAsiaTheme="minorEastAsia"/>
                <w:color w:val="000000" w:themeColor="text1"/>
                <w:sz w:val="18"/>
                <w:szCs w:val="18"/>
                <w14:textFill>
                  <w14:solidFill>
                    <w14:schemeClr w14:val="tx1"/>
                  </w14:solidFill>
                </w14:textFill>
              </w:rPr>
              <w:t xml:space="preserve"> </w:t>
            </w:r>
            <w:r>
              <w:rPr>
                <w:rFonts w:ascii="Times New Roman" w:hAnsiTheme="minorEastAsia" w:eastAsiaTheme="minorEastAsia"/>
                <w:color w:val="000000" w:themeColor="text1"/>
                <w:sz w:val="18"/>
                <w:szCs w:val="18"/>
                <w14:textFill>
                  <w14:solidFill>
                    <w14:schemeClr w14:val="tx1"/>
                  </w14:solidFill>
                </w14:textFill>
              </w:rPr>
              <w:t>邻近区域：控制火灾、有毒区域，控制和消除污染措施及相应设备配备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10</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应急剂量控制、撤离组织计划、医疗救护与公众健康</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事故现场：事故处理人员对毒物的应急剂量控制规定，现场及邻近装置，人员撤离组织计划及救护工厂邻近区：受事故影响的邻近区域人员及公众对毒物应急剂量控制规定，撤离组织及救护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11</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应急状态终止与恢复措施</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定应急状态终止程度：事故善后处理，恢复措施，邻近区域解除事故警戒及善后恢复措施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12</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人员培训与演练</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应急计划制定后，平时安排人员培训及演练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13</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公众教育和信息</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对工厂邻近地区开展公众教育、培训与发布相关信息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14</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记录和报告</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设置应急事故专门记录，建立档案和专门报告制度，设专门部门和负责管理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imes New Roman" w:eastAsiaTheme="minorEastAsia"/>
                <w:color w:val="000000" w:themeColor="text1"/>
                <w:sz w:val="18"/>
                <w:szCs w:val="18"/>
                <w14:textFill>
                  <w14:solidFill>
                    <w14:schemeClr w14:val="tx1"/>
                  </w14:solidFill>
                </w14:textFill>
              </w:rPr>
              <w:t>15</w:t>
            </w:r>
          </w:p>
        </w:tc>
        <w:tc>
          <w:tcPr>
            <w:tcW w:w="29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附件</w:t>
            </w:r>
          </w:p>
        </w:tc>
        <w:tc>
          <w:tcPr>
            <w:tcW w:w="547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与应急事故有关的多种附件材料的准备和形成</w:t>
            </w:r>
          </w:p>
        </w:tc>
      </w:tr>
    </w:tbl>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80" w:name="_Toc2182"/>
      <w:r>
        <w:rPr>
          <w:rFonts w:hint="eastAsia" w:ascii="Times New Roman" w:hAnsi="Times New Roman" w:eastAsia="黑体"/>
          <w:b/>
          <w:color w:val="000000" w:themeColor="text1"/>
          <w:sz w:val="32"/>
          <w:szCs w:val="32"/>
          <w:lang w:val="en-US" w:eastAsia="zh-CN"/>
          <w14:textFill>
            <w14:solidFill>
              <w14:schemeClr w14:val="tx1"/>
            </w14:solidFill>
          </w14:textFill>
        </w:rPr>
        <w:t>7</w:t>
      </w:r>
      <w:r>
        <w:rPr>
          <w:rFonts w:ascii="Times New Roman" w:hAnsi="Times New Roman" w:eastAsia="黑体"/>
          <w:b/>
          <w:color w:val="000000" w:themeColor="text1"/>
          <w:sz w:val="32"/>
          <w:szCs w:val="32"/>
          <w14:textFill>
            <w14:solidFill>
              <w14:schemeClr w14:val="tx1"/>
            </w14:solidFill>
          </w14:textFill>
        </w:rPr>
        <w:t>.8</w:t>
      </w:r>
      <w:r>
        <w:rPr>
          <w:rFonts w:hint="eastAsia" w:ascii="黑体" w:hAnsi="黑体" w:eastAsia="黑体"/>
          <w:b/>
          <w:color w:val="000000" w:themeColor="text1"/>
          <w:sz w:val="32"/>
          <w:szCs w:val="32"/>
          <w14:textFill>
            <w14:solidFill>
              <w14:schemeClr w14:val="tx1"/>
            </w14:solidFill>
          </w14:textFill>
        </w:rPr>
        <w:t>环境风险评价结论</w:t>
      </w:r>
      <w:bookmarkEnd w:id="680"/>
    </w:p>
    <w:p>
      <w:pPr>
        <w:autoSpaceDE w:val="0"/>
        <w:autoSpaceDN w:val="0"/>
        <w:adjustRightInd w:val="0"/>
        <w:spacing w:line="520" w:lineRule="exact"/>
        <w:ind w:firstLine="480" w:firstLineChars="200"/>
        <w:jc w:val="left"/>
        <w:rPr>
          <w:rFonts w:ascii="Times New Roman" w:hAnsi="Times New Roman"/>
          <w:color w:val="000000" w:themeColor="text1"/>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 xml:space="preserve">综上对本项目的风险分析，建设单位应按本环评提出的意见，做好各项风险的预防和应急措施，一旦发生事故，依靠完善的事故应急措施则能及时控制事故，有效防止事故的蔓延，项目的环境风险影响是可以接受的。项目环境风险简单分析内容表详见表 </w:t>
      </w:r>
      <w:r>
        <w:rPr>
          <w:rFonts w:hint="eastAsia" w:ascii="Times New Roman" w:hAnsiTheme="minorEastAsia" w:eastAsiaTheme="minorEastAsia"/>
          <w:color w:val="000000" w:themeColor="text1"/>
          <w:kern w:val="0"/>
          <w:sz w:val="24"/>
          <w:szCs w:val="24"/>
          <w:lang w:val="en-US" w:eastAsia="zh-CN"/>
          <w14:textFill>
            <w14:solidFill>
              <w14:schemeClr w14:val="tx1"/>
            </w14:solidFill>
          </w14:textFill>
        </w:rPr>
        <w:t>7</w:t>
      </w:r>
      <w:r>
        <w:rPr>
          <w:rFonts w:hint="eastAsia" w:ascii="Times New Roman" w:hAnsiTheme="minorEastAsia" w:eastAsiaTheme="minorEastAsia"/>
          <w:color w:val="000000" w:themeColor="text1"/>
          <w:kern w:val="0"/>
          <w:sz w:val="24"/>
          <w:szCs w:val="24"/>
          <w14:textFill>
            <w14:solidFill>
              <w14:schemeClr w14:val="tx1"/>
            </w14:solidFill>
          </w14:textFill>
        </w:rPr>
        <w:t>.8</w:t>
      </w:r>
      <w:r>
        <w:rPr>
          <w:rFonts w:ascii="Times New Roman" w:hAnsiTheme="minorEastAsia" w:eastAsiaTheme="minorEastAsia"/>
          <w:color w:val="000000" w:themeColor="text1"/>
          <w:kern w:val="0"/>
          <w:sz w:val="24"/>
          <w:szCs w:val="24"/>
          <w14:textFill>
            <w14:solidFill>
              <w14:schemeClr w14:val="tx1"/>
            </w14:solidFill>
          </w14:textFill>
        </w:rPr>
        <w:t>-1。</w:t>
      </w:r>
    </w:p>
    <w:p>
      <w:pPr>
        <w:pStyle w:val="24"/>
        <w:spacing w:line="500" w:lineRule="exact"/>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表</w:t>
      </w:r>
      <w:r>
        <w:rPr>
          <w:rFonts w:hint="eastAsia" w:ascii="Times New Roman" w:hAnsi="Times New Roman" w:eastAsia="宋体" w:cs="Times New Roman"/>
          <w:b/>
          <w:color w:val="000000" w:themeColor="text1"/>
          <w:szCs w:val="24"/>
          <w:lang w:val="en-US" w:eastAsia="zh-CN"/>
          <w14:textFill>
            <w14:solidFill>
              <w14:schemeClr w14:val="tx1"/>
            </w14:solidFill>
          </w14:textFill>
        </w:rPr>
        <w:t>7</w:t>
      </w:r>
      <w:r>
        <w:rPr>
          <w:rFonts w:ascii="Times New Roman" w:hAnsi="Times New Roman" w:eastAsia="宋体" w:cs="Times New Roman"/>
          <w:b/>
          <w:color w:val="000000" w:themeColor="text1"/>
          <w:szCs w:val="24"/>
          <w14:textFill>
            <w14:solidFill>
              <w14:schemeClr w14:val="tx1"/>
            </w14:solidFill>
          </w14:textFill>
        </w:rPr>
        <w:t>.8-1  建设项目环境风险简单分析内容一览表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1644"/>
        <w:gridCol w:w="1644"/>
        <w:gridCol w:w="1644"/>
        <w:gridCol w:w="1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384" w:type="dxa"/>
            <w:vAlign w:val="center"/>
          </w:tcPr>
          <w:p>
            <w:pPr>
              <w:pStyle w:val="107"/>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建设项目名称</w:t>
            </w:r>
          </w:p>
        </w:tc>
        <w:tc>
          <w:tcPr>
            <w:tcW w:w="6575" w:type="dxa"/>
            <w:gridSpan w:val="4"/>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氟硅酸钠生产加工项目一期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384" w:type="dxa"/>
            <w:vAlign w:val="center"/>
          </w:tcPr>
          <w:p>
            <w:pPr>
              <w:pStyle w:val="107"/>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建设地点</w:t>
            </w:r>
          </w:p>
        </w:tc>
        <w:tc>
          <w:tcPr>
            <w:tcW w:w="1644"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湖北省</w:t>
            </w:r>
          </w:p>
        </w:tc>
        <w:tc>
          <w:tcPr>
            <w:tcW w:w="1644"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宜都市</w:t>
            </w:r>
          </w:p>
        </w:tc>
        <w:tc>
          <w:tcPr>
            <w:tcW w:w="1644"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枝城镇</w:t>
            </w:r>
          </w:p>
        </w:tc>
        <w:tc>
          <w:tcPr>
            <w:tcW w:w="1643"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宜都化工园区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384" w:type="dxa"/>
            <w:vAlign w:val="center"/>
          </w:tcPr>
          <w:p>
            <w:pPr>
              <w:pStyle w:val="107"/>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地表坐标</w:t>
            </w:r>
          </w:p>
        </w:tc>
        <w:tc>
          <w:tcPr>
            <w:tcW w:w="1644"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经度</w:t>
            </w:r>
          </w:p>
        </w:tc>
        <w:tc>
          <w:tcPr>
            <w:tcW w:w="1644"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111.534878</w:t>
            </w:r>
          </w:p>
        </w:tc>
        <w:tc>
          <w:tcPr>
            <w:tcW w:w="1644"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纬度</w:t>
            </w:r>
          </w:p>
        </w:tc>
        <w:tc>
          <w:tcPr>
            <w:tcW w:w="1643" w:type="dxa"/>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30.243712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384" w:type="dxa"/>
            <w:vAlign w:val="center"/>
          </w:tcPr>
          <w:p>
            <w:pPr>
              <w:pStyle w:val="107"/>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主要危险物质及分布</w:t>
            </w:r>
          </w:p>
        </w:tc>
        <w:tc>
          <w:tcPr>
            <w:tcW w:w="6575" w:type="dxa"/>
            <w:gridSpan w:val="4"/>
            <w:vAlign w:val="center"/>
          </w:tcPr>
          <w:p>
            <w:pPr>
              <w:pStyle w:val="107"/>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主要危险物质氟硅酸、氢氟酸储存于罐区；氢氧化钠、氟硅酸钠储存于综合仓库。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2384" w:type="dxa"/>
            <w:vAlign w:val="center"/>
          </w:tcPr>
          <w:p>
            <w:pPr>
              <w:pStyle w:val="107"/>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环境影响途径及危害后果（大气、地表水、地下水等）</w:t>
            </w:r>
          </w:p>
        </w:tc>
        <w:tc>
          <w:tcPr>
            <w:tcW w:w="6575" w:type="dxa"/>
            <w:gridSpan w:val="4"/>
            <w:vAlign w:val="center"/>
          </w:tcPr>
          <w:p>
            <w:pPr>
              <w:pStyle w:val="107"/>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影响途径为危化品及危险废物泄漏污染地下水及土壤环境，事故废水泄漏、渗漏污染地表水、地下水、土壤环境。有毒有害废气事故排放污染大气环境。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384" w:type="dxa"/>
            <w:vAlign w:val="center"/>
          </w:tcPr>
          <w:p>
            <w:pPr>
              <w:pStyle w:val="107"/>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风险防范措施要求</w:t>
            </w:r>
          </w:p>
        </w:tc>
        <w:tc>
          <w:tcPr>
            <w:tcW w:w="6575" w:type="dxa"/>
            <w:gridSpan w:val="4"/>
            <w:vAlign w:val="center"/>
          </w:tcPr>
          <w:p>
            <w:pPr>
              <w:pStyle w:val="107"/>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见前文环境风险防范措施章节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959" w:type="dxa"/>
            <w:gridSpan w:val="5"/>
            <w:vAlign w:val="center"/>
          </w:tcPr>
          <w:p>
            <w:pPr>
              <w:pStyle w:val="107"/>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填报说明（列出项目相关信息及评价说明）：危险物质数量与临界量的比值Q为85.542，10≤Q＜100，行业及生产工艺M值划分结果为M4，判定本项目危险物质及工艺危险性等级为P4</w:t>
            </w:r>
            <w:r>
              <w:rPr>
                <w:rFonts w:hint="eastAsia" w:ascii="Times New Roman" w:hAnsi="Times New Roman" w:cs="Times New Roman"/>
                <w:color w:val="000000" w:themeColor="text1"/>
                <w:sz w:val="18"/>
                <w:szCs w:val="18"/>
                <w14:textFill>
                  <w14:solidFill>
                    <w14:schemeClr w14:val="tx1"/>
                  </w14:solidFill>
                </w14:textFill>
              </w:rPr>
              <w:t>，本项目各要素环境敏感度分级为E3，确定本</w:t>
            </w:r>
            <w:r>
              <w:rPr>
                <w:rFonts w:ascii="Times New Roman" w:hAnsi="Times New Roman" w:cs="Times New Roman"/>
                <w:color w:val="000000" w:themeColor="text1"/>
                <w:sz w:val="18"/>
                <w:szCs w:val="18"/>
                <w14:textFill>
                  <w14:solidFill>
                    <w14:schemeClr w14:val="tx1"/>
                  </w14:solidFill>
                </w14:textFill>
              </w:rPr>
              <w:t>项目环境风险潜势为I</w:t>
            </w:r>
            <w:r>
              <w:rPr>
                <w:rFonts w:hint="eastAsia" w:ascii="Times New Roman" w:hAnsi="Times New Roman" w:cs="Times New Roman"/>
                <w:color w:val="000000" w:themeColor="text1"/>
                <w:sz w:val="18"/>
                <w:szCs w:val="18"/>
                <w14:textFill>
                  <w14:solidFill>
                    <w14:schemeClr w14:val="tx1"/>
                  </w14:solidFill>
                </w14:textFill>
              </w:rPr>
              <w:t>。</w:t>
            </w:r>
          </w:p>
        </w:tc>
      </w:tr>
    </w:tbl>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p>
    <w:p>
      <w:pPr>
        <w:rPr>
          <w:rFonts w:ascii="黑体" w:hAnsi="黑体" w:eastAsia="黑体"/>
          <w:b/>
          <w:color w:val="000000" w:themeColor="text1"/>
          <w:sz w:val="44"/>
          <w:szCs w:val="44"/>
          <w14:textFill>
            <w14:solidFill>
              <w14:schemeClr w14:val="tx1"/>
            </w14:solidFill>
          </w14:textFill>
        </w:rPr>
      </w:pPr>
      <w:bookmarkStart w:id="681" w:name="_Toc267923651"/>
      <w:bookmarkStart w:id="682" w:name="_Toc22397"/>
      <w:bookmarkStart w:id="683" w:name="_Toc31771"/>
      <w:bookmarkStart w:id="684" w:name="_Toc30118"/>
      <w:bookmarkStart w:id="685" w:name="_Toc7313"/>
      <w:bookmarkStart w:id="686" w:name="_Toc325552426"/>
    </w:p>
    <w:p>
      <w:pPr>
        <w:pStyle w:val="380"/>
        <w:adjustRightInd w:val="0"/>
        <w:snapToGrid w:val="0"/>
        <w:spacing w:after="360" w:afterLines="150"/>
        <w:ind w:firstLine="1325" w:firstLineChars="300"/>
        <w:jc w:val="left"/>
        <w:outlineLvl w:val="2"/>
        <w:rPr>
          <w:rFonts w:hint="eastAsia" w:ascii="黑体" w:hAnsi="黑体" w:eastAsia="黑体" w:cs="黑体"/>
          <w:b/>
          <w:color w:val="000000" w:themeColor="text1"/>
          <w:sz w:val="44"/>
          <w:szCs w:val="44"/>
          <w14:textFill>
            <w14:solidFill>
              <w14:schemeClr w14:val="tx1"/>
            </w14:solidFill>
          </w14:textFill>
        </w:rPr>
      </w:pPr>
    </w:p>
    <w:p>
      <w:pPr>
        <w:pStyle w:val="380"/>
        <w:adjustRightInd w:val="0"/>
        <w:snapToGrid w:val="0"/>
        <w:spacing w:after="360" w:afterLines="150"/>
        <w:ind w:firstLine="1325" w:firstLineChars="300"/>
        <w:jc w:val="left"/>
        <w:outlineLvl w:val="2"/>
        <w:rPr>
          <w:rFonts w:hint="eastAsia" w:ascii="黑体" w:hAnsi="黑体" w:eastAsia="黑体" w:cs="黑体"/>
          <w:b/>
          <w:color w:val="000000" w:themeColor="text1"/>
          <w:sz w:val="44"/>
          <w:szCs w:val="44"/>
          <w14:textFill>
            <w14:solidFill>
              <w14:schemeClr w14:val="tx1"/>
            </w14:solidFill>
          </w14:textFill>
        </w:rPr>
      </w:pPr>
    </w:p>
    <w:p>
      <w:pPr>
        <w:pStyle w:val="380"/>
        <w:adjustRightInd w:val="0"/>
        <w:snapToGrid w:val="0"/>
        <w:spacing w:after="360" w:afterLines="150"/>
        <w:ind w:firstLine="1325" w:firstLineChars="300"/>
        <w:jc w:val="left"/>
        <w:outlineLvl w:val="2"/>
        <w:rPr>
          <w:rFonts w:hint="eastAsia" w:ascii="黑体" w:hAnsi="黑体" w:eastAsia="黑体" w:cs="黑体"/>
          <w:b/>
          <w:color w:val="000000" w:themeColor="text1"/>
          <w:sz w:val="44"/>
          <w:szCs w:val="44"/>
          <w14:textFill>
            <w14:solidFill>
              <w14:schemeClr w14:val="tx1"/>
            </w14:solidFill>
          </w14:textFill>
        </w:rPr>
      </w:pPr>
    </w:p>
    <w:p>
      <w:pPr>
        <w:pStyle w:val="380"/>
        <w:adjustRightInd w:val="0"/>
        <w:snapToGrid w:val="0"/>
        <w:spacing w:after="360" w:afterLines="150"/>
        <w:ind w:firstLine="1325" w:firstLineChars="300"/>
        <w:jc w:val="left"/>
        <w:outlineLvl w:val="2"/>
        <w:rPr>
          <w:rFonts w:ascii="黑体" w:hAnsi="黑体" w:eastAsia="黑体"/>
          <w:b/>
          <w:color w:val="000000" w:themeColor="text1"/>
          <w:sz w:val="44"/>
          <w:szCs w:val="44"/>
          <w14:textFill>
            <w14:solidFill>
              <w14:schemeClr w14:val="tx1"/>
            </w14:solidFill>
          </w14:textFill>
        </w:rPr>
      </w:pPr>
      <w:bookmarkStart w:id="687" w:name="_Toc23652"/>
      <w:r>
        <w:rPr>
          <w:rFonts w:hint="eastAsia" w:ascii="黑体" w:hAnsi="黑体" w:eastAsia="黑体" w:cs="黑体"/>
          <w:b/>
          <w:color w:val="000000" w:themeColor="text1"/>
          <w:sz w:val="44"/>
          <w:szCs w:val="44"/>
          <w:lang w:val="en-US" w:eastAsia="zh-CN"/>
          <w14:textFill>
            <w14:solidFill>
              <w14:schemeClr w14:val="tx1"/>
            </w14:solidFill>
          </w14:textFill>
        </w:rPr>
        <w:t>8</w:t>
      </w:r>
      <w:r>
        <w:rPr>
          <w:rFonts w:hint="eastAsia" w:ascii="黑体" w:hAnsi="黑体" w:eastAsia="黑体"/>
          <w:b/>
          <w:color w:val="000000" w:themeColor="text1"/>
          <w:sz w:val="44"/>
          <w:szCs w:val="44"/>
          <w14:textFill>
            <w14:solidFill>
              <w14:schemeClr w14:val="tx1"/>
            </w14:solidFill>
          </w14:textFill>
        </w:rPr>
        <w:t>环境保护措施及技术经济论证</w:t>
      </w:r>
      <w:bookmarkEnd w:id="681"/>
      <w:bookmarkEnd w:id="682"/>
      <w:bookmarkEnd w:id="683"/>
      <w:bookmarkEnd w:id="684"/>
      <w:bookmarkEnd w:id="685"/>
      <w:bookmarkEnd w:id="686"/>
      <w:bookmarkEnd w:id="687"/>
    </w:p>
    <w:p>
      <w:pPr>
        <w:pStyle w:val="380"/>
        <w:adjustRightInd w:val="0"/>
        <w:snapToGrid w:val="0"/>
        <w:spacing w:before="48" w:beforeLines="20" w:after="48" w:afterLines="20"/>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688" w:name="_Toc224374173"/>
      <w:bookmarkStart w:id="689" w:name="_Toc16407"/>
      <w:bookmarkStart w:id="690" w:name="_Toc2614"/>
      <w:bookmarkStart w:id="691" w:name="_Toc6032"/>
      <w:bookmarkStart w:id="692" w:name="_Toc13823"/>
      <w:bookmarkStart w:id="693" w:name="_Toc27231"/>
      <w:bookmarkStart w:id="694" w:name="_Toc31791"/>
      <w:bookmarkStart w:id="695" w:name="_Toc27390"/>
      <w:bookmarkStart w:id="696" w:name="_Toc28649"/>
      <w:bookmarkStart w:id="697" w:name="_Toc267923653"/>
      <w:bookmarkStart w:id="698" w:name="_Toc21435"/>
      <w:bookmarkStart w:id="699" w:name="_Toc29976"/>
      <w:bookmarkStart w:id="700" w:name="_Toc21023"/>
      <w:bookmarkStart w:id="701" w:name="_Toc325552427"/>
      <w:r>
        <w:rPr>
          <w:rFonts w:hint="eastAsia" w:ascii="Times New Roman" w:hAnsi="Times New Roman" w:eastAsia="黑体"/>
          <w:b/>
          <w:color w:val="000000" w:themeColor="text1"/>
          <w:sz w:val="32"/>
          <w:szCs w:val="32"/>
          <w:lang w:val="en-US" w:eastAsia="zh-CN"/>
          <w14:textFill>
            <w14:solidFill>
              <w14:schemeClr w14:val="tx1"/>
            </w14:solidFill>
          </w14:textFill>
        </w:rPr>
        <w:t>8</w:t>
      </w:r>
      <w:r>
        <w:rPr>
          <w:rFonts w:ascii="Times New Roman" w:hAnsi="Times New Roman" w:eastAsia="黑体"/>
          <w:b/>
          <w:color w:val="000000" w:themeColor="text1"/>
          <w:sz w:val="32"/>
          <w:szCs w:val="32"/>
          <w14:textFill>
            <w14:solidFill>
              <w14:schemeClr w14:val="tx1"/>
            </w14:solidFill>
          </w14:textFill>
        </w:rPr>
        <w:t>.1</w:t>
      </w:r>
      <w:r>
        <w:rPr>
          <w:rFonts w:ascii="黑体" w:hAnsi="黑体" w:eastAsia="黑体"/>
          <w:b/>
          <w:color w:val="000000" w:themeColor="text1"/>
          <w:sz w:val="32"/>
          <w:szCs w:val="32"/>
          <w14:textFill>
            <w14:solidFill>
              <w14:schemeClr w14:val="tx1"/>
            </w14:solidFill>
          </w14:textFill>
        </w:rPr>
        <w:t>施工期污染防治</w:t>
      </w:r>
      <w:bookmarkEnd w:id="688"/>
      <w:bookmarkEnd w:id="689"/>
      <w:bookmarkEnd w:id="690"/>
      <w:bookmarkEnd w:id="691"/>
      <w:bookmarkEnd w:id="692"/>
      <w:bookmarkEnd w:id="693"/>
      <w:bookmarkEnd w:id="694"/>
      <w:r>
        <w:rPr>
          <w:rFonts w:ascii="黑体" w:hAnsi="黑体" w:eastAsia="黑体"/>
          <w:b/>
          <w:color w:val="000000" w:themeColor="text1"/>
          <w:sz w:val="32"/>
          <w:szCs w:val="32"/>
          <w14:textFill>
            <w14:solidFill>
              <w14:schemeClr w14:val="tx1"/>
            </w14:solidFill>
          </w14:textFill>
        </w:rPr>
        <w:t>措施</w:t>
      </w:r>
      <w:bookmarkEnd w:id="695"/>
      <w:bookmarkEnd w:id="696"/>
    </w:p>
    <w:p>
      <w:pPr>
        <w:pStyle w:val="395"/>
        <w:spacing w:line="520" w:lineRule="exact"/>
        <w:ind w:firstLine="480"/>
        <w:jc w:val="left"/>
        <w:rPr>
          <w:rFonts w:cs="Times New Roman" w:eastAsiaTheme="minorEastAsia"/>
          <w:snapToGrid w:val="0"/>
          <w:color w:val="000000" w:themeColor="text1"/>
          <w:sz w:val="24"/>
          <w:szCs w:val="24"/>
          <w14:textFill>
            <w14:solidFill>
              <w14:schemeClr w14:val="tx1"/>
            </w14:solidFill>
          </w14:textFill>
        </w:rPr>
      </w:pPr>
      <w:r>
        <w:rPr>
          <w:rFonts w:cs="Times New Roman" w:hAnsiTheme="minorEastAsia" w:eastAsiaTheme="minorEastAsia"/>
          <w:snapToGrid w:val="0"/>
          <w:color w:val="000000" w:themeColor="text1"/>
          <w:sz w:val="24"/>
          <w:szCs w:val="24"/>
          <w14:textFill>
            <w14:solidFill>
              <w14:schemeClr w14:val="tx1"/>
            </w14:solidFill>
          </w14:textFill>
        </w:rPr>
        <w:t>根据工程分析可知，该项目在施工期产生的环境污染主要为废气、废水、噪声及固废，在项目的建设期应做到以下防治措施：</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02" w:name="_Toc25120"/>
      <w:bookmarkStart w:id="703" w:name="_Toc17423"/>
      <w:bookmarkStart w:id="704" w:name="_Toc15459"/>
      <w:bookmarkStart w:id="705" w:name="_Toc4714"/>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.1.1环境空气污染防治</w:t>
      </w:r>
      <w:bookmarkEnd w:id="702"/>
      <w:bookmarkEnd w:id="703"/>
      <w:r>
        <w:rPr>
          <w:rFonts w:hint="eastAsia" w:ascii="Times New Roman" w:hAnsi="Times New Roman" w:eastAsia="黑体"/>
          <w:b/>
          <w:color w:val="000000" w:themeColor="text1"/>
          <w:kern w:val="0"/>
          <w:sz w:val="28"/>
          <w:szCs w:val="28"/>
          <w14:textFill>
            <w14:solidFill>
              <w14:schemeClr w14:val="tx1"/>
            </w14:solidFill>
          </w14:textFill>
        </w:rPr>
        <w:t>措施</w:t>
      </w:r>
      <w:bookmarkEnd w:id="704"/>
      <w:bookmarkEnd w:id="705"/>
    </w:p>
    <w:p>
      <w:pPr>
        <w:pStyle w:val="2"/>
        <w:snapToGrid w:val="0"/>
        <w:spacing w:after="0" w:line="520" w:lineRule="exact"/>
        <w:ind w:firstLine="480" w:firstLineChars="200"/>
        <w:rPr>
          <w:rFonts w:ascii="Times New Roman" w:hAnsi="Times New Roman" w:cs="Times New Roman"/>
          <w:snapToGrid w:val="0"/>
          <w:color w:val="000000" w:themeColor="text1"/>
          <w:sz w:val="24"/>
          <w:szCs w:val="24"/>
          <w14:textFill>
            <w14:solidFill>
              <w14:schemeClr w14:val="tx1"/>
            </w14:solidFill>
          </w14:textFill>
        </w:rPr>
      </w:pPr>
      <w:bookmarkStart w:id="706" w:name="_Toc19579"/>
      <w:r>
        <w:rPr>
          <w:rFonts w:ascii="Times New Roman" w:cs="Times New Roman" w:hAnsiTheme="minorEastAsia"/>
          <w:snapToGrid w:val="0"/>
          <w:color w:val="000000" w:themeColor="text1"/>
          <w:sz w:val="24"/>
          <w:szCs w:val="24"/>
          <w14:textFill>
            <w14:solidFill>
              <w14:schemeClr w14:val="tx1"/>
            </w14:solidFill>
          </w14:textFill>
        </w:rPr>
        <w:t>项目施工期对大气环境产生的主要污染物为施工扬尘及施工机械排放的废气。评价提出如下防治措施：</w:t>
      </w:r>
    </w:p>
    <w:p>
      <w:pPr>
        <w:pStyle w:val="2"/>
        <w:snapToGrid w:val="0"/>
        <w:spacing w:after="0" w:line="520" w:lineRule="exact"/>
        <w:ind w:firstLine="480" w:firstLineChars="200"/>
        <w:rPr>
          <w:rFonts w:ascii="Times New Roman" w:hAnsi="Times New Roman" w:cs="Times New Roman"/>
          <w:snapToGrid w:val="0"/>
          <w:color w:val="000000" w:themeColor="text1"/>
          <w:sz w:val="24"/>
          <w:szCs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（1）</w:t>
      </w:r>
      <w:r>
        <w:rPr>
          <w:rFonts w:ascii="Times New Roman" w:cs="Times New Roman" w:hAnsiTheme="minorEastAsia"/>
          <w:snapToGrid w:val="0"/>
          <w:color w:val="000000" w:themeColor="text1"/>
          <w:sz w:val="24"/>
          <w:szCs w:val="24"/>
          <w14:textFill>
            <w14:solidFill>
              <w14:schemeClr w14:val="tx1"/>
            </w14:solidFill>
          </w14:textFill>
        </w:rPr>
        <w:t>建设用地平整时应制定合理规划，尽量缩短工期。开挖时对作业面适当喷水，使其保持一定的湿度，以减少扬尘量。且开挖的泥土和建筑垃圾应及时运走，裸露地表进行及时护坡。建筑垃圾、弃土及施工人员的生活垃圾应日产日清，以免带来二次污染。</w:t>
      </w:r>
    </w:p>
    <w:p>
      <w:pPr>
        <w:pStyle w:val="2"/>
        <w:snapToGrid w:val="0"/>
        <w:spacing w:after="0" w:line="520" w:lineRule="exact"/>
        <w:ind w:firstLine="480" w:firstLineChars="200"/>
        <w:rPr>
          <w:rFonts w:ascii="Times New Roman" w:hAnsi="Times New Roman" w:cs="Times New Roman"/>
          <w:snapToGrid w:val="0"/>
          <w:color w:val="000000" w:themeColor="text1"/>
          <w:sz w:val="24"/>
          <w:szCs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（2）</w:t>
      </w:r>
      <w:r>
        <w:rPr>
          <w:rFonts w:ascii="Times New Roman" w:cs="Times New Roman" w:hAnsiTheme="minorEastAsia"/>
          <w:snapToGrid w:val="0"/>
          <w:color w:val="000000" w:themeColor="text1"/>
          <w:sz w:val="24"/>
          <w:szCs w:val="24"/>
          <w14:textFill>
            <w14:solidFill>
              <w14:schemeClr w14:val="tx1"/>
            </w14:solidFill>
          </w14:textFill>
        </w:rPr>
        <w:t>根据主导风向和周围环境敏感目标的分布，施工现场要合理布局、科学管理。砂石料统一堆放，风速过大时停止施工作业并对堆放的砂石等建筑材料进行遮盖处理。水泥应设专门库房堆放，尽量减少搬运环节，搬运时轻举轻放，防止包装袋破裂。同时施工堆料场、拌和站设在空旷地区，避开集中的居民区。尽量使用商品混凝土以减少现场施工搅拌砂浆、混凝土时产生的扬尘。施工现场要围栏或部分围栏，减少施工扬尘扩散范围，尽可能减少扬尘对附近居民的环境影响。</w:t>
      </w:r>
    </w:p>
    <w:p>
      <w:pPr>
        <w:pStyle w:val="2"/>
        <w:snapToGrid w:val="0"/>
        <w:spacing w:after="0" w:line="520" w:lineRule="exact"/>
        <w:ind w:firstLine="480" w:firstLineChars="200"/>
        <w:rPr>
          <w:rFonts w:ascii="Times New Roman" w:hAnsi="Times New Roman" w:cs="Times New Roman"/>
          <w:snapToGrid w:val="0"/>
          <w:color w:val="000000" w:themeColor="text1"/>
          <w:sz w:val="24"/>
          <w:szCs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（3）</w:t>
      </w:r>
      <w:r>
        <w:rPr>
          <w:rFonts w:ascii="Times New Roman" w:cs="Times New Roman" w:hAnsiTheme="minorEastAsia"/>
          <w:snapToGrid w:val="0"/>
          <w:color w:val="000000" w:themeColor="text1"/>
          <w:sz w:val="24"/>
          <w:szCs w:val="24"/>
          <w14:textFill>
            <w14:solidFill>
              <w14:schemeClr w14:val="tx1"/>
            </w14:solidFill>
          </w14:textFill>
        </w:rPr>
        <w:t>施工作业区应定时洒水防治粉尘污染。通过对路面洒水，能较大幅度降低粉尘起尘量，从而能够有效控制施工粉尘的污染程度和范围。加强施工方的现场管理及监理方的现场监督，把施工现场定时洒水防尘做到实处。施工现场及主要运输材料道路应定时洒水，减少起尘量，并及时清扫路面，防止道路二次扬尘。</w:t>
      </w:r>
    </w:p>
    <w:p>
      <w:pPr>
        <w:pStyle w:val="2"/>
        <w:snapToGrid w:val="0"/>
        <w:spacing w:after="0" w:line="520" w:lineRule="exact"/>
        <w:ind w:firstLine="480" w:firstLineChars="200"/>
        <w:rPr>
          <w:rFonts w:ascii="Times New Roman" w:hAnsi="Times New Roman" w:cs="Times New Roman"/>
          <w:snapToGrid w:val="0"/>
          <w:color w:val="000000" w:themeColor="text1"/>
          <w:sz w:val="24"/>
          <w:szCs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（4）</w:t>
      </w:r>
      <w:r>
        <w:rPr>
          <w:rFonts w:ascii="Times New Roman" w:cs="Times New Roman" w:hAnsiTheme="minorEastAsia"/>
          <w:snapToGrid w:val="0"/>
          <w:color w:val="000000" w:themeColor="text1"/>
          <w:sz w:val="24"/>
          <w:szCs w:val="24"/>
          <w14:textFill>
            <w14:solidFill>
              <w14:schemeClr w14:val="tx1"/>
            </w14:solidFill>
          </w14:textFill>
        </w:rPr>
        <w:t>谨防运输车辆装载过满，并尽量采取遮盖、密闭措施。中速平稳行驶，防止沿途散失和尘土飞扬。及时清扫散落在路面的泥土和灰尘，冲洗轮胎，定时洒水压尘，减少运输过程中的扬尘。</w:t>
      </w:r>
    </w:p>
    <w:p>
      <w:pPr>
        <w:pStyle w:val="2"/>
        <w:snapToGrid w:val="0"/>
        <w:spacing w:after="0" w:line="520" w:lineRule="exact"/>
        <w:ind w:firstLine="480" w:firstLineChars="200"/>
        <w:rPr>
          <w:rFonts w:ascii="Times New Roman" w:hAnsi="Times New Roman" w:cs="Times New Roman"/>
          <w:snapToGrid w:val="0"/>
          <w:color w:val="000000" w:themeColor="text1"/>
          <w:sz w:val="24"/>
          <w:szCs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（5）</w:t>
      </w:r>
      <w:r>
        <w:rPr>
          <w:rFonts w:ascii="Times New Roman" w:cs="Times New Roman" w:hAnsiTheme="minorEastAsia"/>
          <w:snapToGrid w:val="0"/>
          <w:color w:val="000000" w:themeColor="text1"/>
          <w:sz w:val="24"/>
          <w:szCs w:val="24"/>
          <w14:textFill>
            <w14:solidFill>
              <w14:schemeClr w14:val="tx1"/>
            </w14:solidFill>
          </w14:textFill>
        </w:rPr>
        <w:t>坚持清洁施工、文明施工。按建筑行业安全文明生产的有关规定进行施工管理，做到从管理入手减少各个环节产生的环境污染。经常清洗运输汽车的车轮及底盘上的泥土。</w:t>
      </w:r>
    </w:p>
    <w:p>
      <w:pPr>
        <w:pStyle w:val="2"/>
        <w:snapToGrid w:val="0"/>
        <w:spacing w:after="0" w:line="520" w:lineRule="exact"/>
        <w:ind w:firstLine="480" w:firstLineChars="200"/>
        <w:rPr>
          <w:rFonts w:ascii="Times New Roman" w:hAnsi="Times New Roman" w:cs="Times New Roman"/>
          <w:snapToGrid w:val="0"/>
          <w:color w:val="000000" w:themeColor="text1"/>
          <w:sz w:val="24"/>
          <w:szCs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（6）</w:t>
      </w:r>
      <w:r>
        <w:rPr>
          <w:rFonts w:ascii="Times New Roman" w:cs="Times New Roman" w:hAnsiTheme="minorEastAsia"/>
          <w:snapToGrid w:val="0"/>
          <w:color w:val="000000" w:themeColor="text1"/>
          <w:sz w:val="24"/>
          <w:szCs w:val="24"/>
          <w14:textFill>
            <w14:solidFill>
              <w14:schemeClr w14:val="tx1"/>
            </w14:solidFill>
          </w14:textFill>
        </w:rPr>
        <w:t>加强环境管理，施工单位在进行工程承包时应将有关环境污染控制列入承包内容，在施工过程中有专人负责。对环境影响严重的施工作业项目按国家有关环保管理制度要求，经环保部门批准后方可施工。</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07" w:name="_Toc7863"/>
      <w:bookmarkStart w:id="708" w:name="_Toc13415"/>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.1.2水污染防治</w:t>
      </w:r>
      <w:bookmarkEnd w:id="706"/>
      <w:r>
        <w:rPr>
          <w:rFonts w:hint="eastAsia" w:ascii="Times New Roman" w:hAnsi="Times New Roman" w:eastAsia="黑体"/>
          <w:b/>
          <w:color w:val="000000" w:themeColor="text1"/>
          <w:kern w:val="0"/>
          <w:sz w:val="28"/>
          <w:szCs w:val="28"/>
          <w14:textFill>
            <w14:solidFill>
              <w14:schemeClr w14:val="tx1"/>
            </w14:solidFill>
          </w14:textFill>
        </w:rPr>
        <w:t>措施</w:t>
      </w:r>
      <w:bookmarkEnd w:id="707"/>
      <w:bookmarkEnd w:id="708"/>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bookmarkStart w:id="709" w:name="_Toc20596"/>
      <w:r>
        <w:rPr>
          <w:rFonts w:ascii="Times New Roman" w:cs="Times New Roman" w:hAnsiTheme="minorEastAsia"/>
          <w:color w:val="000000" w:themeColor="text1"/>
          <w:sz w:val="24"/>
          <w:szCs w:val="24"/>
          <w14:textFill>
            <w14:solidFill>
              <w14:schemeClr w14:val="tx1"/>
            </w14:solidFill>
          </w14:textFill>
        </w:rPr>
        <w:t>项目施工期所产生的污水主要为施工人员所产生的生活污水。项目施工期为短期行为，建设单位对施工场地所产生的污水应加强管理、控制。生活污水经化粪池处理后排入市政污</w:t>
      </w:r>
      <w:r>
        <w:rPr>
          <w:rFonts w:ascii="Times New Roman" w:cs="Times New Roman" w:hAnsiTheme="minorEastAsia"/>
          <w:color w:val="000000" w:themeColor="text1"/>
          <w:spacing w:val="-5"/>
          <w:sz w:val="24"/>
          <w:szCs w:val="24"/>
          <w14:textFill>
            <w14:solidFill>
              <w14:schemeClr w14:val="tx1"/>
            </w14:solidFill>
          </w14:textFill>
        </w:rPr>
        <w:t>水管网，</w:t>
      </w:r>
      <w:r>
        <w:rPr>
          <w:rFonts w:hint="eastAsia" w:ascii="Times New Roman" w:cs="Times New Roman" w:hAnsiTheme="minorEastAsia"/>
          <w:color w:val="000000" w:themeColor="text1"/>
          <w:spacing w:val="-5"/>
          <w:sz w:val="24"/>
          <w:szCs w:val="24"/>
          <w14:textFill>
            <w14:solidFill>
              <w14:schemeClr w14:val="tx1"/>
            </w14:solidFill>
          </w14:textFill>
        </w:rPr>
        <w:t>进入三板湖污水处理厂处理</w:t>
      </w:r>
      <w:r>
        <w:rPr>
          <w:rFonts w:ascii="Times New Roman" w:cs="Times New Roman" w:hAnsiTheme="minorEastAsia"/>
          <w:color w:val="000000" w:themeColor="text1"/>
          <w:spacing w:val="-5"/>
          <w:sz w:val="24"/>
          <w:szCs w:val="24"/>
          <w14:textFill>
            <w14:solidFill>
              <w14:schemeClr w14:val="tx1"/>
            </w14:solidFill>
          </w14:textFill>
        </w:rPr>
        <w:t>。项目施工为短期行为，不会对项目所在地地表水环境造成</w:t>
      </w:r>
      <w:r>
        <w:rPr>
          <w:rFonts w:ascii="Times New Roman" w:cs="Times New Roman" w:hAnsiTheme="minorEastAsia"/>
          <w:color w:val="000000" w:themeColor="text1"/>
          <w:sz w:val="24"/>
          <w:szCs w:val="24"/>
          <w14:textFill>
            <w14:solidFill>
              <w14:schemeClr w14:val="tx1"/>
            </w14:solidFill>
          </w14:textFill>
        </w:rPr>
        <w:t>明显影响。</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10" w:name="_Toc70"/>
      <w:bookmarkStart w:id="711" w:name="_Toc4067"/>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.1.3噪声防治</w:t>
      </w:r>
      <w:bookmarkEnd w:id="709"/>
      <w:r>
        <w:rPr>
          <w:rFonts w:hint="eastAsia" w:ascii="Times New Roman" w:hAnsi="Times New Roman" w:eastAsia="黑体"/>
          <w:b/>
          <w:color w:val="000000" w:themeColor="text1"/>
          <w:kern w:val="0"/>
          <w:sz w:val="28"/>
          <w:szCs w:val="28"/>
          <w14:textFill>
            <w14:solidFill>
              <w14:schemeClr w14:val="tx1"/>
            </w14:solidFill>
          </w14:textFill>
        </w:rPr>
        <w:t>措施</w:t>
      </w:r>
      <w:bookmarkEnd w:id="710"/>
      <w:bookmarkEnd w:id="711"/>
    </w:p>
    <w:p>
      <w:pPr>
        <w:pStyle w:val="69"/>
        <w:adjustRightInd w:val="0"/>
        <w:snapToGrid w:val="0"/>
        <w:spacing w:after="0" w:line="520" w:lineRule="exact"/>
        <w:ind w:left="0" w:leftChars="0" w:firstLine="480" w:firstLineChars="200"/>
        <w:jc w:val="left"/>
        <w:rPr>
          <w:rFonts w:ascii="Times New Roman" w:hAnsi="Times New Roman" w:cs="Times New Roman"/>
          <w:color w:val="000000" w:themeColor="text1"/>
          <w:sz w:val="24"/>
          <w14:textFill>
            <w14:solidFill>
              <w14:schemeClr w14:val="tx1"/>
            </w14:solidFill>
          </w14:textFill>
        </w:rPr>
      </w:pPr>
      <w:bookmarkStart w:id="712" w:name="_Toc5057"/>
      <w:r>
        <w:rPr>
          <w:rFonts w:hint="eastAsia" w:ascii="Times New Roman" w:hAnsi="Times New Roman" w:cs="Times New Roman"/>
          <w:snapToGrid w:val="0"/>
          <w:color w:val="000000" w:themeColor="text1"/>
          <w:sz w:val="24"/>
          <w:szCs w:val="24"/>
          <w14:textFill>
            <w14:solidFill>
              <w14:schemeClr w14:val="tx1"/>
            </w14:solidFill>
          </w14:textFill>
        </w:rPr>
        <w:t>（1）</w:t>
      </w:r>
      <w:r>
        <w:rPr>
          <w:rFonts w:ascii="Times New Roman" w:cs="Times New Roman" w:hAnsiTheme="minorEastAsia"/>
          <w:color w:val="000000" w:themeColor="text1"/>
          <w:sz w:val="24"/>
          <w14:textFill>
            <w14:solidFill>
              <w14:schemeClr w14:val="tx1"/>
            </w14:solidFill>
          </w14:textFill>
        </w:rPr>
        <w:t>在土建施工过程中，合理选用低噪声施工机械和先进的施工技术，以达到控制噪声污染的目的，注意经常对施工设备进行维修保养，避免因设备性能减退而使噪声增强的现象发生。</w:t>
      </w:r>
    </w:p>
    <w:p>
      <w:pPr>
        <w:pStyle w:val="69"/>
        <w:adjustRightInd w:val="0"/>
        <w:snapToGrid w:val="0"/>
        <w:spacing w:after="0" w:line="520" w:lineRule="exact"/>
        <w:ind w:left="0" w:leftChars="0"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（2）</w:t>
      </w:r>
      <w:r>
        <w:rPr>
          <w:rFonts w:ascii="Times New Roman" w:cs="Times New Roman" w:hAnsiTheme="minorEastAsia"/>
          <w:color w:val="000000" w:themeColor="text1"/>
          <w:sz w:val="24"/>
          <w14:textFill>
            <w14:solidFill>
              <w14:schemeClr w14:val="tx1"/>
            </w14:solidFill>
          </w14:textFill>
        </w:rPr>
        <w:t>对推土机、挖土机等高噪声设备应合理安排作业时间，夜间禁止高噪声扰民作业。</w:t>
      </w:r>
    </w:p>
    <w:p>
      <w:pPr>
        <w:pStyle w:val="69"/>
        <w:adjustRightInd w:val="0"/>
        <w:snapToGrid w:val="0"/>
        <w:spacing w:after="0" w:line="520" w:lineRule="exact"/>
        <w:ind w:left="0" w:leftChars="0"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（3）</w:t>
      </w:r>
      <w:r>
        <w:rPr>
          <w:rFonts w:ascii="Times New Roman" w:cs="Times New Roman" w:hAnsiTheme="minorEastAsia"/>
          <w:color w:val="000000" w:themeColor="text1"/>
          <w:sz w:val="24"/>
          <w14:textFill>
            <w14:solidFill>
              <w14:schemeClr w14:val="tx1"/>
            </w14:solidFill>
          </w14:textFill>
        </w:rPr>
        <w:t>运用隔声、减震等降噪声技术，降低施工机械作业噪声。</w:t>
      </w:r>
    </w:p>
    <w:p>
      <w:pPr>
        <w:pStyle w:val="69"/>
        <w:adjustRightInd w:val="0"/>
        <w:snapToGrid w:val="0"/>
        <w:spacing w:after="0" w:line="520" w:lineRule="exact"/>
        <w:ind w:left="0" w:leftChars="0"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（4）</w:t>
      </w:r>
      <w:r>
        <w:rPr>
          <w:rFonts w:ascii="Times New Roman" w:cs="Times New Roman" w:hAnsiTheme="minorEastAsia"/>
          <w:color w:val="000000" w:themeColor="text1"/>
          <w:sz w:val="24"/>
          <w14:textFill>
            <w14:solidFill>
              <w14:schemeClr w14:val="tx1"/>
            </w14:solidFill>
          </w14:textFill>
        </w:rPr>
        <w:t>不得自行搅拌混凝土，宜采用商品砼。</w:t>
      </w:r>
    </w:p>
    <w:p>
      <w:pPr>
        <w:pStyle w:val="69"/>
        <w:adjustRightInd w:val="0"/>
        <w:snapToGrid w:val="0"/>
        <w:spacing w:after="0" w:line="520" w:lineRule="exact"/>
        <w:ind w:left="0" w:leftChars="0"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（5）</w:t>
      </w:r>
      <w:r>
        <w:rPr>
          <w:rFonts w:ascii="Times New Roman" w:cs="Times New Roman" w:hAnsiTheme="minorEastAsia"/>
          <w:color w:val="000000" w:themeColor="text1"/>
          <w:sz w:val="24"/>
          <w14:textFill>
            <w14:solidFill>
              <w14:schemeClr w14:val="tx1"/>
            </w14:solidFill>
          </w14:textFill>
        </w:rPr>
        <w:t>依据</w:t>
      </w:r>
      <w:r>
        <w:rPr>
          <w:rFonts w:hint="eastAsia" w:ascii="Times New Roman" w:cs="Times New Roman" w:hAnsiTheme="minorEastAsia"/>
          <w:color w:val="000000" w:themeColor="text1"/>
          <w:sz w:val="24"/>
          <w14:textFill>
            <w14:solidFill>
              <w14:schemeClr w14:val="tx1"/>
            </w14:solidFill>
          </w14:textFill>
        </w:rPr>
        <w:t>宜昌</w:t>
      </w:r>
      <w:r>
        <w:rPr>
          <w:rFonts w:ascii="Times New Roman" w:cs="Times New Roman" w:hAnsiTheme="minorEastAsia"/>
          <w:color w:val="000000" w:themeColor="text1"/>
          <w:sz w:val="24"/>
          <w14:textFill>
            <w14:solidFill>
              <w14:schemeClr w14:val="tx1"/>
            </w14:solidFill>
          </w14:textFill>
        </w:rPr>
        <w:t>市环保主管部门的有关规定，在中、高考和成人考试期间必须禁止进行噪声超标和扰民的施工作业。</w:t>
      </w:r>
    </w:p>
    <w:p>
      <w:pPr>
        <w:pStyle w:val="69"/>
        <w:adjustRightInd w:val="0"/>
        <w:snapToGrid w:val="0"/>
        <w:spacing w:after="0" w:line="520" w:lineRule="exact"/>
        <w:ind w:left="0" w:leftChars="0"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napToGrid w:val="0"/>
          <w:color w:val="000000" w:themeColor="text1"/>
          <w:sz w:val="24"/>
          <w:szCs w:val="24"/>
          <w14:textFill>
            <w14:solidFill>
              <w14:schemeClr w14:val="tx1"/>
            </w14:solidFill>
          </w14:textFill>
        </w:rPr>
        <w:t>（6）</w:t>
      </w:r>
      <w:r>
        <w:rPr>
          <w:rFonts w:ascii="Times New Roman" w:cs="Times New Roman" w:hAnsiTheme="minorEastAsia"/>
          <w:color w:val="000000" w:themeColor="text1"/>
          <w:sz w:val="24"/>
          <w14:textFill>
            <w14:solidFill>
              <w14:schemeClr w14:val="tx1"/>
            </w14:solidFill>
          </w14:textFill>
        </w:rPr>
        <w:t>施工单位应征求、听取周围群众的意见，接受公众监督。</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13" w:name="_Toc18469"/>
      <w:bookmarkStart w:id="714" w:name="_Toc24388"/>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.1.4固废防治措施</w:t>
      </w:r>
      <w:bookmarkEnd w:id="712"/>
      <w:bookmarkEnd w:id="713"/>
      <w:bookmarkEnd w:id="714"/>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针对项目施工期施工特点，施工过程产生的固体废物以建筑垃圾为主，应从源头上进行控制，体现在施工管理、材料选购、去向控制等方面。</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建设单位在施工时已经考虑到：</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（1）</w:t>
      </w:r>
      <w:r>
        <w:rPr>
          <w:rFonts w:ascii="Times New Roman" w:cs="Times New Roman" w:hAnsiTheme="minorEastAsia"/>
          <w:bCs/>
          <w:color w:val="000000" w:themeColor="text1"/>
          <w:sz w:val="24"/>
          <w:szCs w:val="24"/>
          <w14:textFill>
            <w14:solidFill>
              <w14:schemeClr w14:val="tx1"/>
            </w14:solidFill>
          </w14:textFill>
        </w:rPr>
        <w:t>耐久性设计：</w:t>
      </w:r>
      <w:r>
        <w:rPr>
          <w:rFonts w:ascii="Times New Roman" w:cs="Times New Roman" w:hAnsiTheme="minorEastAsia"/>
          <w:color w:val="000000" w:themeColor="text1"/>
          <w:sz w:val="24"/>
          <w:szCs w:val="24"/>
          <w14:textFill>
            <w14:solidFill>
              <w14:schemeClr w14:val="tx1"/>
            </w14:solidFill>
          </w14:textFill>
        </w:rPr>
        <w:t>延长结构的使用年限，提高结构的耐久性。与此同时，相应提高各种装饰材料、填充材料等的耐久性。从而不仅可以提高资源的利用率，还可以减少建筑垃圾的产生量。</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cs="Times New Roman" w:hAnsiTheme="minorEastAsia"/>
          <w:bCs/>
          <w:color w:val="000000" w:themeColor="text1"/>
          <w:sz w:val="24"/>
          <w:szCs w:val="24"/>
          <w14:textFill>
            <w14:solidFill>
              <w14:schemeClr w14:val="tx1"/>
            </w14:solidFill>
          </w14:textFill>
        </w:rPr>
        <w:t>（2）</w:t>
      </w:r>
      <w:r>
        <w:rPr>
          <w:rFonts w:ascii="Times New Roman" w:cs="Times New Roman" w:hAnsiTheme="minorEastAsia"/>
          <w:bCs/>
          <w:color w:val="000000" w:themeColor="text1"/>
          <w:sz w:val="24"/>
          <w:szCs w:val="24"/>
          <w14:textFill>
            <w14:solidFill>
              <w14:schemeClr w14:val="tx1"/>
            </w14:solidFill>
          </w14:textFill>
        </w:rPr>
        <w:t>施工过程中合理选购材料和构件：</w:t>
      </w:r>
      <w:r>
        <w:rPr>
          <w:rFonts w:ascii="Times New Roman" w:cs="Times New Roman" w:hAnsiTheme="minorEastAsia"/>
          <w:color w:val="000000" w:themeColor="text1"/>
          <w:sz w:val="24"/>
          <w:szCs w:val="24"/>
          <w14:textFill>
            <w14:solidFill>
              <w14:schemeClr w14:val="tx1"/>
            </w14:solidFill>
          </w14:textFill>
        </w:rPr>
        <w:t>设计时尽量运用标准设计，采用标准模数和预制构件，以减少建筑垃圾的产生。在选择建筑材料时，优先选择建造时产生建筑垃圾少的再生建材，考虑选择维修、改造和拆除时少垃圾、能再生的建材。并且尽量采用无包装材料和购买前应先计算好材料用量以免超量。</w:t>
      </w:r>
    </w:p>
    <w:p>
      <w:pPr>
        <w:pStyle w:val="2"/>
        <w:snapToGrid w:val="0"/>
        <w:spacing w:after="0" w:line="520" w:lineRule="exact"/>
        <w:ind w:firstLine="468" w:firstLineChars="200"/>
        <w:rPr>
          <w:rFonts w:ascii="Times New Roman" w:hAnsi="Times New Roman" w:cs="Times New Roman"/>
          <w:color w:val="000000" w:themeColor="text1"/>
          <w:spacing w:val="-3"/>
          <w:sz w:val="24"/>
          <w:szCs w:val="24"/>
          <w14:textFill>
            <w14:solidFill>
              <w14:schemeClr w14:val="tx1"/>
            </w14:solidFill>
          </w14:textFill>
        </w:rPr>
      </w:pPr>
      <w:r>
        <w:rPr>
          <w:rFonts w:ascii="Times New Roman" w:cs="Times New Roman" w:hAnsiTheme="minorEastAsia"/>
          <w:color w:val="000000" w:themeColor="text1"/>
          <w:spacing w:val="-3"/>
          <w:sz w:val="24"/>
          <w:szCs w:val="24"/>
          <w14:textFill>
            <w14:solidFill>
              <w14:schemeClr w14:val="tx1"/>
            </w14:solidFill>
          </w14:textFill>
        </w:rPr>
        <w:t>建设单位在施工期间，应将固废集中堆放并及时清运交有关部门进行相关处理。</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15" w:name="_Toc22610"/>
      <w:bookmarkStart w:id="716" w:name="_Toc6419"/>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.1.5其它污染防治措施及建议</w:t>
      </w:r>
      <w:bookmarkEnd w:id="715"/>
      <w:bookmarkEnd w:id="716"/>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建设单位应根据施工特点和任务，分析本工程可能发生的事故</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如建筑质量安全事故、施工毗邻建筑坍塌事故、土方坍塌事故、气体中毒事故、架体倒塌事故、高空坠落事故、掉物伤人事故、触电事故等</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、发生位置和影响范围等。对于土方坍塌、气体中毒事故等应分析和预知其可能对周围环境产生的不利影响及影响的严重程度，成立事故应急机构，并制定事故应急措施。</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建设单位施工期应注意对景观及可能发现的文物进行保护，在施工过程中如发现文物，要立即向当地文物保护部门报告，不得隐瞒，严禁损毁、盗窃文物。</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在施工招标文件、施工合同和工程监理招标文件中明确环保条款和责任；开展项目施工期环境监测和环境监理工作定期向当地环保部门提交工程环境监理报告，竣工验收期间还应提供施工期环境监测报告、施工及设备采购合同有关环境保护条款、水保验收报告等专项验收报告、施工监理环保月报表、施工期环保投诉处理记录、施工期环保部门现场检查记录、防渗工程重要隐蔽工程施工措施相关文字记录及影像材料。</w:t>
      </w:r>
    </w:p>
    <w:p>
      <w:pPr>
        <w:pStyle w:val="380"/>
        <w:keepNext w:val="0"/>
        <w:keepLines w:val="0"/>
        <w:pageBreakBefore w:val="0"/>
        <w:widowControl w:val="0"/>
        <w:kinsoku/>
        <w:wordWrap/>
        <w:overflowPunct/>
        <w:topLinePunct w:val="0"/>
        <w:autoSpaceDE/>
        <w:autoSpaceDN/>
        <w:bidi w:val="0"/>
        <w:adjustRightInd w:val="0"/>
        <w:snapToGrid w:val="0"/>
        <w:spacing w:before="48" w:beforeLines="20" w:after="48" w:afterLines="20" w:line="520" w:lineRule="exact"/>
        <w:ind w:firstLine="0" w:firstLineChars="0"/>
        <w:jc w:val="left"/>
        <w:textAlignment w:val="auto"/>
        <w:outlineLvl w:val="2"/>
        <w:rPr>
          <w:rFonts w:ascii="黑体" w:hAnsi="黑体" w:eastAsia="黑体"/>
          <w:b/>
          <w:color w:val="000000" w:themeColor="text1"/>
          <w:sz w:val="32"/>
          <w:szCs w:val="32"/>
          <w14:textFill>
            <w14:solidFill>
              <w14:schemeClr w14:val="tx1"/>
            </w14:solidFill>
          </w14:textFill>
        </w:rPr>
      </w:pPr>
      <w:bookmarkStart w:id="717" w:name="_Toc28658"/>
      <w:bookmarkStart w:id="718" w:name="_Toc19328"/>
      <w:r>
        <w:rPr>
          <w:rFonts w:hint="eastAsia" w:ascii="Times New Roman" w:hAnsi="Times New Roman" w:eastAsia="黑体"/>
          <w:b/>
          <w:color w:val="000000" w:themeColor="text1"/>
          <w:sz w:val="32"/>
          <w:szCs w:val="32"/>
          <w:lang w:val="en-US" w:eastAsia="zh-CN"/>
          <w14:textFill>
            <w14:solidFill>
              <w14:schemeClr w14:val="tx1"/>
            </w14:solidFill>
          </w14:textFill>
        </w:rPr>
        <w:t>8</w:t>
      </w:r>
      <w:r>
        <w:rPr>
          <w:rFonts w:ascii="Times New Roman" w:hAnsi="Times New Roman" w:eastAsia="黑体"/>
          <w:b/>
          <w:color w:val="000000" w:themeColor="text1"/>
          <w:sz w:val="32"/>
          <w:szCs w:val="32"/>
          <w14:textFill>
            <w14:solidFill>
              <w14:schemeClr w14:val="tx1"/>
            </w14:solidFill>
          </w14:textFill>
        </w:rPr>
        <w:t>.2</w:t>
      </w:r>
      <w:r>
        <w:rPr>
          <w:rFonts w:ascii="黑体" w:hAnsi="黑体" w:eastAsia="黑体"/>
          <w:b/>
          <w:color w:val="000000" w:themeColor="text1"/>
          <w:sz w:val="32"/>
          <w:szCs w:val="32"/>
          <w14:textFill>
            <w14:solidFill>
              <w14:schemeClr w14:val="tx1"/>
            </w14:solidFill>
          </w14:textFill>
        </w:rPr>
        <w:t>运营期污染防治措施可行性分析</w:t>
      </w:r>
      <w:bookmarkEnd w:id="717"/>
      <w:bookmarkEnd w:id="718"/>
    </w:p>
    <w:bookmarkEnd w:id="697"/>
    <w:p>
      <w:pPr>
        <w:pStyle w:val="380"/>
        <w:keepNext w:val="0"/>
        <w:keepLines w:val="0"/>
        <w:pageBreakBefore w:val="0"/>
        <w:widowControl w:val="0"/>
        <w:numPr>
          <w:ilvl w:val="1"/>
          <w:numId w:val="22"/>
        </w:numPr>
        <w:kinsoku/>
        <w:wordWrap/>
        <w:overflowPunct/>
        <w:topLinePunct w:val="0"/>
        <w:autoSpaceDE/>
        <w:autoSpaceDN/>
        <w:bidi w:val="0"/>
        <w:adjustRightInd w:val="0"/>
        <w:snapToGrid w:val="0"/>
        <w:spacing w:before="48" w:beforeLines="20" w:after="4" w:line="520" w:lineRule="exact"/>
        <w:ind w:firstLineChars="0"/>
        <w:jc w:val="left"/>
        <w:textAlignment w:val="auto"/>
        <w:outlineLvl w:val="4"/>
        <w:rPr>
          <w:rFonts w:ascii="黑体" w:hAnsi="黑体" w:eastAsia="黑体"/>
          <w:b/>
          <w:vanish/>
          <w:color w:val="000000" w:themeColor="text1"/>
          <w:kern w:val="0"/>
          <w:sz w:val="28"/>
          <w:szCs w:val="28"/>
          <w14:textFill>
            <w14:solidFill>
              <w14:schemeClr w14:val="tx1"/>
            </w14:solidFill>
          </w14:textFill>
        </w:rPr>
      </w:pPr>
    </w:p>
    <w:p>
      <w:pPr>
        <w:pStyle w:val="380"/>
        <w:keepNext w:val="0"/>
        <w:keepLines w:val="0"/>
        <w:pageBreakBefore w:val="0"/>
        <w:widowControl w:val="0"/>
        <w:kinsoku/>
        <w:wordWrap/>
        <w:overflowPunct/>
        <w:topLinePunct w:val="0"/>
        <w:autoSpaceDE/>
        <w:autoSpaceDN/>
        <w:bidi w:val="0"/>
        <w:adjustRightInd w:val="0"/>
        <w:snapToGrid w:val="0"/>
        <w:spacing w:before="48" w:beforeLines="20" w:after="48" w:afterLines="20" w:line="520" w:lineRule="exact"/>
        <w:ind w:firstLine="0" w:firstLineChars="0"/>
        <w:jc w:val="left"/>
        <w:textAlignment w:val="auto"/>
        <w:outlineLvl w:val="2"/>
        <w:rPr>
          <w:rFonts w:ascii="Times New Roman" w:hAnsi="Times New Roman" w:eastAsia="黑体"/>
          <w:b/>
          <w:color w:val="000000" w:themeColor="text1"/>
          <w:kern w:val="0"/>
          <w:sz w:val="28"/>
          <w:szCs w:val="28"/>
          <w14:textFill>
            <w14:solidFill>
              <w14:schemeClr w14:val="tx1"/>
            </w14:solidFill>
          </w14:textFill>
        </w:rPr>
      </w:pPr>
      <w:bookmarkStart w:id="719" w:name="_Toc20662"/>
      <w:bookmarkStart w:id="720" w:name="_Toc19868"/>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.2.1废气污染防治措施</w:t>
      </w:r>
      <w:bookmarkEnd w:id="698"/>
      <w:bookmarkEnd w:id="699"/>
      <w:bookmarkEnd w:id="700"/>
      <w:bookmarkEnd w:id="701"/>
      <w:r>
        <w:rPr>
          <w:rFonts w:hint="eastAsia" w:ascii="Times New Roman" w:hAnsi="Times New Roman" w:eastAsia="黑体"/>
          <w:b/>
          <w:color w:val="000000" w:themeColor="text1"/>
          <w:kern w:val="0"/>
          <w:sz w:val="28"/>
          <w:szCs w:val="28"/>
          <w14:textFill>
            <w14:solidFill>
              <w14:schemeClr w14:val="tx1"/>
            </w14:solidFill>
          </w14:textFill>
        </w:rPr>
        <w:t>可行性分析</w:t>
      </w:r>
      <w:bookmarkEnd w:id="719"/>
      <w:bookmarkEnd w:id="720"/>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bookmarkStart w:id="721" w:name="_Toc25626"/>
      <w:bookmarkStart w:id="722" w:name="_Toc325552428"/>
      <w:bookmarkStart w:id="723" w:name="_Toc13244"/>
      <w:bookmarkStart w:id="724" w:name="_Toc23762"/>
      <w:r>
        <w:rPr>
          <w:rFonts w:ascii="Times New Roman" w:hAnsiTheme="minorEastAsia" w:eastAsiaTheme="minorEastAsia"/>
          <w:color w:val="000000" w:themeColor="text1"/>
          <w:sz w:val="24"/>
          <w:szCs w:val="24"/>
          <w14:textFill>
            <w14:solidFill>
              <w14:schemeClr w14:val="tx1"/>
            </w14:solidFill>
          </w14:textFill>
        </w:rPr>
        <w:t>本项目生产过程中废气主要为</w:t>
      </w:r>
      <w:r>
        <w:rPr>
          <w:rFonts w:hint="eastAsia" w:ascii="Times New Roman" w:hAnsiTheme="minorEastAsia" w:eastAsiaTheme="minorEastAsia"/>
          <w:color w:val="000000" w:themeColor="text1"/>
          <w:sz w:val="24"/>
          <w:szCs w:val="24"/>
          <w14:textFill>
            <w14:solidFill>
              <w14:schemeClr w14:val="tx1"/>
            </w14:solidFill>
          </w14:textFill>
        </w:rPr>
        <w:t>酸性</w:t>
      </w:r>
      <w:r>
        <w:rPr>
          <w:rFonts w:ascii="Times New Roman" w:hAnsiTheme="minorEastAsia" w:eastAsiaTheme="minorEastAsia"/>
          <w:color w:val="000000" w:themeColor="text1"/>
          <w:sz w:val="24"/>
          <w:szCs w:val="24"/>
          <w14:textFill>
            <w14:solidFill>
              <w14:schemeClr w14:val="tx1"/>
            </w14:solidFill>
          </w14:textFill>
        </w:rPr>
        <w:t>废气</w:t>
      </w:r>
      <w:r>
        <w:rPr>
          <w:rFonts w:hint="eastAsia" w:ascii="Times New Roman" w:hAnsiTheme="minorEastAsia" w:eastAsiaTheme="minorEastAsia"/>
          <w:color w:val="000000" w:themeColor="text1"/>
          <w:sz w:val="24"/>
          <w:szCs w:val="24"/>
          <w14:textFill>
            <w14:solidFill>
              <w14:schemeClr w14:val="tx1"/>
            </w14:solidFill>
          </w14:textFill>
        </w:rPr>
        <w:t>（含罐区及生产装置内储罐大、小呼吸废气）</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投料粉尘、烘干废气。本</w:t>
      </w:r>
      <w:r>
        <w:rPr>
          <w:rFonts w:ascii="Times New Roman" w:hAnsiTheme="minorEastAsia" w:eastAsiaTheme="minorEastAsia"/>
          <w:color w:val="000000" w:themeColor="text1"/>
          <w:sz w:val="24"/>
          <w:szCs w:val="24"/>
          <w14:textFill>
            <w14:solidFill>
              <w14:schemeClr w14:val="tx1"/>
            </w14:solidFill>
          </w14:textFill>
        </w:rPr>
        <w:t>项目</w:t>
      </w:r>
      <w:r>
        <w:rPr>
          <w:rFonts w:hint="eastAsia" w:ascii="Times New Roman" w:hAnsiTheme="minorEastAsia" w:eastAsiaTheme="minorEastAsia"/>
          <w:color w:val="000000" w:themeColor="text1"/>
          <w:sz w:val="24"/>
          <w:szCs w:val="24"/>
          <w14:textFill>
            <w14:solidFill>
              <w14:schemeClr w14:val="tx1"/>
            </w14:solidFill>
          </w14:textFill>
        </w:rPr>
        <w:t>产生的废气均得到了合理有效的收集处理，可实现达标排放，具体分析如下：</w:t>
      </w:r>
    </w:p>
    <w:p>
      <w:pPr>
        <w:pStyle w:val="380"/>
        <w:numPr>
          <w:ilvl w:val="0"/>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1"/>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1"/>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25" w:name="_Toc1067"/>
      <w:bookmarkStart w:id="726" w:name="_Toc4173"/>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.2.1.1本项目废气分类收集及拟采取的防治措施</w:t>
      </w:r>
      <w:bookmarkEnd w:id="725"/>
      <w:bookmarkEnd w:id="726"/>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（1）废气收集原则</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①</w:t>
      </w:r>
      <w:r>
        <w:rPr>
          <w:rFonts w:hint="eastAsia" w:ascii="Times New Roman" w:hAnsiTheme="minorEastAsia" w:eastAsiaTheme="minorEastAsia"/>
          <w:color w:val="000000" w:themeColor="text1"/>
          <w:sz w:val="24"/>
          <w:szCs w:val="24"/>
          <w14:textFill>
            <w14:solidFill>
              <w14:schemeClr w14:val="tx1"/>
            </w14:solidFill>
          </w14:textFill>
        </w:rPr>
        <w:t>废气收集遵循“应收尽收，分类收集”的原则。废气收集系统根据气体性质、流量等因素综合设计，可确保废气收集效果。</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bCs/>
          <w:color w:val="000000" w:themeColor="text1"/>
          <w:sz w:val="24"/>
          <w:szCs w:val="24"/>
          <w14:textFill>
            <w14:solidFill>
              <w14:schemeClr w14:val="tx1"/>
            </w14:solidFill>
          </w14:textFill>
        </w:rPr>
        <w:fldChar w:fldCharType="begin"/>
      </w:r>
      <w:r>
        <w:rPr>
          <w:rFonts w:ascii="Times New Roman" w:hAnsiTheme="minorEastAsia" w:eastAsiaTheme="minorEastAsia"/>
          <w:bCs/>
          <w:color w:val="000000" w:themeColor="text1"/>
          <w:sz w:val="24"/>
          <w:szCs w:val="24"/>
          <w14:textFill>
            <w14:solidFill>
              <w14:schemeClr w14:val="tx1"/>
            </w14:solidFill>
          </w14:textFill>
        </w:rPr>
        <w:instrText xml:space="preserve"> </w:instrText>
      </w:r>
      <w:r>
        <w:rPr>
          <w:rFonts w:hint="eastAsia" w:ascii="Times New Roman" w:hAnsiTheme="minorEastAsia" w:eastAsiaTheme="minorEastAsia"/>
          <w:bCs/>
          <w:color w:val="000000" w:themeColor="text1"/>
          <w:sz w:val="24"/>
          <w:szCs w:val="24"/>
          <w14:textFill>
            <w14:solidFill>
              <w14:schemeClr w14:val="tx1"/>
            </w14:solidFill>
          </w14:textFill>
        </w:rPr>
        <w:instrText xml:space="preserve">= 2 \* GB3</w:instrText>
      </w:r>
      <w:r>
        <w:rPr>
          <w:rFonts w:ascii="Times New Roman" w:hAnsiTheme="minorEastAsia" w:eastAsiaTheme="minorEastAsia"/>
          <w:bCs/>
          <w:color w:val="000000" w:themeColor="text1"/>
          <w:sz w:val="24"/>
          <w:szCs w:val="24"/>
          <w14:textFill>
            <w14:solidFill>
              <w14:schemeClr w14:val="tx1"/>
            </w14:solidFill>
          </w14:textFill>
        </w:rPr>
        <w:instrText xml:space="preserve"> </w:instrText>
      </w:r>
      <w:r>
        <w:rPr>
          <w:rFonts w:ascii="Times New Roman" w:hAnsiTheme="minorEastAsia" w:eastAsiaTheme="minorEastAsia"/>
          <w:bCs/>
          <w:color w:val="000000" w:themeColor="text1"/>
          <w:sz w:val="24"/>
          <w:szCs w:val="24"/>
          <w14:textFill>
            <w14:solidFill>
              <w14:schemeClr w14:val="tx1"/>
            </w14:solidFill>
          </w14:textFill>
        </w:rPr>
        <w:fldChar w:fldCharType="separate"/>
      </w:r>
      <w:r>
        <w:rPr>
          <w:rFonts w:hint="eastAsia" w:ascii="Times New Roman" w:hAnsiTheme="minorEastAsia" w:eastAsiaTheme="minorEastAsia"/>
          <w:bCs/>
          <w:color w:val="000000" w:themeColor="text1"/>
          <w:sz w:val="24"/>
          <w:szCs w:val="24"/>
          <w14:textFill>
            <w14:solidFill>
              <w14:schemeClr w14:val="tx1"/>
            </w14:solidFill>
          </w14:textFill>
        </w:rPr>
        <w:t>②</w:t>
      </w:r>
      <w:r>
        <w:rPr>
          <w:rFonts w:ascii="Times New Roman" w:hAnsiTheme="minorEastAsia" w:eastAsiaTheme="minorEastAsia"/>
          <w:bCs/>
          <w:color w:val="000000" w:themeColor="text1"/>
          <w:sz w:val="24"/>
          <w:szCs w:val="24"/>
          <w14:textFill>
            <w14:solidFill>
              <w14:schemeClr w14:val="tx1"/>
            </w14:solidFill>
          </w14:textFill>
        </w:rPr>
        <w:fldChar w:fldCharType="end"/>
      </w:r>
      <w:r>
        <w:rPr>
          <w:rFonts w:hint="eastAsia" w:ascii="Times New Roman" w:hAnsiTheme="minorEastAsia" w:eastAsiaTheme="minorEastAsia"/>
          <w:color w:val="000000" w:themeColor="text1"/>
          <w:sz w:val="24"/>
          <w:szCs w:val="24"/>
          <w14:textFill>
            <w14:solidFill>
              <w14:schemeClr w14:val="tx1"/>
            </w14:solidFill>
          </w14:textFill>
        </w:rPr>
        <w:t>项目拟对生产逸散粉尘或有害气体的设备采取密闭，隔离和负压操作措施，可有效减少污染物产生。</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③</w:t>
      </w:r>
      <w:r>
        <w:rPr>
          <w:rFonts w:hint="eastAsia" w:ascii="Times New Roman" w:hAnsiTheme="minorEastAsia" w:eastAsiaTheme="minorEastAsia"/>
          <w:color w:val="000000" w:themeColor="text1"/>
          <w:sz w:val="24"/>
          <w:szCs w:val="24"/>
          <w14:textFill>
            <w14:solidFill>
              <w14:schemeClr w14:val="tx1"/>
            </w14:solidFill>
          </w14:textFill>
        </w:rPr>
        <w:t>项目尽可能利用生产设备本身的集气系统进行废气收集，逸散废气采用负压集气管道与设备相连，便于补集和控制污染物。</w:t>
      </w:r>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（2）本项目废气收集方式</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①</w:t>
      </w:r>
      <w:r>
        <w:rPr>
          <w:rFonts w:hint="eastAsia" w:ascii="Times New Roman" w:hAnsiTheme="minorEastAsia" w:eastAsiaTheme="minorEastAsia"/>
          <w:color w:val="000000" w:themeColor="text1"/>
          <w:sz w:val="24"/>
          <w:szCs w:val="24"/>
          <w14:textFill>
            <w14:solidFill>
              <w14:schemeClr w14:val="tx1"/>
            </w14:solidFill>
          </w14:textFill>
        </w:rPr>
        <w:t>储罐废气的收集：各储罐在物料储存及生产过程中产生的废气经过管道收集，收集率以100%</w:t>
      </w:r>
      <w:r>
        <w:rPr>
          <w:rFonts w:hint="eastAsia" w:ascii="Times New Roman" w:hAnsiTheme="minorEastAsia" w:eastAsiaTheme="minorEastAsia"/>
          <w:color w:val="000000" w:themeColor="text1"/>
          <w:sz w:val="24"/>
          <w:szCs w:val="24"/>
          <w:lang w:val="en-US" w:eastAsia="zh-CN"/>
          <w14:textFill>
            <w14:solidFill>
              <w14:schemeClr w14:val="tx1"/>
            </w14:solidFill>
          </w14:textFill>
        </w:rPr>
        <w:t>计</w:t>
      </w:r>
      <w:r>
        <w:rPr>
          <w:rFonts w:hint="eastAsia"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②</w:t>
      </w:r>
      <w:r>
        <w:rPr>
          <w:rFonts w:hint="eastAsia" w:ascii="Times New Roman" w:hAnsiTheme="minorEastAsia" w:eastAsiaTheme="minorEastAsia"/>
          <w:color w:val="000000" w:themeColor="text1"/>
          <w:sz w:val="24"/>
          <w:szCs w:val="24"/>
          <w14:textFill>
            <w14:solidFill>
              <w14:schemeClr w14:val="tx1"/>
            </w14:solidFill>
          </w14:textFill>
        </w:rPr>
        <w:t>投料过程废气收集：本项目溶盐、调浆（氯化钠、熟石灰）投料过程中会产生少量粉尘。通过对设备顶部设置负压集气管道，对投料时产生的粉尘进行收集，有组织收集效率一般为90%。</w:t>
      </w:r>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③烘干废气收集：本项目氟硅酸钠烘干过程中会产生大量粉尘，设置密闭抽风管道进行收集，有组织收集效率一般为100%。</w:t>
      </w:r>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（3）废气分类防治原则</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根据本项目废气源主要成分及拟采取的治理措施不同，进行分类，分类原则如下：</w:t>
      </w:r>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①酸性废气（A类）</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该类废气主要成分为氟化物、氯化氢等酸性废气，拟经收集后进入酸性废气处理系统（2级水洗+1级碱洗）处理后高空排放。</w:t>
      </w:r>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②高浓度粉尘废气（B类）</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该类废气主要成分为粉尘，浓度较高，且粉尘主要成分为项目最终产品，为了回收利用有效物质，本项目拟对该类废气收集后通过布袋除尘器进行处理后高空排放。</w:t>
      </w:r>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③一般浓度粉尘废气（C类）</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该类废气污染物为单一粉尘，由于粉尘的水溶性较好，且该部分粉尘产生浓度较低，拟经收集后进入中性废气处理系统（2级水洗+1级碱洗）处理后高空排放。</w:t>
      </w:r>
    </w:p>
    <w:p>
      <w:pPr>
        <w:spacing w:line="520" w:lineRule="exact"/>
        <w:ind w:firstLine="480" w:firstLineChars="200"/>
        <w:rPr>
          <w:rFonts w:ascii="Times New Roman" w:hAnsiTheme="minorEastAsia" w:eastAsiaTheme="minorEastAsia"/>
          <w:bCs/>
          <w:color w:val="000000" w:themeColor="text1"/>
          <w:sz w:val="24"/>
          <w:szCs w:val="24"/>
          <w14:textFill>
            <w14:solidFill>
              <w14:schemeClr w14:val="tx1"/>
            </w14:solidFill>
          </w14:textFill>
        </w:rPr>
      </w:pPr>
      <w:r>
        <w:rPr>
          <w:rFonts w:hint="eastAsia" w:ascii="Times New Roman" w:hAnsiTheme="minorEastAsia" w:eastAsiaTheme="minorEastAsia"/>
          <w:bCs/>
          <w:color w:val="000000" w:themeColor="text1"/>
          <w:sz w:val="24"/>
          <w:szCs w:val="24"/>
          <w14:textFill>
            <w14:solidFill>
              <w14:schemeClr w14:val="tx1"/>
            </w14:solidFill>
          </w14:textFill>
        </w:rPr>
        <w:t>（4）本项目废气分类防治措施</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根据上述废气分类收集及防治措施原则，结合各工序废气产生情况，本项目拟采取的废气分类收集及防治措施如下表所示：</w:t>
      </w:r>
    </w:p>
    <w:p>
      <w:pPr>
        <w:spacing w:line="520" w:lineRule="exact"/>
        <w:jc w:val="center"/>
        <w:rPr>
          <w:rFonts w:ascii="Times New Roman" w:hAnsiTheme="minorEastAsia" w:eastAsiaTheme="minorEastAsia"/>
          <w:b/>
          <w:color w:val="000000" w:themeColor="text1"/>
          <w:sz w:val="24"/>
          <w:szCs w:val="24"/>
          <w14:textFill>
            <w14:solidFill>
              <w14:schemeClr w14:val="tx1"/>
            </w14:solidFill>
          </w14:textFill>
        </w:rPr>
      </w:pPr>
      <w:r>
        <w:rPr>
          <w:rFonts w:hint="eastAsia"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heme="minorEastAsia" w:eastAsiaTheme="minorEastAsia"/>
          <w:b/>
          <w:color w:val="000000" w:themeColor="text1"/>
          <w:sz w:val="24"/>
          <w:szCs w:val="24"/>
          <w:lang w:val="en-US" w:eastAsia="zh-CN"/>
          <w14:textFill>
            <w14:solidFill>
              <w14:schemeClr w14:val="tx1"/>
            </w14:solidFill>
          </w14:textFill>
        </w:rPr>
        <w:t>8</w:t>
      </w:r>
      <w:r>
        <w:rPr>
          <w:rFonts w:hint="eastAsia" w:ascii="Times New Roman" w:hAnsiTheme="minorEastAsia" w:eastAsiaTheme="minorEastAsia"/>
          <w:b/>
          <w:color w:val="000000" w:themeColor="text1"/>
          <w:sz w:val="24"/>
          <w:szCs w:val="24"/>
          <w14:textFill>
            <w14:solidFill>
              <w14:schemeClr w14:val="tx1"/>
            </w14:solidFill>
          </w14:textFill>
        </w:rPr>
        <w:t>.2-1 本项目废气污染源拟采取的分类收集及防治措施一览表</w:t>
      </w:r>
    </w:p>
    <w:tbl>
      <w:tblPr>
        <w:tblStyle w:val="87"/>
        <w:tblW w:w="93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28"/>
        <w:gridCol w:w="3341"/>
        <w:gridCol w:w="1661"/>
        <w:gridCol w:w="2223"/>
        <w:gridCol w:w="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2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污染源名称</w:t>
            </w:r>
          </w:p>
        </w:tc>
        <w:tc>
          <w:tcPr>
            <w:tcW w:w="334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w:t>
            </w:r>
          </w:p>
        </w:tc>
        <w:tc>
          <w:tcPr>
            <w:tcW w:w="166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收集方式</w:t>
            </w:r>
          </w:p>
        </w:tc>
        <w:tc>
          <w:tcPr>
            <w:tcW w:w="222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废气分类</w:t>
            </w:r>
          </w:p>
        </w:tc>
        <w:tc>
          <w:tcPr>
            <w:tcW w:w="90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分类编号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3" w:hRule="atLeast"/>
          <w:jc w:val="center"/>
        </w:trPr>
        <w:tc>
          <w:tcPr>
            <w:tcW w:w="1228"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储罐呼吸</w:t>
            </w:r>
          </w:p>
        </w:tc>
        <w:tc>
          <w:tcPr>
            <w:tcW w:w="334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 xml:space="preserve">氟化物、HCl </w:t>
            </w:r>
          </w:p>
        </w:tc>
        <w:tc>
          <w:tcPr>
            <w:tcW w:w="166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管道</w:t>
            </w:r>
          </w:p>
        </w:tc>
        <w:tc>
          <w:tcPr>
            <w:tcW w:w="222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酸性废气</w:t>
            </w:r>
          </w:p>
        </w:tc>
        <w:tc>
          <w:tcPr>
            <w:tcW w:w="90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28" w:type="dxa"/>
            <w:shd w:val="clear" w:color="auto" w:fill="auto"/>
            <w:vAlign w:val="center"/>
          </w:tcPr>
          <w:p>
            <w:pPr>
              <w:widowControl/>
              <w:ind w:firstLine="360" w:firstLineChars="200"/>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投料</w:t>
            </w:r>
          </w:p>
        </w:tc>
        <w:tc>
          <w:tcPr>
            <w:tcW w:w="334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粉尘</w:t>
            </w:r>
            <w:r>
              <w:rPr>
                <w:rFonts w:hint="eastAsia" w:ascii="宋体" w:hAnsi="宋体" w:cs="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NaCl</w:t>
            </w:r>
            <w:r>
              <w:rPr>
                <w:rFonts w:hint="eastAsia" w:ascii="宋体" w:hAnsi="宋体" w:cs="宋体"/>
                <w:color w:val="000000" w:themeColor="text1"/>
                <w:kern w:val="0"/>
                <w:sz w:val="18"/>
                <w:szCs w:val="18"/>
                <w14:textFill>
                  <w14:solidFill>
                    <w14:schemeClr w14:val="tx1"/>
                  </w14:solidFill>
                </w14:textFill>
              </w:rPr>
              <w:t>、氢氧化钙）</w:t>
            </w:r>
          </w:p>
        </w:tc>
        <w:tc>
          <w:tcPr>
            <w:tcW w:w="166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管道</w:t>
            </w:r>
          </w:p>
        </w:tc>
        <w:tc>
          <w:tcPr>
            <w:tcW w:w="222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一般浓度粉尘</w:t>
            </w:r>
          </w:p>
        </w:tc>
        <w:tc>
          <w:tcPr>
            <w:tcW w:w="90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1228" w:type="dxa"/>
            <w:shd w:val="clear" w:color="auto" w:fill="auto"/>
            <w:vAlign w:val="center"/>
          </w:tcPr>
          <w:p>
            <w:pPr>
              <w:widowControl/>
              <w:ind w:firstLine="360" w:firstLineChars="200"/>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烘干</w:t>
            </w:r>
          </w:p>
        </w:tc>
        <w:tc>
          <w:tcPr>
            <w:tcW w:w="334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粉尘（氟硅酸钠）</w:t>
            </w:r>
          </w:p>
        </w:tc>
        <w:tc>
          <w:tcPr>
            <w:tcW w:w="166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管道</w:t>
            </w:r>
          </w:p>
        </w:tc>
        <w:tc>
          <w:tcPr>
            <w:tcW w:w="2223"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高浓粉尘废气</w:t>
            </w:r>
          </w:p>
        </w:tc>
        <w:tc>
          <w:tcPr>
            <w:tcW w:w="90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B</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27" w:name="_Toc17027"/>
      <w:bookmarkStart w:id="728" w:name="_Toc28060"/>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.2.1.2酸性废气处理措施可行性分析</w:t>
      </w:r>
      <w:bookmarkEnd w:id="727"/>
      <w:bookmarkEnd w:id="728"/>
    </w:p>
    <w:p>
      <w:pPr>
        <w:adjustRightInd w:val="0"/>
        <w:snapToGrid w:val="0"/>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拟建项目</w:t>
      </w:r>
      <w:r>
        <w:rPr>
          <w:rFonts w:ascii="Times New Roman" w:hAnsiTheme="minorEastAsia" w:eastAsiaTheme="minorEastAsia"/>
          <w:color w:val="000000" w:themeColor="text1"/>
          <w:sz w:val="24"/>
          <w:szCs w:val="24"/>
          <w14:textFill>
            <w14:solidFill>
              <w14:schemeClr w14:val="tx1"/>
            </w14:solidFill>
          </w14:textFill>
        </w:rPr>
        <w:t>产生</w:t>
      </w:r>
      <w:r>
        <w:rPr>
          <w:rFonts w:hint="eastAsia" w:ascii="Times New Roman" w:hAnsi="Times New Roman" w:eastAsiaTheme="minorEastAsia"/>
          <w:color w:val="000000" w:themeColor="text1"/>
          <w:sz w:val="24"/>
          <w:szCs w:val="24"/>
          <w14:textFill>
            <w14:solidFill>
              <w14:schemeClr w14:val="tx1"/>
            </w14:solidFill>
          </w14:textFill>
        </w:rPr>
        <w:t>该部分废气主要成分为氟化物（SiF</w:t>
      </w:r>
      <w:r>
        <w:rPr>
          <w:rFonts w:hint="eastAsia" w:ascii="Times New Roman" w:hAnsi="Times New Roman" w:eastAsiaTheme="minorEastAsia"/>
          <w:color w:val="000000" w:themeColor="text1"/>
          <w:sz w:val="24"/>
          <w:szCs w:val="24"/>
          <w:vertAlign w:val="subscript"/>
          <w14:textFill>
            <w14:solidFill>
              <w14:schemeClr w14:val="tx1"/>
            </w14:solidFill>
          </w14:textFill>
        </w:rPr>
        <w:t>4、</w:t>
      </w:r>
      <w:r>
        <w:rPr>
          <w:rFonts w:hint="eastAsia" w:ascii="Times New Roman" w:hAnsi="Times New Roman" w:eastAsiaTheme="minorEastAsia"/>
          <w:color w:val="000000" w:themeColor="text1"/>
          <w:sz w:val="24"/>
          <w:szCs w:val="24"/>
          <w14:textFill>
            <w14:solidFill>
              <w14:schemeClr w14:val="tx1"/>
            </w14:solidFill>
          </w14:textFill>
        </w:rPr>
        <w:t>HF）、氯化氢，拟通过1套酸性废气处理系统（2级水洗+1级碱洗）进行处理</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系统设计风量为1000</w:t>
      </w:r>
      <w:r>
        <w:rPr>
          <w:color w:val="000000" w:themeColor="text1"/>
          <w:sz w:val="24"/>
          <w:szCs w:val="24"/>
          <w14:textFill>
            <w14:solidFill>
              <w14:schemeClr w14:val="tx1"/>
            </w14:solidFill>
          </w14:textFill>
        </w:rPr>
        <w:t xml:space="preserve"> </w:t>
      </w:r>
      <w:r>
        <w:rPr>
          <w:rFonts w:ascii="Times New Roman" w:hAnsiTheme="minorEastAsia" w:eastAsiaTheme="minorEastAsia"/>
          <w:color w:val="000000" w:themeColor="text1"/>
          <w:sz w:val="24"/>
          <w:szCs w:val="24"/>
          <w14:textFill>
            <w14:solidFill>
              <w14:schemeClr w14:val="tx1"/>
            </w14:solidFill>
          </w14:textFill>
        </w:rPr>
        <w:t>m</w:t>
      </w:r>
      <w:r>
        <w:rPr>
          <w:rFonts w:ascii="Times New Roman" w:hAnsiTheme="minorEastAsia" w:eastAsiaTheme="minorEastAsia"/>
          <w:color w:val="000000" w:themeColor="text1"/>
          <w:sz w:val="24"/>
          <w:szCs w:val="24"/>
          <w:vertAlign w:val="superscript"/>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/h</w:t>
      </w:r>
      <w:r>
        <w:rPr>
          <w:rFonts w:hint="eastAsia"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酸性废气通过2级水洗，部分与水混溶，再通过1级碱液喷淋中和吸收，综合去除率可达90%。项目酸性废气去除情况详见下表</w:t>
      </w:r>
      <w:r>
        <w:rPr>
          <w:rFonts w:hint="eastAsia" w:ascii="Times New Roman" w:hAnsiTheme="minorEastAsia" w:eastAsiaTheme="minorEastAsia"/>
          <w:color w:val="000000" w:themeColor="text1"/>
          <w:sz w:val="24"/>
          <w:szCs w:val="24"/>
          <w14:textFill>
            <w14:solidFill>
              <w14:schemeClr w14:val="tx1"/>
            </w14:solidFill>
          </w14:textFill>
        </w:rPr>
        <w:t>。</w:t>
      </w:r>
    </w:p>
    <w:p>
      <w:pPr>
        <w:adjustRightInd w:val="0"/>
        <w:snapToGrid w:val="0"/>
        <w:spacing w:line="520" w:lineRule="exact"/>
        <w:jc w:val="center"/>
        <w:rPr>
          <w:rFonts w:ascii="Times New Roman" w:hAnsi="Times New Roman" w:eastAsiaTheme="minorEastAsia"/>
          <w:b/>
          <w:color w:val="000000" w:themeColor="text1"/>
          <w:sz w:val="24"/>
          <w14:textFill>
            <w14:solidFill>
              <w14:schemeClr w14:val="tx1"/>
            </w14:solidFill>
          </w14:textFill>
        </w:rPr>
      </w:pPr>
      <w:r>
        <w:rPr>
          <w:rFonts w:hint="eastAsia" w:ascii="Times New Roman" w:hAnsi="Times New Roman" w:eastAsiaTheme="minorEastAsia"/>
          <w:b/>
          <w:color w:val="000000" w:themeColor="text1"/>
          <w:sz w:val="24"/>
          <w14:textFill>
            <w14:solidFill>
              <w14:schemeClr w14:val="tx1"/>
            </w14:solidFill>
          </w14:textFill>
        </w:rPr>
        <w:t>表</w:t>
      </w:r>
      <w:r>
        <w:rPr>
          <w:rFonts w:hint="eastAsia" w:ascii="Times New Roman" w:hAnsi="Times New Roman" w:eastAsiaTheme="minorEastAsia"/>
          <w:b/>
          <w:color w:val="000000" w:themeColor="text1"/>
          <w:sz w:val="24"/>
          <w:lang w:val="en-US" w:eastAsia="zh-CN"/>
          <w14:textFill>
            <w14:solidFill>
              <w14:schemeClr w14:val="tx1"/>
            </w14:solidFill>
          </w14:textFill>
        </w:rPr>
        <w:t>8</w:t>
      </w:r>
      <w:r>
        <w:rPr>
          <w:rFonts w:hint="eastAsia" w:ascii="Times New Roman" w:hAnsi="Times New Roman" w:eastAsiaTheme="minorEastAsia"/>
          <w:b/>
          <w:color w:val="000000" w:themeColor="text1"/>
          <w:sz w:val="24"/>
          <w14:textFill>
            <w14:solidFill>
              <w14:schemeClr w14:val="tx1"/>
            </w14:solidFill>
          </w14:textFill>
        </w:rPr>
        <w:t>.2-2 项目酸性废气处置情况一览表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785"/>
        <w:gridCol w:w="786"/>
        <w:gridCol w:w="977"/>
        <w:gridCol w:w="1196"/>
        <w:gridCol w:w="1269"/>
        <w:gridCol w:w="786"/>
        <w:gridCol w:w="924"/>
        <w:gridCol w:w="1103"/>
        <w:gridCol w:w="12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785"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排气筒</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编号</w:t>
            </w:r>
          </w:p>
        </w:tc>
        <w:tc>
          <w:tcPr>
            <w:tcW w:w="78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污染物名称</w:t>
            </w:r>
          </w:p>
        </w:tc>
        <w:tc>
          <w:tcPr>
            <w:tcW w:w="3442" w:type="dxa"/>
            <w:gridSpan w:val="3"/>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污染物产生情况（合计）</w:t>
            </w:r>
          </w:p>
        </w:tc>
        <w:tc>
          <w:tcPr>
            <w:tcW w:w="78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效率（%）</w:t>
            </w:r>
          </w:p>
        </w:tc>
        <w:tc>
          <w:tcPr>
            <w:tcW w:w="3296" w:type="dxa"/>
            <w:gridSpan w:val="3"/>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污染物排放情况（合计）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78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78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9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年产生量(t/a)</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产生速率（kg/h）</w:t>
            </w:r>
          </w:p>
        </w:tc>
        <w:tc>
          <w:tcPr>
            <w:tcW w:w="12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产生浓度（mg/m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c>
          <w:tcPr>
            <w:tcW w:w="78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92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排放量(t/a)</w:t>
            </w:r>
          </w:p>
        </w:tc>
        <w:tc>
          <w:tcPr>
            <w:tcW w:w="11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排放速率（kg/h）</w:t>
            </w:r>
          </w:p>
        </w:tc>
        <w:tc>
          <w:tcPr>
            <w:tcW w:w="12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排放浓度（mg/m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785" w:type="dxa"/>
            <w:vMerge w:val="restart"/>
            <w:shd w:val="clear" w:color="auto" w:fill="auto"/>
            <w:vAlign w:val="center"/>
          </w:tcPr>
          <w:p>
            <w:pPr>
              <w:widowControl/>
              <w:jc w:val="center"/>
              <w:rPr>
                <w:rFonts w:ascii="Times New Roman" w:hAnsi="Times New Roman"/>
                <w:b/>
                <w:bCs/>
                <w:color w:val="000000" w:themeColor="text1"/>
                <w:kern w:val="0"/>
                <w:sz w:val="18"/>
                <w:szCs w:val="18"/>
                <w14:textFill>
                  <w14:solidFill>
                    <w14:schemeClr w14:val="tx1"/>
                  </w14:solidFill>
                </w14:textFill>
              </w:rPr>
            </w:pPr>
            <w:r>
              <w:rPr>
                <w:rFonts w:hint="eastAsia" w:ascii="Times New Roman" w:hAnsi="Times New Roman"/>
                <w:b/>
                <w:bCs/>
                <w:color w:val="000000" w:themeColor="text1"/>
                <w:kern w:val="0"/>
                <w:sz w:val="18"/>
                <w:szCs w:val="18"/>
                <w14:textFill>
                  <w14:solidFill>
                    <w14:schemeClr w14:val="tx1"/>
                  </w14:solidFill>
                </w14:textFill>
              </w:rPr>
              <w:t>DA001</w:t>
            </w:r>
          </w:p>
        </w:tc>
        <w:tc>
          <w:tcPr>
            <w:tcW w:w="7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氟化物</w:t>
            </w:r>
          </w:p>
        </w:tc>
        <w:tc>
          <w:tcPr>
            <w:tcW w:w="9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0.08416</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0.012</w:t>
            </w:r>
          </w:p>
        </w:tc>
        <w:tc>
          <w:tcPr>
            <w:tcW w:w="12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12</w:t>
            </w:r>
          </w:p>
        </w:tc>
        <w:tc>
          <w:tcPr>
            <w:tcW w:w="7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90</w:t>
            </w:r>
          </w:p>
        </w:tc>
        <w:tc>
          <w:tcPr>
            <w:tcW w:w="92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0.008416</w:t>
            </w:r>
          </w:p>
        </w:tc>
        <w:tc>
          <w:tcPr>
            <w:tcW w:w="11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0.0012</w:t>
            </w:r>
          </w:p>
        </w:tc>
        <w:tc>
          <w:tcPr>
            <w:tcW w:w="12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785" w:type="dxa"/>
            <w:vMerge w:val="continue"/>
            <w:vAlign w:val="center"/>
          </w:tcPr>
          <w:p>
            <w:pPr>
              <w:widowControl/>
              <w:jc w:val="left"/>
              <w:rPr>
                <w:rFonts w:ascii="Times New Roman" w:hAnsi="Times New Roman"/>
                <w:b/>
                <w:bCs/>
                <w:color w:val="000000" w:themeColor="text1"/>
                <w:kern w:val="0"/>
                <w:sz w:val="18"/>
                <w:szCs w:val="18"/>
                <w14:textFill>
                  <w14:solidFill>
                    <w14:schemeClr w14:val="tx1"/>
                  </w14:solidFill>
                </w14:textFill>
              </w:rPr>
            </w:pPr>
          </w:p>
        </w:tc>
        <w:tc>
          <w:tcPr>
            <w:tcW w:w="7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HC</w:t>
            </w:r>
            <w:r>
              <w:rPr>
                <w:rFonts w:hint="eastAsia" w:ascii="Times New Roman" w:hAnsi="Times New Roman"/>
                <w:color w:val="000000" w:themeColor="text1"/>
                <w:kern w:val="0"/>
                <w:sz w:val="18"/>
                <w:szCs w:val="18"/>
                <w14:textFill>
                  <w14:solidFill>
                    <w14:schemeClr w14:val="tx1"/>
                  </w14:solidFill>
                </w14:textFill>
              </w:rPr>
              <w:t>l</w:t>
            </w:r>
          </w:p>
        </w:tc>
        <w:tc>
          <w:tcPr>
            <w:tcW w:w="97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0.0003186</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0.000044</w:t>
            </w:r>
          </w:p>
        </w:tc>
        <w:tc>
          <w:tcPr>
            <w:tcW w:w="12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0.044</w:t>
            </w:r>
          </w:p>
        </w:tc>
        <w:tc>
          <w:tcPr>
            <w:tcW w:w="78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90</w:t>
            </w:r>
          </w:p>
        </w:tc>
        <w:tc>
          <w:tcPr>
            <w:tcW w:w="924"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0.00003186</w:t>
            </w:r>
          </w:p>
        </w:tc>
        <w:tc>
          <w:tcPr>
            <w:tcW w:w="1103"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0.000004</w:t>
            </w:r>
          </w:p>
        </w:tc>
        <w:tc>
          <w:tcPr>
            <w:tcW w:w="12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0.004</w:t>
            </w:r>
          </w:p>
        </w:tc>
      </w:tr>
    </w:tbl>
    <w:p>
      <w:pPr>
        <w:adjustRightInd w:val="0"/>
        <w:snapToGrid w:val="0"/>
        <w:spacing w:line="52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由上表可知，氟化物、HCl的排放浓度能够满足《无机化学工业污染物排放标准》（GB31573-2015）表3中限值要求。</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29" w:name="_Toc7170"/>
      <w:bookmarkStart w:id="730" w:name="_Toc9278"/>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.2.1.3粉尘废气处理措施可行性分析</w:t>
      </w:r>
      <w:bookmarkEnd w:id="729"/>
      <w:bookmarkEnd w:id="730"/>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（1）含粉尘废气的处理措施</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粉尘废气分为高浓度粉尘废气、一般浓度粉尘废气。</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高浓度粉尘主要成分为本项目氟硅酸钠产品，为了回收利用有效物质，项目拟对该类废气设置布袋除尘器进行收集处理，实现粉尘去除的同时，可回收其中有用物质，布袋除尘器设计粉尘去除率为99%。</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一般浓度含尘废气为单一的粉尘，主要为溶盐、调浆（氯化钠、氢氧化钙）等粉料投加过程中产生的少量含尘废气，拟采用负压管道收集该类废气，然后通过1套中性废气处理系统（2级水洗+1级碱洗）进行处理，综合去除率可达95%。可有效去除废气中的粉尘。</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（2）可行性分析</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布袋除尘器目前被广泛使用，技术成熟，运行稳定。脉冲布袋除尘器是一种干式滤尘装置。它适用于捕集细小、干燥、非纤维性粉尘。滤袋采用纺织的滤布或非纺织的毡制成，利用纤维织物的过滤作用对含尘气体进行过滤，当含尘气体进入脉冲布袋除尘器后，颗粒大、比重大的粉尘，由于重力的作用沉降下来，落入灰斗，含有较细小粉尘的气体在通过滤料时，粉尘被阻留，使气体得到净化。滤袋是脉冲布袋除尘器的核心，除尘器的效率、阻力及寿命都与滤袋有关。类比同类废气处理经验，本项目采用布袋除尘器实现粉尘 99%去除率是完全可行的。项目粉尘废气去除情况详见下表。</w:t>
      </w:r>
    </w:p>
    <w:p>
      <w:pPr>
        <w:adjustRightInd w:val="0"/>
        <w:snapToGrid w:val="0"/>
        <w:spacing w:line="520" w:lineRule="exact"/>
        <w:jc w:val="center"/>
        <w:rPr>
          <w:rFonts w:ascii="Times New Roman" w:hAnsiTheme="minorEastAsia" w:eastAsiaTheme="minorEastAsia"/>
          <w:b/>
          <w:color w:val="000000" w:themeColor="text1"/>
          <w:sz w:val="24"/>
          <w:szCs w:val="24"/>
          <w14:textFill>
            <w14:solidFill>
              <w14:schemeClr w14:val="tx1"/>
            </w14:solidFill>
          </w14:textFill>
        </w:rPr>
      </w:pPr>
      <w:r>
        <w:rPr>
          <w:rFonts w:hint="eastAsia" w:ascii="Times New Roman" w:hAnsiTheme="minorEastAsia" w:eastAsiaTheme="minorEastAsia"/>
          <w:b/>
          <w:color w:val="000000" w:themeColor="text1"/>
          <w:sz w:val="24"/>
          <w:szCs w:val="24"/>
          <w14:textFill>
            <w14:solidFill>
              <w14:schemeClr w14:val="tx1"/>
            </w14:solidFill>
          </w14:textFill>
        </w:rPr>
        <w:t>表</w:t>
      </w:r>
      <w:r>
        <w:rPr>
          <w:rFonts w:hint="eastAsia" w:ascii="Times New Roman" w:hAnsiTheme="minorEastAsia" w:eastAsiaTheme="minorEastAsia"/>
          <w:b/>
          <w:color w:val="000000" w:themeColor="text1"/>
          <w:sz w:val="24"/>
          <w:szCs w:val="24"/>
          <w:lang w:val="en-US" w:eastAsia="zh-CN"/>
          <w14:textFill>
            <w14:solidFill>
              <w14:schemeClr w14:val="tx1"/>
            </w14:solidFill>
          </w14:textFill>
        </w:rPr>
        <w:t>8</w:t>
      </w:r>
      <w:r>
        <w:rPr>
          <w:rFonts w:hint="eastAsia" w:ascii="Times New Roman" w:hAnsiTheme="minorEastAsia" w:eastAsiaTheme="minorEastAsia"/>
          <w:b/>
          <w:color w:val="000000" w:themeColor="text1"/>
          <w:sz w:val="24"/>
          <w:szCs w:val="24"/>
          <w14:textFill>
            <w14:solidFill>
              <w14:schemeClr w14:val="tx1"/>
            </w14:solidFill>
          </w14:textFill>
        </w:rPr>
        <w:t>.2-3   项目粉尘废气处置情况一览表</w:t>
      </w:r>
    </w:p>
    <w:tbl>
      <w:tblPr>
        <w:tblStyle w:val="87"/>
        <w:tblW w:w="9299" w:type="dxa"/>
        <w:jc w:val="center"/>
        <w:tblLayout w:type="fixed"/>
        <w:tblCellMar>
          <w:top w:w="0" w:type="dxa"/>
          <w:left w:w="57" w:type="dxa"/>
          <w:bottom w:w="0" w:type="dxa"/>
          <w:right w:w="57" w:type="dxa"/>
        </w:tblCellMar>
      </w:tblPr>
      <w:tblGrid>
        <w:gridCol w:w="682"/>
        <w:gridCol w:w="1134"/>
        <w:gridCol w:w="1134"/>
        <w:gridCol w:w="1134"/>
        <w:gridCol w:w="1042"/>
        <w:gridCol w:w="803"/>
        <w:gridCol w:w="849"/>
        <w:gridCol w:w="1223"/>
        <w:gridCol w:w="1298"/>
      </w:tblGrid>
      <w:tr>
        <w:tblPrEx>
          <w:tblCellMar>
            <w:top w:w="0" w:type="dxa"/>
            <w:left w:w="57" w:type="dxa"/>
            <w:bottom w:w="0" w:type="dxa"/>
            <w:right w:w="57" w:type="dxa"/>
          </w:tblCellMar>
        </w:tblPrEx>
        <w:trPr>
          <w:trHeight w:val="340" w:hRule="atLeast"/>
          <w:jc w:val="center"/>
        </w:trPr>
        <w:tc>
          <w:tcPr>
            <w:tcW w:w="682"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排气筒</w:t>
            </w:r>
          </w:p>
        </w:tc>
        <w:tc>
          <w:tcPr>
            <w:tcW w:w="1134"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污染物名称</w:t>
            </w:r>
          </w:p>
        </w:tc>
        <w:tc>
          <w:tcPr>
            <w:tcW w:w="3310"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污染物产生情况（合计）</w:t>
            </w:r>
          </w:p>
        </w:tc>
        <w:tc>
          <w:tcPr>
            <w:tcW w:w="80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效率（%）</w:t>
            </w:r>
          </w:p>
        </w:tc>
        <w:tc>
          <w:tcPr>
            <w:tcW w:w="3370" w:type="dxa"/>
            <w:gridSpan w:val="3"/>
            <w:tcBorders>
              <w:top w:val="single" w:color="auto" w:sz="12" w:space="0"/>
              <w:left w:val="single" w:color="auto" w:sz="4" w:space="0"/>
              <w:bottom w:val="single" w:color="auto" w:sz="4" w:space="0"/>
              <w:right w:val="single" w:color="auto" w:sz="12"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污染物排放情况（合计）</w:t>
            </w:r>
          </w:p>
        </w:tc>
      </w:tr>
      <w:tr>
        <w:tblPrEx>
          <w:tblCellMar>
            <w:top w:w="0" w:type="dxa"/>
            <w:left w:w="57" w:type="dxa"/>
            <w:bottom w:w="0" w:type="dxa"/>
            <w:right w:w="57" w:type="dxa"/>
          </w:tblCellMar>
        </w:tblPrEx>
        <w:trPr>
          <w:trHeight w:val="340" w:hRule="atLeast"/>
          <w:jc w:val="center"/>
        </w:trPr>
        <w:tc>
          <w:tcPr>
            <w:tcW w:w="682"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年产生量(t/a)</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产生速率（kg/h）</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产生浓度（mg/m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c>
          <w:tcPr>
            <w:tcW w:w="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排放量(t/a)</w:t>
            </w: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排放速率（kg/h）</w:t>
            </w:r>
          </w:p>
        </w:tc>
        <w:tc>
          <w:tcPr>
            <w:tcW w:w="1298"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排放浓度（mg/m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w:t>
            </w:r>
          </w:p>
        </w:tc>
      </w:tr>
      <w:tr>
        <w:tblPrEx>
          <w:tblCellMar>
            <w:top w:w="0" w:type="dxa"/>
            <w:left w:w="57" w:type="dxa"/>
            <w:bottom w:w="0" w:type="dxa"/>
            <w:right w:w="57" w:type="dxa"/>
          </w:tblCellMar>
        </w:tblPrEx>
        <w:trPr>
          <w:trHeight w:val="340" w:hRule="atLeast"/>
          <w:jc w:val="center"/>
        </w:trPr>
        <w:tc>
          <w:tcPr>
            <w:tcW w:w="682"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DA002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粉尘</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4.59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0.6375</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159.375</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95</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0.2295</w:t>
            </w: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0.032</w:t>
            </w:r>
          </w:p>
        </w:tc>
        <w:tc>
          <w:tcPr>
            <w:tcW w:w="1298"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7.97</w:t>
            </w:r>
          </w:p>
        </w:tc>
      </w:tr>
      <w:tr>
        <w:tblPrEx>
          <w:tblCellMar>
            <w:top w:w="0" w:type="dxa"/>
            <w:left w:w="57" w:type="dxa"/>
            <w:bottom w:w="0" w:type="dxa"/>
            <w:right w:w="57" w:type="dxa"/>
          </w:tblCellMar>
        </w:tblPrEx>
        <w:trPr>
          <w:trHeight w:val="340" w:hRule="atLeast"/>
          <w:jc w:val="center"/>
        </w:trPr>
        <w:tc>
          <w:tcPr>
            <w:tcW w:w="682" w:type="dxa"/>
            <w:tcBorders>
              <w:top w:val="single" w:color="auto" w:sz="4" w:space="0"/>
              <w:left w:val="single" w:color="auto" w:sz="12" w:space="0"/>
              <w:bottom w:val="single" w:color="auto" w:sz="12" w:space="0"/>
              <w:right w:val="single" w:color="auto" w:sz="4" w:space="0"/>
            </w:tcBorders>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DA003</w:t>
            </w:r>
          </w:p>
        </w:tc>
        <w:tc>
          <w:tcPr>
            <w:tcW w:w="1134"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粉尘</w:t>
            </w:r>
          </w:p>
        </w:tc>
        <w:tc>
          <w:tcPr>
            <w:tcW w:w="1134"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7.5</w:t>
            </w:r>
          </w:p>
        </w:tc>
        <w:tc>
          <w:tcPr>
            <w:tcW w:w="1134"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1.04</w:t>
            </w:r>
          </w:p>
        </w:tc>
        <w:tc>
          <w:tcPr>
            <w:tcW w:w="104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521</w:t>
            </w:r>
          </w:p>
        </w:tc>
        <w:tc>
          <w:tcPr>
            <w:tcW w:w="80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99</w:t>
            </w:r>
          </w:p>
        </w:tc>
        <w:tc>
          <w:tcPr>
            <w:tcW w:w="84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0.075</w:t>
            </w:r>
          </w:p>
        </w:tc>
        <w:tc>
          <w:tcPr>
            <w:tcW w:w="122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0.0104</w:t>
            </w:r>
          </w:p>
        </w:tc>
        <w:tc>
          <w:tcPr>
            <w:tcW w:w="1298" w:type="dxa"/>
            <w:tcBorders>
              <w:top w:val="single" w:color="auto" w:sz="4" w:space="0"/>
              <w:left w:val="single" w:color="auto" w:sz="4" w:space="0"/>
              <w:bottom w:val="single" w:color="auto" w:sz="12" w:space="0"/>
              <w:right w:val="single" w:color="auto" w:sz="12" w:space="0"/>
            </w:tcBorders>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5.21</w:t>
            </w:r>
          </w:p>
        </w:tc>
      </w:tr>
    </w:tbl>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由上表可知，粉尘排放浓度可满足《无机化学工业污染物排放标准》（GB31573-2015）表3中限值要求，</w:t>
      </w:r>
      <w:r>
        <w:rPr>
          <w:rFonts w:hint="eastAsia" w:ascii="Times New Roman" w:hAnsiTheme="minorEastAsia" w:eastAsiaTheme="minorEastAsia"/>
          <w:color w:val="000000" w:themeColor="text1"/>
          <w:sz w:val="24"/>
          <w14:textFill>
            <w14:solidFill>
              <w14:schemeClr w14:val="tx1"/>
            </w14:solidFill>
          </w14:textFill>
        </w:rPr>
        <w:t>粉尘</w:t>
      </w:r>
      <w:r>
        <w:rPr>
          <w:rFonts w:ascii="Times New Roman" w:hAnsiTheme="minorEastAsia" w:eastAsiaTheme="minorEastAsia"/>
          <w:color w:val="000000" w:themeColor="text1"/>
          <w:sz w:val="24"/>
          <w14:textFill>
            <w14:solidFill>
              <w14:schemeClr w14:val="tx1"/>
            </w14:solidFill>
          </w14:textFill>
        </w:rPr>
        <w:t>治理措施技术可行。</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31" w:name="_Toc13790"/>
      <w:bookmarkStart w:id="732" w:name="_Toc6296"/>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.2.1.4无组织废气处理方案可行性分析及建议</w:t>
      </w:r>
      <w:bookmarkEnd w:id="731"/>
      <w:bookmarkEnd w:id="732"/>
    </w:p>
    <w:p>
      <w:pPr>
        <w:pStyle w:val="431"/>
        <w:spacing w:line="540" w:lineRule="exac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本项目无组织废气主要为生产车间溶盐、调浆（氯化钠、氢氧化钠）投料过程中未集中收集的部分逸出粉尘。</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粉状物料投料控制要求：易产生粉尘的固体物料采用固体粉料自动投料系统、螺旋推进式投料系统等密闭投料装置，若难以实现密闭投料的，将投料口密闭隔离，采用负压排气将投料尾气有效收集至废气处理系统。</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33" w:name="_Toc2418"/>
      <w:bookmarkStart w:id="734" w:name="_Toc9979"/>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.2.1.5废气处理措施可行性结论</w:t>
      </w:r>
      <w:bookmarkEnd w:id="733"/>
      <w:bookmarkEnd w:id="734"/>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综上所述，本项目所产生的废气均能够得到有效治理。</w:t>
      </w:r>
      <w:r>
        <w:rPr>
          <w:rFonts w:hint="eastAsia" w:ascii="Times New Roman" w:hAnsi="Times New Roman" w:eastAsiaTheme="minorEastAsia"/>
          <w:color w:val="000000" w:themeColor="text1"/>
          <w:sz w:val="24"/>
          <w14:textFill>
            <w14:solidFill>
              <w14:schemeClr w14:val="tx1"/>
            </w14:solidFill>
          </w14:textFill>
        </w:rPr>
        <w:t>根据上述分析可知，废气污染物氟化物、HCl、颗粒物排放浓度均可满足《无机化学工业污染物排放标准》（GB31573-2015）表3中限值要求，项目各项污染物均可实现达标排放；根据预测结果可知，采取合理处理措施后，项目各项废气污染物占标率均较小，能够满足相应环境质量标准的要求，项目对周边环境的影响较小，项目废气处理措施合理可行。</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35" w:name="_Toc11944"/>
      <w:bookmarkStart w:id="736" w:name="_Toc23789"/>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.2.2废水污染防治措施</w:t>
      </w:r>
      <w:bookmarkEnd w:id="721"/>
      <w:bookmarkEnd w:id="722"/>
      <w:bookmarkEnd w:id="723"/>
      <w:bookmarkEnd w:id="724"/>
      <w:r>
        <w:rPr>
          <w:rFonts w:hint="eastAsia" w:ascii="Times New Roman" w:hAnsi="Times New Roman" w:eastAsia="黑体"/>
          <w:b/>
          <w:color w:val="000000" w:themeColor="text1"/>
          <w:kern w:val="0"/>
          <w:sz w:val="28"/>
          <w:szCs w:val="28"/>
          <w14:textFill>
            <w14:solidFill>
              <w14:schemeClr w14:val="tx1"/>
            </w14:solidFill>
          </w14:textFill>
        </w:rPr>
        <w:t>可行性分析</w:t>
      </w:r>
      <w:bookmarkEnd w:id="735"/>
      <w:bookmarkEnd w:id="736"/>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37" w:name="_Toc5347"/>
      <w:bookmarkStart w:id="738" w:name="_Toc28024"/>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.2.2.1废水治理措施简述</w:t>
      </w:r>
      <w:bookmarkEnd w:id="737"/>
      <w:bookmarkEnd w:id="738"/>
    </w:p>
    <w:p>
      <w:pPr>
        <w:pStyle w:val="385"/>
        <w:adjustRightInd w:val="0"/>
        <w:snapToGrid w:val="0"/>
        <w:spacing w:line="520" w:lineRule="exact"/>
        <w:ind w:firstLine="480"/>
        <w:jc w:val="left"/>
        <w:rPr>
          <w:rFonts w:cs="Times New Roman" w:hAnsiTheme="minorEastAsia" w:eastAsiaTheme="minorEastAsia"/>
          <w:color w:val="000000" w:themeColor="text1"/>
          <w14:textFill>
            <w14:solidFill>
              <w14:schemeClr w14:val="tx1"/>
            </w14:solidFill>
          </w14:textFill>
        </w:rPr>
      </w:pPr>
      <w:r>
        <w:rPr>
          <w:snapToGrid w:val="0"/>
          <w:color w:val="000000" w:themeColor="text1"/>
          <w14:textFill>
            <w14:solidFill>
              <w14:schemeClr w14:val="tx1"/>
            </w14:solidFill>
          </w14:textFill>
        </w:rPr>
        <w:t>本项目</w:t>
      </w:r>
      <w:r>
        <w:rPr>
          <w:rFonts w:hint="eastAsia"/>
          <w:snapToGrid w:val="0"/>
          <w:color w:val="000000" w:themeColor="text1"/>
          <w14:textFill>
            <w14:solidFill>
              <w14:schemeClr w14:val="tx1"/>
            </w14:solidFill>
          </w14:textFill>
        </w:rPr>
        <w:t>运营期全厂废水总排放量为1.92</w:t>
      </w:r>
      <w:r>
        <w:rPr>
          <w:snapToGrid w:val="0"/>
          <w:color w:val="000000" w:themeColor="text1"/>
          <w14:textFill>
            <w14:solidFill>
              <w14:schemeClr w14:val="tx1"/>
            </w14:solidFill>
          </w14:textFill>
        </w:rPr>
        <w:t>m</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/d</w:t>
      </w:r>
      <w:r>
        <w:rPr>
          <w:rFonts w:hint="eastAsia"/>
          <w:snapToGrid w:val="0"/>
          <w:color w:val="000000" w:themeColor="text1"/>
          <w14:textFill>
            <w14:solidFill>
              <w14:schemeClr w14:val="tx1"/>
            </w14:solidFill>
          </w14:textFill>
        </w:rPr>
        <w:t>（576</w:t>
      </w:r>
      <w:r>
        <w:rPr>
          <w:snapToGrid w:val="0"/>
          <w:color w:val="000000" w:themeColor="text1"/>
          <w14:textFill>
            <w14:solidFill>
              <w14:schemeClr w14:val="tx1"/>
            </w14:solidFill>
          </w14:textFill>
        </w:rPr>
        <w:t>m</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a），本项目运营期废水主要包括循环冷却水排水、污蒸汽冷凝液排水、蒸汽冷凝液排水、尾气洗涤废液、离心洗涤废水、生活污水；循环冷却水排水作为清净下水经雨水管网排放；污蒸汽冷凝液部分回用于溶盐槽溶盐、离心洗涤、尾气吸收、循环冷却补水，多余部分作为清净下水经雨水管网排放；蒸汽冷凝液部分回用于厂区绿化洒水，多余部分作为清净下水经雨水管网排放；尾气洗涤废液定期泵送至中和槽回用于生产，离心洗涤废水</w:t>
      </w:r>
      <w:r>
        <w:rPr>
          <w:rFonts w:hint="eastAsia" w:cs="Times New Roman" w:hAnsiTheme="minorEastAsia" w:eastAsiaTheme="minorEastAsia"/>
          <w:color w:val="000000" w:themeColor="text1"/>
          <w14:textFill>
            <w14:solidFill>
              <w14:schemeClr w14:val="tx1"/>
            </w14:solidFill>
          </w14:textFill>
        </w:rPr>
        <w:t>经母液槽最终进入中和槽回用于生产，不外排</w:t>
      </w:r>
      <w:r>
        <w:rPr>
          <w:rFonts w:hint="eastAsia" w:cs="Times New Roman" w:hAnsiTheme="minorEastAsia"/>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生活污水经厂区化粪池收集处理后排入园区污水管网最终进入三板湖污水处理厂深度处理。</w:t>
      </w:r>
      <w:r>
        <w:rPr>
          <w:rFonts w:hint="eastAsia" w:cs="Times New Roman" w:hAnsiTheme="minorEastAsia" w:eastAsiaTheme="minorEastAsia"/>
          <w:color w:val="000000" w:themeColor="text1"/>
          <w14:textFill>
            <w14:solidFill>
              <w14:schemeClr w14:val="tx1"/>
            </w14:solidFill>
          </w14:textFill>
        </w:rPr>
        <w:t>本项目全厂废水关系流向详见项目水平衡图。</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39" w:name="_Toc32657"/>
      <w:bookmarkStart w:id="740" w:name="_Toc25504"/>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.2.2.2废水治理措施可行性分析</w:t>
      </w:r>
      <w:bookmarkEnd w:id="739"/>
      <w:bookmarkEnd w:id="740"/>
    </w:p>
    <w:p>
      <w:pPr>
        <w:pStyle w:val="385"/>
        <w:adjustRightInd w:val="0"/>
        <w:snapToGrid w:val="0"/>
        <w:spacing w:line="520" w:lineRule="exact"/>
        <w:ind w:firstLine="480"/>
        <w:rPr>
          <w:rFonts w:cs="Times New Roman" w:eastAsiaTheme="minorEastAsia"/>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本项目生活污水拟通过化粪池进行处理，化粪池设计处理能力为</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rFonts w:hint="eastAsia"/>
          <w:snapToGrid w:val="0"/>
          <w:color w:val="000000" w:themeColor="text1"/>
          <w14:textFill>
            <w14:solidFill>
              <w14:schemeClr w14:val="tx1"/>
            </w14:solidFill>
          </w14:textFill>
        </w:rPr>
        <w:t>处理能力能够满足需求，根据前文工程分析可知生活污水经化粪池处理后各污染物排放浓度可满足《污水综合排放标准》（GB8978-1996）中三级标准要求；尾气洗涤废液、离心洗涤废水进入系统回用于生产能够有效回收废水中的氟，提高氟收率，避免含氟废水外排。综上，本项目废水治理措施可行。</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41" w:name="_Toc19096"/>
      <w:bookmarkStart w:id="742" w:name="_Toc3330"/>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.2.2.3依托污水处理设施可行性分析</w:t>
      </w:r>
      <w:bookmarkEnd w:id="741"/>
      <w:bookmarkEnd w:id="742"/>
    </w:p>
    <w:p>
      <w:pPr>
        <w:pStyle w:val="385"/>
        <w:adjustRightInd w:val="0"/>
        <w:snapToGrid w:val="0"/>
        <w:spacing w:line="520" w:lineRule="exact"/>
        <w:ind w:firstLine="480"/>
        <w:rPr>
          <w:rFonts w:cs="Times New Roman" w:hAnsiTheme="minorEastAsia" w:eastAsiaTheme="minorEastAsia"/>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本项目所在区域位于三板湖污水处理厂纳污范围内，目前管网建设已对接至本项目区域。本项目生活废水经厂区化粪池预处理达到接管标准后排至三板湖污水处理厂。三板湖污水处理厂设计近期处理规模为3万m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/d，远期5万m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/d。本项目最大废水排放量为1.92m</w:t>
      </w:r>
      <w:r>
        <w:rPr>
          <w:rFonts w:hint="eastAsia"/>
          <w:snapToGrid w:val="0"/>
          <w:color w:val="000000" w:themeColor="text1"/>
          <w:vertAlign w:val="superscript"/>
          <w14:textFill>
            <w14:solidFill>
              <w14:schemeClr w14:val="tx1"/>
            </w14:solidFill>
          </w14:textFill>
        </w:rPr>
        <w:t>3</w:t>
      </w:r>
      <w:r>
        <w:rPr>
          <w:rFonts w:hint="eastAsia"/>
          <w:snapToGrid w:val="0"/>
          <w:color w:val="000000" w:themeColor="text1"/>
          <w14:textFill>
            <w14:solidFill>
              <w14:schemeClr w14:val="tx1"/>
            </w14:solidFill>
          </w14:textFill>
        </w:rPr>
        <w:t>/d，排放水量极小。项目废水主要污染物为COD、BOD、SS、氨氮、总磷等，水质简单，经预处理后出水水质可满足《污水综合排放标准》（GB8978-1996）中三级标准，不会对三板湖污水处理厂正常运行产生较大影响。因此本项目生活污水经化粪池处理后由园区污水管网排入三板湖污水处理厂处理是可行的。</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43" w:name="_Toc447535176"/>
      <w:bookmarkStart w:id="744" w:name="_Toc29083"/>
      <w:bookmarkStart w:id="745" w:name="_Toc24250"/>
      <w:bookmarkStart w:id="746" w:name="_Toc9146"/>
      <w:bookmarkStart w:id="747" w:name="_Toc28836"/>
      <w:bookmarkStart w:id="748" w:name="_Toc21293"/>
      <w:bookmarkStart w:id="749" w:name="_Toc325552430"/>
      <w:bookmarkStart w:id="750" w:name="_Toc28834"/>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.2.3地下水污染防治措施</w:t>
      </w:r>
      <w:bookmarkEnd w:id="743"/>
      <w:bookmarkEnd w:id="744"/>
      <w:r>
        <w:rPr>
          <w:rFonts w:hint="eastAsia" w:ascii="Times New Roman" w:hAnsi="Times New Roman" w:eastAsia="黑体"/>
          <w:b/>
          <w:color w:val="000000" w:themeColor="text1"/>
          <w:kern w:val="0"/>
          <w:sz w:val="28"/>
          <w:szCs w:val="28"/>
          <w14:textFill>
            <w14:solidFill>
              <w14:schemeClr w14:val="tx1"/>
            </w14:solidFill>
          </w14:textFill>
        </w:rPr>
        <w:t>可行性分析</w:t>
      </w:r>
      <w:bookmarkEnd w:id="745"/>
      <w:bookmarkEnd w:id="746"/>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bookmarkStart w:id="751" w:name="_Toc22317"/>
      <w:bookmarkStart w:id="752" w:name="_Toc31869"/>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53" w:name="_Toc16222"/>
      <w:bookmarkStart w:id="754" w:name="_Toc17316"/>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.2.3.1地下水污染防治原则</w:t>
      </w:r>
      <w:bookmarkEnd w:id="751"/>
      <w:bookmarkEnd w:id="752"/>
      <w:bookmarkEnd w:id="753"/>
      <w:bookmarkEnd w:id="754"/>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拟建项目物料中涉及多种危险化学品，</w:t>
      </w:r>
      <w:r>
        <w:rPr>
          <w:rFonts w:ascii="Times New Roman" w:hAnsiTheme="minorEastAsia" w:eastAsiaTheme="minorEastAsia"/>
          <w:color w:val="000000" w:themeColor="text1"/>
          <w:sz w:val="24"/>
          <w:szCs w:val="24"/>
          <w14:textFill>
            <w14:solidFill>
              <w14:schemeClr w14:val="tx1"/>
            </w14:solidFill>
          </w14:textFill>
        </w:rPr>
        <w:t>地下水污染防治措施坚持</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源头控制、末端防治、污染监控、应急响应相结合</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的原则，即采取主动控制和被动控制相结合的措施。</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cs="Times New Roman" w:hAnsiTheme="minorEastAsia"/>
          <w:color w:val="000000" w:themeColor="text1"/>
          <w:sz w:val="24"/>
          <w:szCs w:val="24"/>
          <w14:textFill>
            <w14:solidFill>
              <w14:schemeClr w14:val="tx1"/>
            </w14:solidFill>
          </w14:textFill>
        </w:rPr>
        <w:t>主动控制，即从源头控制措施，</w:t>
      </w:r>
      <w:r>
        <w:rPr>
          <w:rFonts w:ascii="Times New Roman" w:cs="Times New Roman" w:hAnsiTheme="minorEastAsia"/>
          <w:color w:val="000000" w:themeColor="text1"/>
          <w:spacing w:val="-3"/>
          <w:sz w:val="24"/>
          <w:szCs w:val="24"/>
          <w14:textFill>
            <w14:solidFill>
              <w14:schemeClr w14:val="tx1"/>
            </w14:solidFill>
          </w14:textFill>
        </w:rPr>
        <w:t>防止和降低污染物跑、冒、滴、漏，将污染物泄漏的环</w:t>
      </w:r>
      <w:r>
        <w:rPr>
          <w:rFonts w:ascii="Times New Roman" w:cs="Times New Roman" w:hAnsiTheme="minorEastAsia"/>
          <w:color w:val="000000" w:themeColor="text1"/>
          <w:sz w:val="24"/>
          <w:szCs w:val="24"/>
          <w14:textFill>
            <w14:solidFill>
              <w14:schemeClr w14:val="tx1"/>
            </w14:solidFill>
          </w14:textFill>
        </w:rPr>
        <w:t>境风险事故降到最低程度。</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cs="Times New Roman" w:hAnsiTheme="minorEastAsia"/>
          <w:color w:val="000000" w:themeColor="text1"/>
          <w:spacing w:val="-3"/>
          <w:sz w:val="24"/>
          <w:szCs w:val="24"/>
          <w14:textFill>
            <w14:solidFill>
              <w14:schemeClr w14:val="tx1"/>
            </w14:solidFill>
          </w14:textFill>
        </w:rPr>
        <w:t>被动控制，即末端控制措施，主要包括厂内污染区地面的防渗措施和泄漏、渗漏污染物收集措施，即在污染区地面进行防渗处理，防止洒落地面的污染物渗入地</w:t>
      </w:r>
      <w:r>
        <w:rPr>
          <w:rFonts w:ascii="Times New Roman" w:cs="Times New Roman" w:hAnsiTheme="minorEastAsia"/>
          <w:color w:val="000000" w:themeColor="text1"/>
          <w:sz w:val="24"/>
          <w:szCs w:val="24"/>
          <w14:textFill>
            <w14:solidFill>
              <w14:schemeClr w14:val="tx1"/>
            </w14:solidFill>
          </w14:textFill>
        </w:rPr>
        <w:t>下，并把滞留在地面的污染物收集起来，集中送至综合污水处理站处理。</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cs="Times New Roman" w:hAnsiTheme="minorEastAsia"/>
          <w:color w:val="000000" w:themeColor="text1"/>
          <w:sz w:val="24"/>
          <w:szCs w:val="24"/>
          <w14:textFill>
            <w14:solidFill>
              <w14:schemeClr w14:val="tx1"/>
            </w14:solidFill>
          </w14:textFill>
        </w:rPr>
        <w:t>以特殊装置区为主，一般生产区为辅；事故易发区为主，一般区为辅。</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cs="Times New Roman" w:hAnsiTheme="minorEastAsia"/>
          <w:color w:val="000000" w:themeColor="text1"/>
          <w:sz w:val="24"/>
          <w:szCs w:val="24"/>
          <w14:textFill>
            <w14:solidFill>
              <w14:schemeClr w14:val="tx1"/>
            </w14:solidFill>
          </w14:textFill>
        </w:rPr>
        <w:t>应急响应措施，包括一旦发现地下水污染事故，立即启动应急预案、采取应急措施控制地下水污染，并使污染得到治理。</w:t>
      </w:r>
    </w:p>
    <w:p>
      <w:pPr>
        <w:pStyle w:val="2"/>
        <w:snapToGrid w:val="0"/>
        <w:spacing w:after="0" w:line="520" w:lineRule="exact"/>
        <w:ind w:firstLine="480" w:firstLineChars="200"/>
        <w:rPr>
          <w:rFonts w:ascii="Times New Roman" w:cs="Times New Roman" w:hAnsiTheme="minorEastAsia"/>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cs="Times New Roman" w:hAnsiTheme="minorEastAsia"/>
          <w:color w:val="000000" w:themeColor="text1"/>
          <w:sz w:val="24"/>
          <w:szCs w:val="24"/>
          <w14:textFill>
            <w14:solidFill>
              <w14:schemeClr w14:val="tx1"/>
            </w14:solidFill>
          </w14:textFill>
        </w:rPr>
        <w:t>各区域防渗设计采取地上污染地上防治设计原则，严防污水下渗污染地下水。</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55" w:name="_Toc4165"/>
      <w:bookmarkStart w:id="756" w:name="_Toc8610"/>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.2.3.2防渗漏措施</w:t>
      </w:r>
      <w:bookmarkEnd w:id="755"/>
      <w:bookmarkEnd w:id="756"/>
    </w:p>
    <w:p>
      <w:pPr>
        <w:pStyle w:val="2"/>
        <w:snapToGrid w:val="0"/>
        <w:spacing w:after="0" w:line="520" w:lineRule="exact"/>
        <w:ind w:firstLine="468" w:firstLineChars="200"/>
        <w:rPr>
          <w:rFonts w:ascii="Times New Roman" w:cs="Times New Roman" w:hAnsiTheme="minorEastAsia"/>
          <w:color w:val="000000" w:themeColor="text1"/>
          <w:sz w:val="24"/>
          <w:szCs w:val="24"/>
          <w14:textFill>
            <w14:solidFill>
              <w14:schemeClr w14:val="tx1"/>
            </w14:solidFill>
          </w14:textFill>
        </w:rPr>
      </w:pPr>
      <w:r>
        <w:rPr>
          <w:rFonts w:ascii="Times New Roman" w:cs="Times New Roman" w:hAnsiTheme="minorEastAsia"/>
          <w:color w:val="000000" w:themeColor="text1"/>
          <w:spacing w:val="-3"/>
          <w:sz w:val="24"/>
          <w:szCs w:val="24"/>
          <w14:textFill>
            <w14:solidFill>
              <w14:schemeClr w14:val="tx1"/>
            </w14:solidFill>
          </w14:textFill>
        </w:rPr>
        <w:t>建设单位应针对不同的区域采取相应的防渗措施，需对生产车间、</w:t>
      </w:r>
      <w:r>
        <w:rPr>
          <w:rFonts w:hint="eastAsia" w:ascii="Times New Roman" w:cs="Times New Roman" w:hAnsiTheme="minorEastAsia"/>
          <w:color w:val="000000" w:themeColor="text1"/>
          <w:spacing w:val="-3"/>
          <w:sz w:val="24"/>
          <w:szCs w:val="24"/>
          <w14:textFill>
            <w14:solidFill>
              <w14:schemeClr w14:val="tx1"/>
            </w14:solidFill>
          </w14:textFill>
        </w:rPr>
        <w:t>综合仓库、罐区、</w:t>
      </w:r>
      <w:r>
        <w:rPr>
          <w:rFonts w:ascii="Times New Roman" w:cs="Times New Roman" w:hAnsiTheme="minorEastAsia"/>
          <w:color w:val="000000" w:themeColor="text1"/>
          <w:spacing w:val="-3"/>
          <w:sz w:val="24"/>
          <w:szCs w:val="24"/>
          <w14:textFill>
            <w14:solidFill>
              <w14:schemeClr w14:val="tx1"/>
            </w14:solidFill>
          </w14:textFill>
        </w:rPr>
        <w:t>危废暂存间等采取相应的防渗、防腐、防溢流等措施，并在厂区内设置事故应急池，事故</w:t>
      </w:r>
      <w:r>
        <w:rPr>
          <w:rFonts w:ascii="Times New Roman" w:cs="Times New Roman" w:hAnsiTheme="minorEastAsia"/>
          <w:color w:val="000000" w:themeColor="text1"/>
          <w:sz w:val="24"/>
          <w:szCs w:val="24"/>
          <w14:textFill>
            <w14:solidFill>
              <w14:schemeClr w14:val="tx1"/>
            </w14:solidFill>
          </w14:textFill>
        </w:rPr>
        <w:t>应急池需满足相关设置要求，杜绝环境污染事故发生。</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57" w:name="_Toc10057"/>
      <w:bookmarkStart w:id="758" w:name="_Toc20648"/>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.2.3.3源头控制措施</w:t>
      </w:r>
      <w:bookmarkEnd w:id="757"/>
      <w:bookmarkEnd w:id="758"/>
    </w:p>
    <w:p>
      <w:pPr>
        <w:pStyle w:val="2"/>
        <w:snapToGrid w:val="0"/>
        <w:spacing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应严格按照国家相关规范要求，对工艺、管道、设备、污水储存及处理构筑物采取相应的措施，以防止和降低污染物的跑、冒、滴、漏，将环境风险事故降低到最低。优化排水系统设计，生产装置区内易产生渗漏的设备尽可能按其物料的物性分类集中布置。对于不同物料性质的区域，分别设置围堰，围堰设排水导流沟与应急池相连，地面采取混凝土铺设。</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管线敷设尽量采用可视化原则，即管道采用地上敷设，做到污染物早发现、早处理，以减少由于埋地管道泄漏而可能造成的地下水、土壤污染风险。</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59" w:name="_Toc15977"/>
      <w:bookmarkStart w:id="760" w:name="_Toc19238"/>
      <w:bookmarkStart w:id="761" w:name="_Toc24197"/>
      <w:bookmarkStart w:id="762" w:name="_Toc8709"/>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.2.3.4地下水污染分区防治措施</w:t>
      </w:r>
      <w:bookmarkEnd w:id="759"/>
      <w:bookmarkEnd w:id="760"/>
      <w:bookmarkEnd w:id="761"/>
      <w:bookmarkEnd w:id="762"/>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（1）项目</w:t>
      </w:r>
      <w:r>
        <w:rPr>
          <w:rFonts w:ascii="Times New Roman" w:hAnsiTheme="minorEastAsia" w:eastAsiaTheme="minorEastAsia"/>
          <w:color w:val="000000" w:themeColor="text1"/>
          <w:sz w:val="24"/>
          <w14:textFill>
            <w14:solidFill>
              <w14:schemeClr w14:val="tx1"/>
            </w14:solidFill>
          </w14:textFill>
        </w:rPr>
        <w:t>防腐防渗分区</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项目分为重点污染防治区、一般污染防治区和非污染防治区。</w:t>
      </w:r>
      <w:r>
        <w:rPr>
          <w:rFonts w:ascii="Times New Roman" w:hAnsiTheme="minorEastAsia"/>
          <w:color w:val="000000" w:themeColor="text1"/>
          <w:sz w:val="24"/>
          <w:szCs w:val="24"/>
          <w14:textFill>
            <w14:solidFill>
              <w14:schemeClr w14:val="tx1"/>
            </w14:solidFill>
          </w14:textFill>
        </w:rPr>
        <w:t>具体见附图。</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重点污染防治区指在生产过程中有可能发生物料或含有污染物的介质泄漏到地面或地下的区域。包括：生产车间、</w:t>
      </w:r>
      <w:r>
        <w:rPr>
          <w:rFonts w:hint="eastAsia" w:ascii="Times New Roman" w:hAnsiTheme="minorEastAsia" w:eastAsiaTheme="minorEastAsia"/>
          <w:bCs/>
          <w:color w:val="000000" w:themeColor="text1"/>
          <w:sz w:val="24"/>
          <w14:textFill>
            <w14:solidFill>
              <w14:schemeClr w14:val="tx1"/>
            </w14:solidFill>
          </w14:textFill>
        </w:rPr>
        <w:t>罐区</w:t>
      </w:r>
      <w:r>
        <w:rPr>
          <w:rFonts w:ascii="Times New Roman" w:hAnsiTheme="minorEastAsia" w:eastAsiaTheme="minorEastAsia"/>
          <w:bCs/>
          <w:color w:val="000000" w:themeColor="text1"/>
          <w:sz w:val="24"/>
          <w14:textFill>
            <w14:solidFill>
              <w14:schemeClr w14:val="tx1"/>
            </w14:solidFill>
          </w14:textFill>
        </w:rPr>
        <w:t>、危废暂存间</w:t>
      </w:r>
      <w:r>
        <w:rPr>
          <w:rFonts w:ascii="Times New Roman" w:hAnsiTheme="minorEastAsia" w:eastAsiaTheme="minorEastAsia"/>
          <w:color w:val="000000" w:themeColor="text1"/>
          <w:sz w:val="24"/>
          <w14:textFill>
            <w14:solidFill>
              <w14:schemeClr w14:val="tx1"/>
            </w14:solidFill>
          </w14:textFill>
        </w:rPr>
        <w:t>等，参照《危险废物贮存污染控制标准》</w:t>
      </w:r>
      <w:r>
        <w:rPr>
          <w:rFonts w:ascii="Times New Roman" w:hAnsi="Times New Roman" w:eastAsiaTheme="minorEastAsia"/>
          <w:color w:val="000000" w:themeColor="text1"/>
          <w:sz w:val="24"/>
          <w14:textFill>
            <w14:solidFill>
              <w14:schemeClr w14:val="tx1"/>
            </w14:solidFill>
          </w14:textFill>
        </w:rPr>
        <w:t>(GB18597-2001)</w:t>
      </w:r>
      <w:r>
        <w:rPr>
          <w:rFonts w:ascii="Times New Roman" w:hAnsiTheme="minorEastAsia" w:eastAsiaTheme="minorEastAsia"/>
          <w:color w:val="000000" w:themeColor="text1"/>
          <w:sz w:val="24"/>
          <w14:textFill>
            <w14:solidFill>
              <w14:schemeClr w14:val="tx1"/>
            </w14:solidFill>
          </w14:textFill>
        </w:rPr>
        <w:t>采取严格的防腐、防渗措施。</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一般污染防治区是指在生产过程中有可能发生低污染的固</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粉</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体物料泄漏到地面上的区域。主要是</w:t>
      </w:r>
      <w:r>
        <w:rPr>
          <w:rFonts w:hint="eastAsia" w:ascii="Times New Roman" w:hAnsiTheme="minorEastAsia" w:eastAsiaTheme="minorEastAsia"/>
          <w:color w:val="000000" w:themeColor="text1"/>
          <w:sz w:val="24"/>
          <w14:textFill>
            <w14:solidFill>
              <w14:schemeClr w14:val="tx1"/>
            </w14:solidFill>
          </w14:textFill>
        </w:rPr>
        <w:t>综合仓库</w:t>
      </w:r>
      <w:r>
        <w:rPr>
          <w:rFonts w:ascii="Times New Roman" w:hAnsiTheme="minorEastAsia" w:eastAsiaTheme="minorEastAsia"/>
          <w:color w:val="000000" w:themeColor="text1"/>
          <w:sz w:val="24"/>
          <w14:textFill>
            <w14:solidFill>
              <w14:schemeClr w14:val="tx1"/>
            </w14:solidFill>
          </w14:textFill>
        </w:rPr>
        <w:t>，参照《一般工业固体废物贮存、处置场污染控制标准》</w:t>
      </w:r>
      <w:r>
        <w:rPr>
          <w:rFonts w:ascii="Times New Roman" w:hAnsi="Times New Roman" w:eastAsiaTheme="minorEastAsia"/>
          <w:color w:val="000000" w:themeColor="text1"/>
          <w:sz w:val="24"/>
          <w14:textFill>
            <w14:solidFill>
              <w14:schemeClr w14:val="tx1"/>
            </w14:solidFill>
          </w14:textFill>
        </w:rPr>
        <w:t>(GB18599-2001)</w:t>
      </w:r>
      <w:r>
        <w:rPr>
          <w:rFonts w:ascii="Times New Roman" w:hAnsiTheme="minorEastAsia" w:eastAsiaTheme="minorEastAsia"/>
          <w:color w:val="000000" w:themeColor="text1"/>
          <w:sz w:val="24"/>
          <w14:textFill>
            <w14:solidFill>
              <w14:schemeClr w14:val="tx1"/>
            </w14:solidFill>
          </w14:textFill>
        </w:rPr>
        <w:t>中二类场的要求，制定防腐、防渗措施。</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非污染防治区包括办公楼</w:t>
      </w:r>
      <w:r>
        <w:rPr>
          <w:rFonts w:hint="eastAsia" w:ascii="Times New Roman" w:hAnsiTheme="minorEastAsia" w:eastAsiaTheme="minorEastAsia"/>
          <w:color w:val="000000" w:themeColor="text1"/>
          <w:sz w:val="24"/>
          <w14:textFill>
            <w14:solidFill>
              <w14:schemeClr w14:val="tx1"/>
            </w14:solidFill>
          </w14:textFill>
        </w:rPr>
        <w:t>、变配电室、消防水池</w:t>
      </w:r>
      <w:r>
        <w:rPr>
          <w:rFonts w:ascii="Times New Roman" w:hAnsiTheme="minorEastAsia" w:eastAsiaTheme="minorEastAsia"/>
          <w:color w:val="000000" w:themeColor="text1"/>
          <w:sz w:val="24"/>
          <w14:textFill>
            <w14:solidFill>
              <w14:schemeClr w14:val="tx1"/>
            </w14:solidFill>
          </w14:textFill>
        </w:rPr>
        <w:t>等。该区域由于基本没有污染，按常规工程进行设计和建设。</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结合建设项目各生产设备、管廊或管线、贮存与运输装置、污染物贮存与处理装置、事故应急装置等的布局，根据可能进入地下水环境的各种有毒有害原辅材料、中间物料和产品的泄漏（含跑、冒、滴、漏）量及其他各类污染物的性质、产生量和排放量，划分污染防治区，提出不同区域的地面防渗方案，给出具体的防渗材料及防渗标准要求，建立防渗设施的检漏系统。以特殊装置区为主，一般生产区为辅；事故易发区为主，一般区为辅。厂内污染防治分区见下表</w:t>
      </w:r>
      <w:r>
        <w:rPr>
          <w:rFonts w:hint="eastAsia" w:ascii="Times New Roman" w:hAnsi="Times New Roman" w:eastAsiaTheme="minorEastAsia"/>
          <w:color w:val="000000" w:themeColor="text1"/>
          <w:sz w:val="24"/>
          <w:lang w:val="en-US" w:eastAsia="zh-CN"/>
          <w14:textFill>
            <w14:solidFill>
              <w14:schemeClr w14:val="tx1"/>
            </w14:solidFill>
          </w14:textFill>
        </w:rPr>
        <w:t>8</w:t>
      </w:r>
      <w:r>
        <w:rPr>
          <w:rFonts w:hint="eastAsia" w:ascii="Times New Roman" w:hAnsi="Times New Roman" w:eastAsiaTheme="minorEastAsia"/>
          <w:color w:val="000000" w:themeColor="text1"/>
          <w:sz w:val="24"/>
          <w14:textFill>
            <w14:solidFill>
              <w14:schemeClr w14:val="tx1"/>
            </w14:solidFill>
          </w14:textFill>
        </w:rPr>
        <w:t>.2-4。</w:t>
      </w:r>
    </w:p>
    <w:p>
      <w:pPr>
        <w:adjustRightInd w:val="0"/>
        <w:snapToGrid w:val="0"/>
        <w:spacing w:line="520" w:lineRule="exact"/>
        <w:jc w:val="center"/>
        <w:rPr>
          <w:rFonts w:ascii="Times New Roman" w:hAnsi="Times New Roman" w:eastAsiaTheme="minorEastAsia"/>
          <w:b/>
          <w:color w:val="000000" w:themeColor="text1"/>
          <w:sz w:val="24"/>
          <w14:textFill>
            <w14:solidFill>
              <w14:schemeClr w14:val="tx1"/>
            </w14:solidFill>
          </w14:textFill>
        </w:rPr>
      </w:pPr>
      <w:r>
        <w:rPr>
          <w:rFonts w:hint="eastAsia" w:ascii="Times New Roman" w:hAnsi="Times New Roman" w:eastAsiaTheme="minorEastAsia"/>
          <w:b/>
          <w:color w:val="000000" w:themeColor="text1"/>
          <w:sz w:val="24"/>
          <w14:textFill>
            <w14:solidFill>
              <w14:schemeClr w14:val="tx1"/>
            </w14:solidFill>
          </w14:textFill>
        </w:rPr>
        <w:t>表</w:t>
      </w:r>
      <w:r>
        <w:rPr>
          <w:rFonts w:hint="eastAsia" w:ascii="Times New Roman" w:hAnsi="Times New Roman" w:eastAsiaTheme="minorEastAsia"/>
          <w:b/>
          <w:color w:val="000000" w:themeColor="text1"/>
          <w:sz w:val="24"/>
          <w:lang w:val="en-US" w:eastAsia="zh-CN"/>
          <w14:textFill>
            <w14:solidFill>
              <w14:schemeClr w14:val="tx1"/>
            </w14:solidFill>
          </w14:textFill>
        </w:rPr>
        <w:t>8</w:t>
      </w:r>
      <w:r>
        <w:rPr>
          <w:rFonts w:hint="eastAsia" w:ascii="Times New Roman" w:hAnsi="Times New Roman" w:eastAsiaTheme="minorEastAsia"/>
          <w:b/>
          <w:color w:val="000000" w:themeColor="text1"/>
          <w:sz w:val="24"/>
          <w14:textFill>
            <w14:solidFill>
              <w14:schemeClr w14:val="tx1"/>
            </w14:solidFill>
          </w14:textFill>
        </w:rPr>
        <w:t>.2-4  防渗分区一览表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15"/>
        <w:gridCol w:w="4278"/>
        <w:gridCol w:w="15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装置、单元名称</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污染防治区域及部位</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防治类别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生产车间</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地面</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重点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储罐区</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罐区地面、围堰，储罐基础</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重点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管道工程</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废水、物料输送管道、导流沟渠</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重点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危废暂存间</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地面及裙脚</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重点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风险应急措施</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事故应急池的底板和壁板</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重点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公用工程</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综合仓库</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15"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辅助工程</w:t>
            </w:r>
          </w:p>
        </w:tc>
        <w:tc>
          <w:tcPr>
            <w:tcW w:w="4278"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综合楼、消防水池等</w:t>
            </w:r>
          </w:p>
        </w:tc>
        <w:tc>
          <w:tcPr>
            <w:tcW w:w="15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简单</w:t>
            </w:r>
          </w:p>
        </w:tc>
      </w:tr>
    </w:tbl>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（2）分区</w:t>
      </w:r>
      <w:r>
        <w:rPr>
          <w:rFonts w:ascii="Times New Roman" w:hAnsiTheme="minorEastAsia" w:eastAsiaTheme="minorEastAsia"/>
          <w:color w:val="000000" w:themeColor="text1"/>
          <w:sz w:val="24"/>
          <w14:textFill>
            <w14:solidFill>
              <w14:schemeClr w14:val="tx1"/>
            </w14:solidFill>
          </w14:textFill>
        </w:rPr>
        <w:t>防渗</w:t>
      </w:r>
      <w:r>
        <w:rPr>
          <w:rFonts w:hint="eastAsia" w:ascii="Times New Roman" w:hAnsiTheme="minorEastAsia" w:eastAsiaTheme="minorEastAsia"/>
          <w:color w:val="000000" w:themeColor="text1"/>
          <w:sz w:val="24"/>
          <w14:textFill>
            <w14:solidFill>
              <w14:schemeClr w14:val="tx1"/>
            </w14:solidFill>
          </w14:textFill>
        </w:rPr>
        <w:t>措施技术要求</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污染物对地下水的影响主要是通过垂直渗透进入包气带，进入包气带的污染物在物理、化学和生物作用下经吸附、转化、迁移和分解后输入地下水。因此，包气带是连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据 HJ610-2016 要求，防渗分区应根据建设项目场地天然包气带防污性能、污染控制难易程度和污染物特性，参照下表提出防渗技术要求。</w:t>
      </w:r>
    </w:p>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8</w:t>
      </w:r>
      <w:r>
        <w:rPr>
          <w:rFonts w:ascii="Times New Roman" w:hAnsi="Times New Roman"/>
          <w:b/>
          <w:bCs/>
          <w:color w:val="000000" w:themeColor="text1"/>
          <w:sz w:val="24"/>
          <w:szCs w:val="24"/>
          <w14:textFill>
            <w14:solidFill>
              <w14:schemeClr w14:val="tx1"/>
            </w14:solidFill>
          </w14:textFill>
        </w:rPr>
        <w:t>.2-</w:t>
      </w:r>
      <w:r>
        <w:rPr>
          <w:rFonts w:hint="eastAsia" w:ascii="Times New Roman" w:hAnsi="Times New Roman"/>
          <w:b/>
          <w:bCs/>
          <w:color w:val="000000" w:themeColor="text1"/>
          <w:sz w:val="24"/>
          <w:szCs w:val="24"/>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 xml:space="preserve"> </w:t>
      </w:r>
      <w:r>
        <w:rPr>
          <w:rFonts w:hint="eastAsia" w:ascii="Times New Roman" w:hAnsi="Times New Roman"/>
          <w:b/>
          <w:bCs/>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污染控制难易程度分级参照表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2000"/>
        <w:gridCol w:w="69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000"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污染控制难易程度</w:t>
            </w:r>
          </w:p>
        </w:tc>
        <w:tc>
          <w:tcPr>
            <w:tcW w:w="6959" w:type="dxa"/>
            <w:tcMar>
              <w:left w:w="28" w:type="dxa"/>
              <w:right w:w="28"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000"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难</w:t>
            </w:r>
          </w:p>
        </w:tc>
        <w:tc>
          <w:tcPr>
            <w:tcW w:w="6959" w:type="dxa"/>
            <w:tcMar>
              <w:left w:w="28" w:type="dxa"/>
              <w:right w:w="28"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对地下水环境有污染的物料或污染物泄漏后，不能及时发现和处理。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2000"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易</w:t>
            </w:r>
          </w:p>
        </w:tc>
        <w:tc>
          <w:tcPr>
            <w:tcW w:w="6959" w:type="dxa"/>
            <w:tcMar>
              <w:left w:w="28" w:type="dxa"/>
              <w:right w:w="28"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对地下水环境有污染的物料或污染物泄漏后，可及时发现和处理。</w:t>
            </w:r>
          </w:p>
        </w:tc>
      </w:tr>
    </w:tbl>
    <w:p>
      <w:pPr>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8</w:t>
      </w:r>
      <w:r>
        <w:rPr>
          <w:rFonts w:ascii="Times New Roman" w:hAnsi="Times New Roman"/>
          <w:b/>
          <w:bCs/>
          <w:color w:val="000000" w:themeColor="text1"/>
          <w:sz w:val="24"/>
          <w:szCs w:val="24"/>
          <w14:textFill>
            <w14:solidFill>
              <w14:schemeClr w14:val="tx1"/>
            </w14:solidFill>
          </w14:textFill>
        </w:rPr>
        <w:t>.2-</w:t>
      </w:r>
      <w:r>
        <w:rPr>
          <w:rFonts w:hint="eastAsia" w:ascii="Times New Roman" w:hAnsi="Times New Roman"/>
          <w:b/>
          <w:bCs/>
          <w:color w:val="000000" w:themeColor="text1"/>
          <w:sz w:val="24"/>
          <w:szCs w:val="24"/>
          <w14:textFill>
            <w14:solidFill>
              <w14:schemeClr w14:val="tx1"/>
            </w14:solidFill>
          </w14:textFill>
        </w:rPr>
        <w:t>6</w:t>
      </w:r>
      <w:r>
        <w:rPr>
          <w:rFonts w:ascii="Times New Roman" w:hAnsi="Times New Roman"/>
          <w:b/>
          <w:bCs/>
          <w:color w:val="000000" w:themeColor="text1"/>
          <w:sz w:val="24"/>
          <w:szCs w:val="24"/>
          <w14:textFill>
            <w14:solidFill>
              <w14:schemeClr w14:val="tx1"/>
            </w14:solidFill>
          </w14:textFill>
        </w:rPr>
        <w:t xml:space="preserve">  天然包气带防污性能分级参照表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1718"/>
        <w:gridCol w:w="72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tblHeader/>
          <w:jc w:val="center"/>
        </w:trPr>
        <w:tc>
          <w:tcPr>
            <w:tcW w:w="1718"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污染控制难易程度</w:t>
            </w:r>
          </w:p>
        </w:tc>
        <w:tc>
          <w:tcPr>
            <w:tcW w:w="7241"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18"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强</w:t>
            </w:r>
          </w:p>
        </w:tc>
        <w:tc>
          <w:tcPr>
            <w:tcW w:w="7241" w:type="dxa"/>
            <w:tcMar>
              <w:left w:w="28" w:type="dxa"/>
              <w:right w:w="28"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岩（土）层单层厚度</w:t>
            </w:r>
            <w:r>
              <w:rPr>
                <w:rFonts w:ascii="Times New Roman" w:hAnsi="Times New Roman"/>
                <w:bCs/>
                <w:color w:val="000000" w:themeColor="text1"/>
                <w:sz w:val="18"/>
                <w:szCs w:val="18"/>
                <w14:textFill>
                  <w14:solidFill>
                    <w14:schemeClr w14:val="tx1"/>
                  </w14:solidFill>
                </w14:textFill>
              </w:rPr>
              <w:t>Mb≥1.0m</w:t>
            </w:r>
            <w:r>
              <w:rPr>
                <w:rFonts w:ascii="Times New Roman" w:hAnsi="Times New Roman"/>
                <w:color w:val="000000" w:themeColor="text1"/>
                <w:sz w:val="18"/>
                <w:szCs w:val="18"/>
                <w14:textFill>
                  <w14:solidFill>
                    <w14:schemeClr w14:val="tx1"/>
                  </w14:solidFill>
                </w14:textFill>
              </w:rPr>
              <w:t>，渗透系数</w:t>
            </w:r>
            <w:r>
              <w:rPr>
                <w:rFonts w:ascii="Times New Roman" w:hAnsi="Times New Roman"/>
                <w:bCs/>
                <w:color w:val="000000" w:themeColor="text1"/>
                <w:sz w:val="18"/>
                <w:szCs w:val="18"/>
                <w14:textFill>
                  <w14:solidFill>
                    <w14:schemeClr w14:val="tx1"/>
                  </w14:solidFill>
                </w14:textFill>
              </w:rPr>
              <w:t>K≤1×10</w:t>
            </w:r>
            <w:r>
              <w:rPr>
                <w:rFonts w:ascii="Times New Roman" w:hAnsi="Times New Roman"/>
                <w:bCs/>
                <w:color w:val="000000" w:themeColor="text1"/>
                <w:sz w:val="18"/>
                <w:szCs w:val="18"/>
                <w:vertAlign w:val="superscript"/>
                <w14:textFill>
                  <w14:solidFill>
                    <w14:schemeClr w14:val="tx1"/>
                  </w14:solidFill>
                </w14:textFill>
              </w:rPr>
              <w:t>-6</w:t>
            </w:r>
            <w:r>
              <w:rPr>
                <w:rFonts w:ascii="Times New Roman" w:hAnsi="Times New Roman"/>
                <w:bCs/>
                <w:color w:val="000000" w:themeColor="text1"/>
                <w:sz w:val="18"/>
                <w:szCs w:val="18"/>
                <w14:textFill>
                  <w14:solidFill>
                    <w14:schemeClr w14:val="tx1"/>
                  </w14:solidFill>
                </w14:textFill>
              </w:rPr>
              <w:t>cm/s</w:t>
            </w:r>
            <w:r>
              <w:rPr>
                <w:rFonts w:ascii="Times New Roman" w:hAnsi="Times New Roman"/>
                <w:color w:val="000000" w:themeColor="text1"/>
                <w:sz w:val="18"/>
                <w:szCs w:val="18"/>
                <w14:textFill>
                  <w14:solidFill>
                    <w14:schemeClr w14:val="tx1"/>
                  </w14:solidFill>
                </w14:textFill>
              </w:rPr>
              <w:t>，且分布连续、稳定。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18"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中</w:t>
            </w:r>
          </w:p>
        </w:tc>
        <w:tc>
          <w:tcPr>
            <w:tcW w:w="7241" w:type="dxa"/>
            <w:tcMar>
              <w:left w:w="28" w:type="dxa"/>
              <w:right w:w="28" w:type="dxa"/>
            </w:tcMar>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岩（土）层单层厚度</w:t>
            </w:r>
            <w:r>
              <w:rPr>
                <w:rFonts w:ascii="Times New Roman" w:hAnsi="Times New Roman"/>
                <w:bCs/>
                <w:color w:val="000000" w:themeColor="text1"/>
                <w:sz w:val="18"/>
                <w:szCs w:val="18"/>
                <w14:textFill>
                  <w14:solidFill>
                    <w14:schemeClr w14:val="tx1"/>
                  </w14:solidFill>
                </w14:textFill>
              </w:rPr>
              <w:t>0.5m≤Mb&lt;1.0m</w:t>
            </w:r>
            <w:r>
              <w:rPr>
                <w:rFonts w:ascii="Times New Roman" w:hAnsi="Times New Roman"/>
                <w:color w:val="000000" w:themeColor="text1"/>
                <w:sz w:val="18"/>
                <w:szCs w:val="18"/>
                <w14:textFill>
                  <w14:solidFill>
                    <w14:schemeClr w14:val="tx1"/>
                  </w14:solidFill>
                </w14:textFill>
              </w:rPr>
              <w:t>，渗透系数</w:t>
            </w:r>
            <w:r>
              <w:rPr>
                <w:rFonts w:ascii="Times New Roman" w:hAnsi="Times New Roman"/>
                <w:bCs/>
                <w:color w:val="000000" w:themeColor="text1"/>
                <w:sz w:val="18"/>
                <w:szCs w:val="18"/>
                <w14:textFill>
                  <w14:solidFill>
                    <w14:schemeClr w14:val="tx1"/>
                  </w14:solidFill>
                </w14:textFill>
              </w:rPr>
              <w:t>K≤1×10</w:t>
            </w:r>
            <w:r>
              <w:rPr>
                <w:rFonts w:ascii="Times New Roman" w:hAnsi="Times New Roman"/>
                <w:bCs/>
                <w:color w:val="000000" w:themeColor="text1"/>
                <w:sz w:val="18"/>
                <w:szCs w:val="18"/>
                <w:vertAlign w:val="superscript"/>
                <w14:textFill>
                  <w14:solidFill>
                    <w14:schemeClr w14:val="tx1"/>
                  </w14:solidFill>
                </w14:textFill>
              </w:rPr>
              <w:t>-6</w:t>
            </w:r>
            <w:r>
              <w:rPr>
                <w:rFonts w:ascii="Times New Roman" w:hAnsi="Times New Roman"/>
                <w:bCs/>
                <w:color w:val="000000" w:themeColor="text1"/>
                <w:sz w:val="18"/>
                <w:szCs w:val="18"/>
                <w14:textFill>
                  <w14:solidFill>
                    <w14:schemeClr w14:val="tx1"/>
                  </w14:solidFill>
                </w14:textFill>
              </w:rPr>
              <w:t>cm/s</w:t>
            </w:r>
            <w:r>
              <w:rPr>
                <w:rFonts w:ascii="Times New Roman" w:hAnsi="Times New Roman"/>
                <w:color w:val="000000" w:themeColor="text1"/>
                <w:sz w:val="18"/>
                <w:szCs w:val="18"/>
                <w14:textFill>
                  <w14:solidFill>
                    <w14:schemeClr w14:val="tx1"/>
                  </w14:solidFill>
                </w14:textFill>
              </w:rPr>
              <w:t>，且分布连续、稳定。</w:t>
            </w:r>
          </w:p>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岩（土）层单层厚度</w:t>
            </w:r>
            <w:r>
              <w:rPr>
                <w:rFonts w:ascii="Times New Roman" w:hAnsi="Times New Roman"/>
                <w:bCs/>
                <w:color w:val="000000" w:themeColor="text1"/>
                <w:sz w:val="18"/>
                <w:szCs w:val="18"/>
                <w14:textFill>
                  <w14:solidFill>
                    <w14:schemeClr w14:val="tx1"/>
                  </w14:solidFill>
                </w14:textFill>
              </w:rPr>
              <w:t>Mb≥1.0m</w:t>
            </w:r>
            <w:r>
              <w:rPr>
                <w:rFonts w:ascii="Times New Roman" w:hAnsi="Times New Roman"/>
                <w:color w:val="000000" w:themeColor="text1"/>
                <w:sz w:val="18"/>
                <w:szCs w:val="18"/>
                <w14:textFill>
                  <w14:solidFill>
                    <w14:schemeClr w14:val="tx1"/>
                  </w14:solidFill>
                </w14:textFill>
              </w:rPr>
              <w:t>，渗透系数</w:t>
            </w:r>
            <w:r>
              <w:rPr>
                <w:rFonts w:ascii="Times New Roman" w:hAnsi="Times New Roman"/>
                <w:bCs/>
                <w:color w:val="000000" w:themeColor="text1"/>
                <w:sz w:val="18"/>
                <w:szCs w:val="18"/>
                <w14:textFill>
                  <w14:solidFill>
                    <w14:schemeClr w14:val="tx1"/>
                  </w14:solidFill>
                </w14:textFill>
              </w:rPr>
              <w:t>1×10</w:t>
            </w:r>
            <w:r>
              <w:rPr>
                <w:rFonts w:ascii="Times New Roman" w:hAnsi="Times New Roman"/>
                <w:bCs/>
                <w:color w:val="000000" w:themeColor="text1"/>
                <w:sz w:val="18"/>
                <w:szCs w:val="18"/>
                <w:vertAlign w:val="superscript"/>
                <w14:textFill>
                  <w14:solidFill>
                    <w14:schemeClr w14:val="tx1"/>
                  </w14:solidFill>
                </w14:textFill>
              </w:rPr>
              <w:t>-6</w:t>
            </w:r>
            <w:r>
              <w:rPr>
                <w:rFonts w:ascii="Times New Roman" w:hAnsi="Times New Roman"/>
                <w:bCs/>
                <w:color w:val="000000" w:themeColor="text1"/>
                <w:sz w:val="18"/>
                <w:szCs w:val="18"/>
                <w14:textFill>
                  <w14:solidFill>
                    <w14:schemeClr w14:val="tx1"/>
                  </w14:solidFill>
                </w14:textFill>
              </w:rPr>
              <w:t>cm/s&lt;K&lt;1×10</w:t>
            </w:r>
            <w:r>
              <w:rPr>
                <w:rFonts w:ascii="Times New Roman" w:hAnsi="Times New Roman"/>
                <w:bCs/>
                <w:color w:val="000000" w:themeColor="text1"/>
                <w:sz w:val="18"/>
                <w:szCs w:val="18"/>
                <w:vertAlign w:val="superscript"/>
                <w14:textFill>
                  <w14:solidFill>
                    <w14:schemeClr w14:val="tx1"/>
                  </w14:solidFill>
                </w14:textFill>
              </w:rPr>
              <w:t>-4</w:t>
            </w:r>
            <w:r>
              <w:rPr>
                <w:rFonts w:ascii="Times New Roman" w:hAnsi="Times New Roman"/>
                <w:bCs/>
                <w:color w:val="000000" w:themeColor="text1"/>
                <w:sz w:val="18"/>
                <w:szCs w:val="18"/>
                <w14:textFill>
                  <w14:solidFill>
                    <w14:schemeClr w14:val="tx1"/>
                  </w14:solidFill>
                </w14:textFill>
              </w:rPr>
              <w:t>cm/s</w:t>
            </w:r>
            <w:r>
              <w:rPr>
                <w:rFonts w:ascii="Times New Roman" w:hAnsi="Times New Roman"/>
                <w:color w:val="000000" w:themeColor="text1"/>
                <w:sz w:val="18"/>
                <w:szCs w:val="18"/>
                <w14:textFill>
                  <w14:solidFill>
                    <w14:schemeClr w14:val="tx1"/>
                  </w14:solidFill>
                </w14:textFill>
              </w:rPr>
              <w:t>，且分布连续、稳定。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718"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弱</w:t>
            </w:r>
          </w:p>
        </w:tc>
        <w:tc>
          <w:tcPr>
            <w:tcW w:w="7241" w:type="dxa"/>
            <w:tcMar>
              <w:left w:w="28" w:type="dxa"/>
              <w:right w:w="28" w:type="dxa"/>
            </w:tcMar>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岩（土）层不满足上述</w:t>
            </w:r>
            <w:r>
              <w:rPr>
                <w:rFonts w:ascii="Times New Roman" w:hAnsi="Times New Roman"/>
                <w:bCs/>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强</w:t>
            </w:r>
            <w:r>
              <w:rPr>
                <w:rFonts w:ascii="Times New Roman" w:hAnsi="Times New Roman"/>
                <w:bCs/>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和</w:t>
            </w:r>
            <w:r>
              <w:rPr>
                <w:rFonts w:ascii="Times New Roman" w:hAnsi="Times New Roman"/>
                <w:bCs/>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中</w:t>
            </w:r>
            <w:r>
              <w:rPr>
                <w:rFonts w:ascii="Times New Roman" w:hAnsi="Times New Roman"/>
                <w:bCs/>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条件。</w:t>
            </w:r>
          </w:p>
        </w:tc>
      </w:tr>
    </w:tbl>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8</w:t>
      </w:r>
      <w:r>
        <w:rPr>
          <w:rFonts w:ascii="Times New Roman" w:hAnsi="Times New Roman"/>
          <w:b/>
          <w:bCs/>
          <w:color w:val="000000" w:themeColor="text1"/>
          <w:sz w:val="24"/>
          <w:szCs w:val="24"/>
          <w14:textFill>
            <w14:solidFill>
              <w14:schemeClr w14:val="tx1"/>
            </w14:solidFill>
          </w14:textFill>
        </w:rPr>
        <w:t>.2-</w:t>
      </w:r>
      <w:r>
        <w:rPr>
          <w:rFonts w:hint="eastAsia" w:ascii="Times New Roman" w:hAnsi="Times New Roman"/>
          <w:b/>
          <w:bCs/>
          <w:color w:val="000000" w:themeColor="text1"/>
          <w:sz w:val="24"/>
          <w:szCs w:val="24"/>
          <w14:textFill>
            <w14:solidFill>
              <w14:schemeClr w14:val="tx1"/>
            </w14:solidFill>
          </w14:textFill>
        </w:rPr>
        <w:t>7</w:t>
      </w:r>
      <w:r>
        <w:rPr>
          <w:rFonts w:ascii="Times New Roman" w:hAnsi="Times New Roman"/>
          <w:b/>
          <w:bCs/>
          <w:color w:val="000000" w:themeColor="text1"/>
          <w:sz w:val="24"/>
          <w:szCs w:val="24"/>
          <w14:textFill>
            <w14:solidFill>
              <w14:schemeClr w14:val="tx1"/>
            </w14:solidFill>
          </w14:textFill>
        </w:rPr>
        <w:t xml:space="preserve"> 地下水污染防渗分区参照表</w:t>
      </w:r>
    </w:p>
    <w:tbl>
      <w:tblPr>
        <w:tblStyle w:val="87"/>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1044"/>
        <w:gridCol w:w="1595"/>
        <w:gridCol w:w="1559"/>
        <w:gridCol w:w="2552"/>
        <w:gridCol w:w="22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防渗分区</w:t>
            </w:r>
          </w:p>
        </w:tc>
        <w:tc>
          <w:tcPr>
            <w:tcW w:w="1595"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天然包气带防污性能</w:t>
            </w:r>
          </w:p>
        </w:tc>
        <w:tc>
          <w:tcPr>
            <w:tcW w:w="1559" w:type="dxa"/>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污染控制难易程度</w:t>
            </w:r>
          </w:p>
        </w:tc>
        <w:tc>
          <w:tcPr>
            <w:tcW w:w="2552" w:type="dxa"/>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污染物类型</w:t>
            </w:r>
          </w:p>
        </w:tc>
        <w:tc>
          <w:tcPr>
            <w:tcW w:w="2209" w:type="dxa"/>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vMerge w:val="restart"/>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重点防渗区</w:t>
            </w:r>
          </w:p>
        </w:tc>
        <w:tc>
          <w:tcPr>
            <w:tcW w:w="1595"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弱</w:t>
            </w:r>
          </w:p>
        </w:tc>
        <w:tc>
          <w:tcPr>
            <w:tcW w:w="1559" w:type="dxa"/>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难</w:t>
            </w:r>
          </w:p>
        </w:tc>
        <w:tc>
          <w:tcPr>
            <w:tcW w:w="2552" w:type="dxa"/>
            <w:vMerge w:val="restart"/>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重金属、持久性有机物污染物</w:t>
            </w:r>
          </w:p>
        </w:tc>
        <w:tc>
          <w:tcPr>
            <w:tcW w:w="2209" w:type="dxa"/>
            <w:vMerge w:val="restart"/>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等效黏土防渗层</w:t>
            </w:r>
            <w:r>
              <w:rPr>
                <w:rFonts w:ascii="Times New Roman" w:hAnsi="Times New Roman"/>
                <w:bCs/>
                <w:color w:val="000000" w:themeColor="text1"/>
                <w:sz w:val="18"/>
                <w:szCs w:val="18"/>
                <w14:textFill>
                  <w14:solidFill>
                    <w14:schemeClr w14:val="tx1"/>
                  </w14:solidFill>
                </w14:textFill>
              </w:rPr>
              <w:t>Mb≥6.0m</w:t>
            </w:r>
            <w:r>
              <w:rPr>
                <w:rFonts w:ascii="Times New Roman" w:hAnsi="Times New Roman"/>
                <w:color w:val="000000" w:themeColor="text1"/>
                <w:sz w:val="18"/>
                <w:szCs w:val="18"/>
                <w14:textFill>
                  <w14:solidFill>
                    <w14:schemeClr w14:val="tx1"/>
                  </w14:solidFill>
                </w14:textFill>
              </w:rPr>
              <w:t>，</w:t>
            </w:r>
            <w:r>
              <w:rPr>
                <w:rFonts w:ascii="Times New Roman" w:hAnsi="Times New Roman"/>
                <w:bCs/>
                <w:color w:val="000000" w:themeColor="text1"/>
                <w:sz w:val="18"/>
                <w:szCs w:val="18"/>
                <w14:textFill>
                  <w14:solidFill>
                    <w14:schemeClr w14:val="tx1"/>
                  </w14:solidFill>
                </w14:textFill>
              </w:rPr>
              <w:t>K≤1×10</w:t>
            </w:r>
            <w:r>
              <w:rPr>
                <w:rFonts w:ascii="Times New Roman" w:hAnsi="Times New Roman"/>
                <w:bCs/>
                <w:color w:val="000000" w:themeColor="text1"/>
                <w:sz w:val="18"/>
                <w:szCs w:val="18"/>
                <w:vertAlign w:val="superscript"/>
                <w14:textFill>
                  <w14:solidFill>
                    <w14:schemeClr w14:val="tx1"/>
                  </w14:solidFill>
                </w14:textFill>
              </w:rPr>
              <w:t>-7</w:t>
            </w:r>
            <w:r>
              <w:rPr>
                <w:rFonts w:ascii="Times New Roman" w:hAnsi="Times New Roman"/>
                <w:bCs/>
                <w:color w:val="000000" w:themeColor="text1"/>
                <w:sz w:val="18"/>
                <w:szCs w:val="18"/>
                <w14:textFill>
                  <w14:solidFill>
                    <w14:schemeClr w14:val="tx1"/>
                  </w14:solidFill>
                </w14:textFill>
              </w:rPr>
              <w:t>cm/s</w:t>
            </w:r>
            <w:r>
              <w:rPr>
                <w:rFonts w:ascii="Times New Roman" w:hAnsi="Times New Roman"/>
                <w:color w:val="000000" w:themeColor="text1"/>
                <w:sz w:val="18"/>
                <w:szCs w:val="18"/>
                <w14:textFill>
                  <w14:solidFill>
                    <w14:schemeClr w14:val="tx1"/>
                  </w14:solidFill>
                </w14:textFill>
              </w:rPr>
              <w:t>；或参照</w:t>
            </w:r>
            <w:r>
              <w:rPr>
                <w:rFonts w:ascii="Times New Roman" w:hAnsi="Times New Roman"/>
                <w:bCs/>
                <w:color w:val="000000" w:themeColor="text1"/>
                <w:sz w:val="18"/>
                <w:szCs w:val="18"/>
                <w14:textFill>
                  <w14:solidFill>
                    <w14:schemeClr w14:val="tx1"/>
                  </w14:solidFill>
                </w14:textFill>
              </w:rPr>
              <w:t>GB18598</w:t>
            </w:r>
            <w:r>
              <w:rPr>
                <w:rFonts w:ascii="Times New Roman" w:hAnsi="Times New Roman"/>
                <w:color w:val="000000" w:themeColor="text1"/>
                <w:sz w:val="18"/>
                <w:szCs w:val="18"/>
                <w14:textFill>
                  <w14:solidFill>
                    <w14:schemeClr w14:val="tx1"/>
                  </w14:solidFill>
                </w14:textFill>
              </w:rPr>
              <w:t>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vMerge w:val="continue"/>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p>
        </w:tc>
        <w:tc>
          <w:tcPr>
            <w:tcW w:w="1595"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中-强</w:t>
            </w:r>
          </w:p>
        </w:tc>
        <w:tc>
          <w:tcPr>
            <w:tcW w:w="1559" w:type="dxa"/>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难</w:t>
            </w:r>
          </w:p>
        </w:tc>
        <w:tc>
          <w:tcPr>
            <w:tcW w:w="2552"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2209" w:type="dxa"/>
            <w:vMerge w:val="continue"/>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vMerge w:val="continue"/>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p>
        </w:tc>
        <w:tc>
          <w:tcPr>
            <w:tcW w:w="1595"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弱</w:t>
            </w:r>
          </w:p>
        </w:tc>
        <w:tc>
          <w:tcPr>
            <w:tcW w:w="1559" w:type="dxa"/>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易</w:t>
            </w:r>
          </w:p>
        </w:tc>
        <w:tc>
          <w:tcPr>
            <w:tcW w:w="2552" w:type="dxa"/>
            <w:vMerge w:val="continue"/>
            <w:vAlign w:val="center"/>
          </w:tcPr>
          <w:p>
            <w:pPr>
              <w:jc w:val="center"/>
              <w:rPr>
                <w:rFonts w:ascii="Times New Roman" w:hAnsi="Times New Roman"/>
                <w:color w:val="000000" w:themeColor="text1"/>
                <w:sz w:val="18"/>
                <w:szCs w:val="18"/>
                <w14:textFill>
                  <w14:solidFill>
                    <w14:schemeClr w14:val="tx1"/>
                  </w14:solidFill>
                </w14:textFill>
              </w:rPr>
            </w:pPr>
          </w:p>
        </w:tc>
        <w:tc>
          <w:tcPr>
            <w:tcW w:w="2209" w:type="dxa"/>
            <w:vMerge w:val="continue"/>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vMerge w:val="restart"/>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一般防渗区</w:t>
            </w:r>
          </w:p>
        </w:tc>
        <w:tc>
          <w:tcPr>
            <w:tcW w:w="1595" w:type="dxa"/>
            <w:tcMar>
              <w:left w:w="28" w:type="dxa"/>
              <w:right w:w="28" w:type="dxa"/>
            </w:tcMar>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弱</w:t>
            </w:r>
          </w:p>
        </w:tc>
        <w:tc>
          <w:tcPr>
            <w:tcW w:w="1559" w:type="dxa"/>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易-难</w:t>
            </w:r>
          </w:p>
        </w:tc>
        <w:tc>
          <w:tcPr>
            <w:tcW w:w="2552" w:type="dxa"/>
            <w:vMerge w:val="restart"/>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其他类型</w:t>
            </w:r>
          </w:p>
        </w:tc>
        <w:tc>
          <w:tcPr>
            <w:tcW w:w="2209" w:type="dxa"/>
            <w:vMerge w:val="restart"/>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等效黏土防渗层</w:t>
            </w:r>
            <w:r>
              <w:rPr>
                <w:rFonts w:ascii="Times New Roman" w:hAnsi="Times New Roman"/>
                <w:bCs/>
                <w:color w:val="000000" w:themeColor="text1"/>
                <w:sz w:val="18"/>
                <w:szCs w:val="18"/>
                <w14:textFill>
                  <w14:solidFill>
                    <w14:schemeClr w14:val="tx1"/>
                  </w14:solidFill>
                </w14:textFill>
              </w:rPr>
              <w:t>≥1.5m</w:t>
            </w:r>
            <w:r>
              <w:rPr>
                <w:rFonts w:ascii="Times New Roman" w:hAnsi="Times New Roman"/>
                <w:color w:val="000000" w:themeColor="text1"/>
                <w:sz w:val="18"/>
                <w:szCs w:val="18"/>
                <w14:textFill>
                  <w14:solidFill>
                    <w14:schemeClr w14:val="tx1"/>
                  </w14:solidFill>
                </w14:textFill>
              </w:rPr>
              <w:t>，</w:t>
            </w:r>
            <w:r>
              <w:rPr>
                <w:rFonts w:ascii="Times New Roman" w:hAnsi="Times New Roman"/>
                <w:bCs/>
                <w:color w:val="000000" w:themeColor="text1"/>
                <w:sz w:val="18"/>
                <w:szCs w:val="18"/>
                <w14:textFill>
                  <w14:solidFill>
                    <w14:schemeClr w14:val="tx1"/>
                  </w14:solidFill>
                </w14:textFill>
              </w:rPr>
              <w:t>K≤1×10</w:t>
            </w:r>
            <w:r>
              <w:rPr>
                <w:rFonts w:ascii="Times New Roman" w:hAnsi="Times New Roman"/>
                <w:bCs/>
                <w:color w:val="000000" w:themeColor="text1"/>
                <w:sz w:val="18"/>
                <w:szCs w:val="18"/>
                <w:vertAlign w:val="superscript"/>
                <w14:textFill>
                  <w14:solidFill>
                    <w14:schemeClr w14:val="tx1"/>
                  </w14:solidFill>
                </w14:textFill>
              </w:rPr>
              <w:t>-7</w:t>
            </w:r>
            <w:r>
              <w:rPr>
                <w:rFonts w:ascii="Times New Roman" w:hAnsi="Times New Roman"/>
                <w:bCs/>
                <w:color w:val="000000" w:themeColor="text1"/>
                <w:sz w:val="18"/>
                <w:szCs w:val="18"/>
                <w14:textFill>
                  <w14:solidFill>
                    <w14:schemeClr w14:val="tx1"/>
                  </w14:solidFill>
                </w14:textFill>
              </w:rPr>
              <w:t>cm/s</w:t>
            </w:r>
            <w:r>
              <w:rPr>
                <w:rFonts w:ascii="Times New Roman" w:hAnsi="Times New Roman"/>
                <w:color w:val="000000" w:themeColor="text1"/>
                <w:sz w:val="18"/>
                <w:szCs w:val="18"/>
                <w14:textFill>
                  <w14:solidFill>
                    <w14:schemeClr w14:val="tx1"/>
                  </w14:solidFill>
                </w14:textFill>
              </w:rPr>
              <w:t>；或参照</w:t>
            </w:r>
            <w:r>
              <w:rPr>
                <w:rFonts w:ascii="Times New Roman" w:hAnsi="Times New Roman"/>
                <w:bCs/>
                <w:color w:val="000000" w:themeColor="text1"/>
                <w:sz w:val="18"/>
                <w:szCs w:val="18"/>
                <w14:textFill>
                  <w14:solidFill>
                    <w14:schemeClr w14:val="tx1"/>
                  </w14:solidFill>
                </w14:textFill>
              </w:rPr>
              <w:t>GB16889执行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vMerge w:val="continue"/>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p>
        </w:tc>
        <w:tc>
          <w:tcPr>
            <w:tcW w:w="1595" w:type="dxa"/>
            <w:tcMar>
              <w:left w:w="28" w:type="dxa"/>
              <w:right w:w="28" w:type="dxa"/>
            </w:tcMar>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中-强</w:t>
            </w:r>
          </w:p>
        </w:tc>
        <w:tc>
          <w:tcPr>
            <w:tcW w:w="1559" w:type="dxa"/>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难</w:t>
            </w:r>
          </w:p>
        </w:tc>
        <w:tc>
          <w:tcPr>
            <w:tcW w:w="2552" w:type="dxa"/>
            <w:vMerge w:val="continue"/>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p>
        </w:tc>
        <w:tc>
          <w:tcPr>
            <w:tcW w:w="2209" w:type="dxa"/>
            <w:vMerge w:val="continue"/>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vMerge w:val="continue"/>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p>
        </w:tc>
        <w:tc>
          <w:tcPr>
            <w:tcW w:w="1595" w:type="dxa"/>
            <w:tcMar>
              <w:left w:w="28" w:type="dxa"/>
              <w:right w:w="28" w:type="dxa"/>
            </w:tcMar>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中</w:t>
            </w:r>
          </w:p>
        </w:tc>
        <w:tc>
          <w:tcPr>
            <w:tcW w:w="1559" w:type="dxa"/>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易</w:t>
            </w:r>
          </w:p>
        </w:tc>
        <w:tc>
          <w:tcPr>
            <w:tcW w:w="2552" w:type="dxa"/>
            <w:vMerge w:val="restart"/>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重金属、持久性有机物污染物</w:t>
            </w:r>
          </w:p>
        </w:tc>
        <w:tc>
          <w:tcPr>
            <w:tcW w:w="2209" w:type="dxa"/>
            <w:vMerge w:val="continue"/>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vMerge w:val="continue"/>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p>
        </w:tc>
        <w:tc>
          <w:tcPr>
            <w:tcW w:w="1595" w:type="dxa"/>
            <w:tcMar>
              <w:left w:w="28" w:type="dxa"/>
              <w:right w:w="28" w:type="dxa"/>
            </w:tcMar>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强</w:t>
            </w:r>
          </w:p>
        </w:tc>
        <w:tc>
          <w:tcPr>
            <w:tcW w:w="1559" w:type="dxa"/>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易</w:t>
            </w:r>
          </w:p>
        </w:tc>
        <w:tc>
          <w:tcPr>
            <w:tcW w:w="2552" w:type="dxa"/>
            <w:vMerge w:val="continue"/>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p>
        </w:tc>
        <w:tc>
          <w:tcPr>
            <w:tcW w:w="2209" w:type="dxa"/>
            <w:vMerge w:val="continue"/>
            <w:vAlign w:val="center"/>
          </w:tcPr>
          <w:p>
            <w:pPr>
              <w:autoSpaceDE w:val="0"/>
              <w:autoSpaceDN w:val="0"/>
              <w:adjustRightInd w:val="0"/>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40" w:hRule="atLeast"/>
          <w:jc w:val="center"/>
        </w:trPr>
        <w:tc>
          <w:tcPr>
            <w:tcW w:w="1044"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简单防渗区</w:t>
            </w:r>
          </w:p>
        </w:tc>
        <w:tc>
          <w:tcPr>
            <w:tcW w:w="1595" w:type="dxa"/>
            <w:tcMar>
              <w:left w:w="28" w:type="dxa"/>
              <w:right w:w="28" w:type="dxa"/>
            </w:tcMar>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中-强</w:t>
            </w:r>
          </w:p>
        </w:tc>
        <w:tc>
          <w:tcPr>
            <w:tcW w:w="1559" w:type="dxa"/>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易</w:t>
            </w:r>
          </w:p>
        </w:tc>
        <w:tc>
          <w:tcPr>
            <w:tcW w:w="255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其他类型</w:t>
            </w:r>
          </w:p>
        </w:tc>
        <w:tc>
          <w:tcPr>
            <w:tcW w:w="2209" w:type="dxa"/>
            <w:vAlign w:val="center"/>
          </w:tcPr>
          <w:p>
            <w:pPr>
              <w:ind w:left="-105" w:leftChars="-50" w:right="-105" w:rightChars="-5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一般地面硬化</w:t>
            </w:r>
          </w:p>
        </w:tc>
      </w:tr>
    </w:tbl>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（3）项目拟采取的分区</w:t>
      </w:r>
      <w:r>
        <w:rPr>
          <w:rFonts w:ascii="Times New Roman" w:hAnsiTheme="minorEastAsia" w:eastAsiaTheme="minorEastAsia"/>
          <w:color w:val="000000" w:themeColor="text1"/>
          <w:sz w:val="24"/>
          <w14:textFill>
            <w14:solidFill>
              <w14:schemeClr w14:val="tx1"/>
            </w14:solidFill>
          </w14:textFill>
        </w:rPr>
        <w:t>防渗</w:t>
      </w:r>
      <w:r>
        <w:rPr>
          <w:rFonts w:hint="eastAsia" w:ascii="Times New Roman" w:hAnsiTheme="minorEastAsia" w:eastAsiaTheme="minorEastAsia"/>
          <w:color w:val="000000" w:themeColor="text1"/>
          <w:sz w:val="24"/>
          <w14:textFill>
            <w14:solidFill>
              <w14:schemeClr w14:val="tx1"/>
            </w14:solidFill>
          </w14:textFill>
        </w:rPr>
        <w:t>措施</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项目防渗及防腐措施施工建设时严格按照以下要求进行建设。为避免物料泄漏对地下水产生影响，建设单位采取的措施包括：</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①厂区地基整体防渗要求：厂区地坪应能够满足百年一遇的防洪要求，且能够保证厂区地坪在地下水丰水期最高水位以上。</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②</w:t>
      </w:r>
      <w:r>
        <w:rPr>
          <w:rFonts w:hint="eastAsia" w:ascii="Times New Roman" w:hAnsiTheme="minorEastAsia" w:eastAsiaTheme="minorEastAsia"/>
          <w:color w:val="000000" w:themeColor="text1"/>
          <w:sz w:val="24"/>
          <w14:textFill>
            <w14:solidFill>
              <w14:schemeClr w14:val="tx1"/>
            </w14:solidFill>
          </w14:textFill>
        </w:rPr>
        <w:t>重点污染防治区：指位于地下或半地下的生产功能单元，污染地下水环境的物料长期储存或泄漏不容易及时发现或处理的区域。重点污染区防渗标准：操作条件下的单位面积渗透量不大于厚度为6m，饱和渗透系数≤10</w:t>
      </w:r>
      <w:r>
        <w:rPr>
          <w:rFonts w:hint="eastAsia" w:ascii="Times New Roman" w:hAnsiTheme="minorEastAsia" w:eastAsiaTheme="minorEastAsia"/>
          <w:color w:val="000000" w:themeColor="text1"/>
          <w:sz w:val="24"/>
          <w:vertAlign w:val="superscript"/>
          <w14:textFill>
            <w14:solidFill>
              <w14:schemeClr w14:val="tx1"/>
            </w14:solidFill>
          </w14:textFill>
        </w:rPr>
        <w:t xml:space="preserve"> -7</w:t>
      </w:r>
      <w:r>
        <w:rPr>
          <w:rFonts w:hint="eastAsia" w:ascii="Times New Roman" w:hAnsiTheme="minorEastAsia" w:eastAsiaTheme="minorEastAsia"/>
          <w:color w:val="000000" w:themeColor="text1"/>
          <w:sz w:val="24"/>
          <w14:textFill>
            <w14:solidFill>
              <w14:schemeClr w14:val="tx1"/>
            </w14:solidFill>
          </w14:textFill>
        </w:rPr>
        <w:t xml:space="preserve"> cm/s 防渗层的渗透量，防渗能力与《危险废物填埋场污染控制标准》（GB18598-2001）第 6.5.1 条等效。</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③</w:t>
      </w:r>
      <w:r>
        <w:rPr>
          <w:rFonts w:hint="eastAsia" w:ascii="Times New Roman" w:hAnsi="Times New Roman" w:eastAsiaTheme="minorEastAsia"/>
          <w:color w:val="000000" w:themeColor="text1"/>
          <w:sz w:val="24"/>
          <w14:textFill>
            <w14:solidFill>
              <w14:schemeClr w14:val="tx1"/>
            </w14:solidFill>
          </w14:textFill>
        </w:rPr>
        <w:t>一般污染防治区：指裸露地面的生产功能单元，污染地下水环境的物料泄漏容易及时发现和处理的区域。对于一般污染防治区，参照《一般工业固体废物贮存、处置场污染控制标准》（GB18599－2001）Ⅱ类场进行设计。一般污染区防渗标准：操作条件下的单位面积渗透量不大于厚度为 1.5m，渗透系数≤10 -7 cm/s 防渗层的渗透量，防渗能力与《一般工业固体废物贮存、处置场污染控制标准》（GB18599－2001）第 6.2.1 条等效。</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④非污染防治区：该区域由于基本没有污染，按常规工程进行设计和建设，一般采取地面水泥硬化措施。</w:t>
      </w:r>
    </w:p>
    <w:p>
      <w:pPr>
        <w:adjustRightInd w:val="0"/>
        <w:snapToGrid w:val="0"/>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由以上防渗分区技术方法，按照项目总平面设计，对项目进行污染防治分区工作，按照处理工艺要求和生产功能的不同，将厂区分为重点防渗区、一般防渗区、简单防渗区。本项目具体分区及防渗措施</w:t>
      </w:r>
      <w:r>
        <w:rPr>
          <w:rFonts w:ascii="Times New Roman" w:hAnsiTheme="minorEastAsia" w:eastAsiaTheme="minorEastAsia"/>
          <w:color w:val="000000" w:themeColor="text1"/>
          <w:sz w:val="24"/>
          <w14:textFill>
            <w14:solidFill>
              <w14:schemeClr w14:val="tx1"/>
            </w14:solidFill>
          </w14:textFill>
        </w:rPr>
        <w:t>见表</w:t>
      </w:r>
      <w:r>
        <w:rPr>
          <w:rFonts w:hint="eastAsia" w:ascii="Times New Roman" w:hAnsi="Times New Roman" w:eastAsiaTheme="minorEastAsia"/>
          <w:color w:val="000000" w:themeColor="text1"/>
          <w:sz w:val="24"/>
          <w:lang w:val="en-US" w:eastAsia="zh-CN"/>
          <w14:textFill>
            <w14:solidFill>
              <w14:schemeClr w14:val="tx1"/>
            </w14:solidFill>
          </w14:textFill>
        </w:rPr>
        <w:t>8</w:t>
      </w:r>
      <w:r>
        <w:rPr>
          <w:rFonts w:hint="eastAsia" w:ascii="Times New Roman" w:hAnsi="Times New Roman" w:eastAsiaTheme="minorEastAsia"/>
          <w:color w:val="000000" w:themeColor="text1"/>
          <w:sz w:val="24"/>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8</w:t>
      </w:r>
      <w:r>
        <w:rPr>
          <w:rFonts w:ascii="Times New Roman" w:hAnsiTheme="minorEastAsia" w:eastAsiaTheme="minorEastAsia"/>
          <w:color w:val="000000" w:themeColor="text1"/>
          <w:sz w:val="24"/>
          <w14:textFill>
            <w14:solidFill>
              <w14:schemeClr w14:val="tx1"/>
            </w14:solidFill>
          </w14:textFill>
        </w:rPr>
        <w:t>。</w:t>
      </w:r>
    </w:p>
    <w:p>
      <w:pPr>
        <w:adjustRightInd w:val="0"/>
        <w:snapToGrid w:val="0"/>
        <w:spacing w:line="520" w:lineRule="exact"/>
        <w:jc w:val="center"/>
        <w:rPr>
          <w:rFonts w:ascii="Times New Roman" w:hAnsiTheme="minorEastAsia" w:eastAsiaTheme="minorEastAsia"/>
          <w:b/>
          <w:bCs/>
          <w:color w:val="000000" w:themeColor="text1"/>
          <w:sz w:val="24"/>
          <w:szCs w:val="24"/>
          <w14:textFill>
            <w14:solidFill>
              <w14:schemeClr w14:val="tx1"/>
            </w14:solidFill>
          </w14:textFill>
        </w:rPr>
      </w:pPr>
      <w:r>
        <w:rPr>
          <w:rFonts w:ascii="Times New Roman" w:hAnsiTheme="minorEastAsia" w:eastAsiaTheme="minorEastAsia"/>
          <w:b/>
          <w:bCs/>
          <w:color w:val="000000" w:themeColor="text1"/>
          <w:sz w:val="24"/>
          <w:szCs w:val="24"/>
          <w14:textFill>
            <w14:solidFill>
              <w14:schemeClr w14:val="tx1"/>
            </w14:solidFill>
          </w14:textFill>
        </w:rPr>
        <w:t>表</w:t>
      </w:r>
      <w:r>
        <w:rPr>
          <w:rFonts w:hint="eastAsia" w:ascii="Times New Roman" w:hAnsi="Times New Roman" w:eastAsiaTheme="minorEastAsia"/>
          <w:b/>
          <w:bCs/>
          <w:color w:val="000000" w:themeColor="text1"/>
          <w:sz w:val="24"/>
          <w:szCs w:val="24"/>
          <w:lang w:val="en-US" w:eastAsia="zh-CN"/>
          <w14:textFill>
            <w14:solidFill>
              <w14:schemeClr w14:val="tx1"/>
            </w14:solidFill>
          </w14:textFill>
        </w:rPr>
        <w:t>8</w:t>
      </w:r>
      <w:r>
        <w:rPr>
          <w:rFonts w:hint="eastAsia" w:ascii="Times New Roman" w:hAnsi="Times New Roman" w:eastAsiaTheme="minorEastAsia"/>
          <w:b/>
          <w:bCs/>
          <w:color w:val="000000" w:themeColor="text1"/>
          <w:sz w:val="24"/>
          <w:szCs w:val="24"/>
          <w14:textFill>
            <w14:solidFill>
              <w14:schemeClr w14:val="tx1"/>
            </w14:solidFill>
          </w14:textFill>
        </w:rPr>
        <w:t>.2</w:t>
      </w:r>
      <w:r>
        <w:rPr>
          <w:rFonts w:ascii="Times New Roman" w:hAnsi="Times New Roman" w:eastAsiaTheme="minorEastAsia"/>
          <w:b/>
          <w:bCs/>
          <w:color w:val="000000" w:themeColor="text1"/>
          <w:sz w:val="24"/>
          <w:szCs w:val="24"/>
          <w14:textFill>
            <w14:solidFill>
              <w14:schemeClr w14:val="tx1"/>
            </w14:solidFill>
          </w14:textFill>
        </w:rPr>
        <w:t>-</w:t>
      </w:r>
      <w:r>
        <w:rPr>
          <w:rFonts w:hint="eastAsia" w:ascii="Times New Roman" w:hAnsi="Times New Roman" w:eastAsiaTheme="minorEastAsia"/>
          <w:b/>
          <w:bCs/>
          <w:color w:val="000000" w:themeColor="text1"/>
          <w:sz w:val="24"/>
          <w:szCs w:val="24"/>
          <w14:textFill>
            <w14:solidFill>
              <w14:schemeClr w14:val="tx1"/>
            </w14:solidFill>
          </w14:textFill>
        </w:rPr>
        <w:t>8</w:t>
      </w:r>
      <w:r>
        <w:rPr>
          <w:rFonts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heme="minorEastAsia" w:eastAsiaTheme="minorEastAsia"/>
          <w:b/>
          <w:bCs/>
          <w:color w:val="000000" w:themeColor="text1"/>
          <w:sz w:val="24"/>
          <w:szCs w:val="24"/>
          <w14:textFill>
            <w14:solidFill>
              <w14:schemeClr w14:val="tx1"/>
            </w14:solidFill>
          </w14:textFill>
        </w:rPr>
        <w:t>拟建项目采取的防渗措施</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72"/>
        <w:gridCol w:w="1060"/>
        <w:gridCol w:w="3402"/>
        <w:gridCol w:w="25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污染防治区域及部位</w:t>
            </w:r>
          </w:p>
        </w:tc>
        <w:tc>
          <w:tcPr>
            <w:tcW w:w="10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防治类别</w:t>
            </w:r>
          </w:p>
        </w:tc>
        <w:tc>
          <w:tcPr>
            <w:tcW w:w="34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防腐防渗措施</w:t>
            </w:r>
          </w:p>
        </w:tc>
        <w:tc>
          <w:tcPr>
            <w:tcW w:w="256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参照标准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生产车间</w:t>
            </w:r>
          </w:p>
        </w:tc>
        <w:tc>
          <w:tcPr>
            <w:tcW w:w="1060"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重点</w:t>
            </w:r>
          </w:p>
        </w:tc>
        <w:tc>
          <w:tcPr>
            <w:tcW w:w="340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地面均进行防腐、防渗处理，地基之上采用水泥混凝土地面+环氧树脂做防渗处理，其渗透系数应小于 10</w:t>
            </w:r>
            <w:r>
              <w:rPr>
                <w:rFonts w:ascii="Times New Roman" w:hAnsi="Times New Roman"/>
                <w:color w:val="000000" w:themeColor="text1"/>
                <w:kern w:val="0"/>
                <w:sz w:val="18"/>
                <w:szCs w:val="18"/>
                <w:vertAlign w:val="superscript"/>
                <w14:textFill>
                  <w14:solidFill>
                    <w14:schemeClr w14:val="tx1"/>
                  </w14:solidFill>
                </w14:textFill>
              </w:rPr>
              <w:t xml:space="preserve">-10 </w:t>
            </w:r>
            <w:r>
              <w:rPr>
                <w:rFonts w:ascii="Times New Roman" w:hAnsi="Times New Roman"/>
                <w:color w:val="000000" w:themeColor="text1"/>
                <w:kern w:val="0"/>
                <w:sz w:val="18"/>
                <w:szCs w:val="18"/>
                <w14:textFill>
                  <w14:solidFill>
                    <w14:schemeClr w14:val="tx1"/>
                  </w14:solidFill>
                </w14:textFill>
              </w:rPr>
              <w:t>cm/s。达到不渗水、不吸水、防腐、防滑的目的，使地面平整无裂缝、便于清扫和吸尘。</w:t>
            </w:r>
          </w:p>
        </w:tc>
        <w:tc>
          <w:tcPr>
            <w:tcW w:w="2561" w:type="dxa"/>
            <w:vMerge w:val="restart"/>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防渗层为至少 1m 厚黏土层（渗透系数≤10</w:t>
            </w:r>
            <w:r>
              <w:rPr>
                <w:rFonts w:ascii="Times New Roman" w:hAnsi="Times New Roman"/>
                <w:color w:val="000000" w:themeColor="text1"/>
                <w:kern w:val="0"/>
                <w:sz w:val="18"/>
                <w:szCs w:val="18"/>
                <w:vertAlign w:val="superscript"/>
                <w14:textFill>
                  <w14:solidFill>
                    <w14:schemeClr w14:val="tx1"/>
                  </w14:solidFill>
                </w14:textFill>
              </w:rPr>
              <w:t xml:space="preserve"> -7</w:t>
            </w:r>
            <w:r>
              <w:rPr>
                <w:rFonts w:ascii="Times New Roman" w:hAnsi="Times New Roman"/>
                <w:color w:val="000000" w:themeColor="text1"/>
                <w:kern w:val="0"/>
                <w:sz w:val="18"/>
                <w:szCs w:val="18"/>
                <w14:textFill>
                  <w14:solidFill>
                    <w14:schemeClr w14:val="tx1"/>
                  </w14:solidFill>
                </w14:textFill>
              </w:rPr>
              <w:t xml:space="preserve"> cm/s），或 2cm 厚高密度聚乙烯，其渗透系数应小于 10 </w:t>
            </w:r>
            <w:r>
              <w:rPr>
                <w:rFonts w:ascii="Times New Roman" w:hAnsi="Times New Roman"/>
                <w:color w:val="000000" w:themeColor="text1"/>
                <w:kern w:val="0"/>
                <w:sz w:val="18"/>
                <w:szCs w:val="18"/>
                <w:vertAlign w:val="superscript"/>
                <w14:textFill>
                  <w14:solidFill>
                    <w14:schemeClr w14:val="tx1"/>
                  </w14:solidFill>
                </w14:textFill>
              </w:rPr>
              <w:t>-10</w:t>
            </w:r>
            <w:r>
              <w:rPr>
                <w:rFonts w:ascii="Times New Roman" w:hAnsi="Times New Roman"/>
                <w:color w:val="000000" w:themeColor="text1"/>
                <w:kern w:val="0"/>
                <w:sz w:val="18"/>
                <w:szCs w:val="18"/>
                <w14:textFill>
                  <w14:solidFill>
                    <w14:schemeClr w14:val="tx1"/>
                  </w14:solidFill>
                </w14:textFill>
              </w:rPr>
              <w:t xml:space="preserve"> cm/s。或至少 2mm 厚的其他人工材料，渗透系数应小于10</w:t>
            </w:r>
            <w:r>
              <w:rPr>
                <w:rFonts w:ascii="Times New Roman" w:hAnsi="Times New Roman"/>
                <w:color w:val="000000" w:themeColor="text1"/>
                <w:kern w:val="0"/>
                <w:sz w:val="18"/>
                <w:szCs w:val="18"/>
                <w:vertAlign w:val="superscript"/>
                <w14:textFill>
                  <w14:solidFill>
                    <w14:schemeClr w14:val="tx1"/>
                  </w14:solidFill>
                </w14:textFill>
              </w:rPr>
              <w:t xml:space="preserve"> -10</w:t>
            </w:r>
            <w:r>
              <w:rPr>
                <w:rFonts w:ascii="Times New Roman" w:hAnsi="Times New Roman"/>
                <w:color w:val="000000" w:themeColor="text1"/>
                <w:kern w:val="0"/>
                <w:sz w:val="18"/>
                <w:szCs w:val="18"/>
                <w14:textFill>
                  <w14:solidFill>
                    <w14:schemeClr w14:val="tx1"/>
                  </w14:solidFill>
                </w14:textFill>
              </w:rPr>
              <w:t xml:space="preserve"> 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罐区</w:t>
            </w:r>
          </w:p>
        </w:tc>
        <w:tc>
          <w:tcPr>
            <w:tcW w:w="1060"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340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地面及堰进行防腐、防渗处理，地基之上采用水泥混凝土地面+环氧树脂做防渗处理，其渗透系数应小于 10</w:t>
            </w:r>
            <w:r>
              <w:rPr>
                <w:rFonts w:ascii="Times New Roman" w:hAnsi="Times New Roman"/>
                <w:color w:val="000000" w:themeColor="text1"/>
                <w:kern w:val="0"/>
                <w:sz w:val="18"/>
                <w:szCs w:val="18"/>
                <w:vertAlign w:val="superscript"/>
                <w14:textFill>
                  <w14:solidFill>
                    <w14:schemeClr w14:val="tx1"/>
                  </w14:solidFill>
                </w14:textFill>
              </w:rPr>
              <w:t xml:space="preserve"> -10</w:t>
            </w:r>
            <w:r>
              <w:rPr>
                <w:rFonts w:ascii="Times New Roman" w:hAnsi="Times New Roman"/>
                <w:color w:val="000000" w:themeColor="text1"/>
                <w:kern w:val="0"/>
                <w:sz w:val="18"/>
                <w:szCs w:val="18"/>
                <w14:textFill>
                  <w14:solidFill>
                    <w14:schemeClr w14:val="tx1"/>
                  </w14:solidFill>
                </w14:textFill>
              </w:rPr>
              <w:t xml:space="preserve"> cm/s</w:t>
            </w:r>
          </w:p>
        </w:tc>
        <w:tc>
          <w:tcPr>
            <w:tcW w:w="2561"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导流沟、事故应急池</w:t>
            </w:r>
          </w:p>
        </w:tc>
        <w:tc>
          <w:tcPr>
            <w:tcW w:w="1060"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340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底板和壁板进行防腐、防渗处理，采用水泥混凝土地面+环氧树脂做防渗处理，其渗透系数应小于 10</w:t>
            </w:r>
            <w:r>
              <w:rPr>
                <w:rFonts w:ascii="Times New Roman" w:hAnsi="Times New Roman"/>
                <w:color w:val="000000" w:themeColor="text1"/>
                <w:kern w:val="0"/>
                <w:sz w:val="18"/>
                <w:szCs w:val="18"/>
                <w:vertAlign w:val="superscript"/>
                <w14:textFill>
                  <w14:solidFill>
                    <w14:schemeClr w14:val="tx1"/>
                  </w14:solidFill>
                </w14:textFill>
              </w:rPr>
              <w:t xml:space="preserve"> -10</w:t>
            </w:r>
            <w:r>
              <w:rPr>
                <w:rFonts w:ascii="Times New Roman" w:hAnsi="Times New Roman"/>
                <w:color w:val="000000" w:themeColor="text1"/>
                <w:kern w:val="0"/>
                <w:sz w:val="18"/>
                <w:szCs w:val="18"/>
                <w14:textFill>
                  <w14:solidFill>
                    <w14:schemeClr w14:val="tx1"/>
                  </w14:solidFill>
                </w14:textFill>
              </w:rPr>
              <w:t xml:space="preserve"> cm/s。</w:t>
            </w:r>
          </w:p>
        </w:tc>
        <w:tc>
          <w:tcPr>
            <w:tcW w:w="2561"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危险废物暂存间</w:t>
            </w:r>
          </w:p>
        </w:tc>
        <w:tc>
          <w:tcPr>
            <w:tcW w:w="1060"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340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eastAsiaTheme="minorEastAsia"/>
                <w:color w:val="000000" w:themeColor="text1"/>
                <w:sz w:val="18"/>
                <w14:textFill>
                  <w14:solidFill>
                    <w14:schemeClr w14:val="tx1"/>
                  </w14:solidFill>
                </w14:textFill>
              </w:rPr>
              <w:t>①50mm厚水泥面随打随抹光；②50mm厚C15砼垫层随打随抹光；③50mm厚C15混凝土随打随抹光；④50mm厚级配沙石垫层；⑤3：8水泥土夯实防渗性能不应低于6.0厚渗透系数为1.0×10</w:t>
            </w:r>
            <w:r>
              <w:rPr>
                <w:rFonts w:ascii="Times New Roman" w:hAnsi="Times New Roman" w:eastAsiaTheme="minorEastAsia"/>
                <w:color w:val="000000" w:themeColor="text1"/>
                <w:sz w:val="18"/>
                <w:vertAlign w:val="superscript"/>
                <w14:textFill>
                  <w14:solidFill>
                    <w14:schemeClr w14:val="tx1"/>
                  </w14:solidFill>
                </w14:textFill>
              </w:rPr>
              <w:t>-10</w:t>
            </w:r>
            <w:r>
              <w:rPr>
                <w:rFonts w:ascii="Times New Roman" w:hAnsi="Times New Roman" w:eastAsiaTheme="minorEastAsia"/>
                <w:color w:val="000000" w:themeColor="text1"/>
                <w:sz w:val="18"/>
                <w14:textFill>
                  <w14:solidFill>
                    <w14:schemeClr w14:val="tx1"/>
                  </w14:solidFill>
                </w14:textFill>
              </w:rPr>
              <w:t>的粘土层的防渗性能。</w:t>
            </w:r>
          </w:p>
        </w:tc>
        <w:tc>
          <w:tcPr>
            <w:tcW w:w="2561"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0" w:hRule="atLeast"/>
          <w:jc w:val="center"/>
        </w:trPr>
        <w:tc>
          <w:tcPr>
            <w:tcW w:w="207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综合仓库</w:t>
            </w:r>
          </w:p>
        </w:tc>
        <w:tc>
          <w:tcPr>
            <w:tcW w:w="10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一般</w:t>
            </w:r>
          </w:p>
        </w:tc>
        <w:tc>
          <w:tcPr>
            <w:tcW w:w="34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地基之上采用</w:t>
            </w:r>
            <w:r>
              <w:rPr>
                <w:rFonts w:ascii="Times New Roman" w:hAnsi="Times New Roman"/>
                <w:color w:val="000000" w:themeColor="text1"/>
                <w:kern w:val="0"/>
                <w:sz w:val="18"/>
                <w:szCs w:val="18"/>
                <w14:textFill>
                  <w14:solidFill>
                    <w14:schemeClr w14:val="tx1"/>
                  </w14:solidFill>
                </w14:textFill>
              </w:rPr>
              <w:t xml:space="preserve"> 20cm</w:t>
            </w:r>
            <w:r>
              <w:rPr>
                <w:rFonts w:hint="eastAsia" w:ascii="宋体" w:hAnsi="宋体" w:cs="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 xml:space="preserve">30cm </w:t>
            </w:r>
            <w:r>
              <w:rPr>
                <w:rFonts w:hint="eastAsia" w:ascii="宋体" w:hAnsi="宋体" w:cs="宋体"/>
                <w:color w:val="000000" w:themeColor="text1"/>
                <w:kern w:val="0"/>
                <w:sz w:val="18"/>
                <w:szCs w:val="18"/>
                <w14:textFill>
                  <w14:solidFill>
                    <w14:schemeClr w14:val="tx1"/>
                  </w14:solidFill>
                </w14:textFill>
              </w:rPr>
              <w:t>厚、压实度</w:t>
            </w:r>
            <w:r>
              <w:rPr>
                <w:rFonts w:ascii="Times New Roman" w:hAnsi="Times New Roman"/>
                <w:color w:val="000000" w:themeColor="text1"/>
                <w:kern w:val="0"/>
                <w:sz w:val="18"/>
                <w:szCs w:val="18"/>
                <w14:textFill>
                  <w14:solidFill>
                    <w14:schemeClr w14:val="tx1"/>
                  </w14:solidFill>
                </w14:textFill>
              </w:rPr>
              <w:t xml:space="preserve">0.90 </w:t>
            </w:r>
            <w:r>
              <w:rPr>
                <w:rFonts w:hint="eastAsia" w:ascii="宋体" w:hAnsi="宋体" w:cs="宋体"/>
                <w:color w:val="000000" w:themeColor="text1"/>
                <w:kern w:val="0"/>
                <w:sz w:val="18"/>
                <w:szCs w:val="18"/>
                <w14:textFill>
                  <w14:solidFill>
                    <w14:schemeClr w14:val="tx1"/>
                  </w14:solidFill>
                </w14:textFill>
              </w:rPr>
              <w:t>以上的压实土壤，最后采用耐腐蚀的水泥对地面进行硬化，其渗透系数应小于</w:t>
            </w:r>
            <w:r>
              <w:rPr>
                <w:rFonts w:ascii="Times New Roman" w:hAnsi="Times New Roman"/>
                <w:color w:val="000000" w:themeColor="text1"/>
                <w:kern w:val="0"/>
                <w:sz w:val="18"/>
                <w:szCs w:val="18"/>
                <w14:textFill>
                  <w14:solidFill>
                    <w14:schemeClr w14:val="tx1"/>
                  </w14:solidFill>
                </w14:textFill>
              </w:rPr>
              <w:t xml:space="preserve"> 10</w:t>
            </w:r>
            <w:r>
              <w:rPr>
                <w:rFonts w:ascii="Times New Roman" w:hAnsi="Times New Roman"/>
                <w:color w:val="000000" w:themeColor="text1"/>
                <w:kern w:val="0"/>
                <w:sz w:val="18"/>
                <w:szCs w:val="18"/>
                <w:vertAlign w:val="superscript"/>
                <w14:textFill>
                  <w14:solidFill>
                    <w14:schemeClr w14:val="tx1"/>
                  </w14:solidFill>
                </w14:textFill>
              </w:rPr>
              <w:t xml:space="preserve"> -7</w:t>
            </w:r>
            <w:r>
              <w:rPr>
                <w:rFonts w:ascii="Times New Roman" w:hAnsi="Times New Roman"/>
                <w:color w:val="000000" w:themeColor="text1"/>
                <w:kern w:val="0"/>
                <w:sz w:val="18"/>
                <w:szCs w:val="18"/>
                <w14:textFill>
                  <w14:solidFill>
                    <w14:schemeClr w14:val="tx1"/>
                  </w14:solidFill>
                </w14:textFill>
              </w:rPr>
              <w:t xml:space="preserve"> cm/s</w:t>
            </w:r>
            <w:r>
              <w:rPr>
                <w:rFonts w:hint="eastAsia" w:ascii="宋体" w:hAnsi="宋体" w:cs="宋体"/>
                <w:color w:val="000000" w:themeColor="text1"/>
                <w:kern w:val="0"/>
                <w:sz w:val="18"/>
                <w:szCs w:val="18"/>
                <w14:textFill>
                  <w14:solidFill>
                    <w14:schemeClr w14:val="tx1"/>
                  </w14:solidFill>
                </w14:textFill>
              </w:rPr>
              <w:t>。</w:t>
            </w:r>
          </w:p>
        </w:tc>
        <w:tc>
          <w:tcPr>
            <w:tcW w:w="256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等效黏土防渗层</w:t>
            </w:r>
            <w:r>
              <w:rPr>
                <w:rFonts w:ascii="Times New Roman" w:hAnsi="Times New Roman"/>
                <w:color w:val="000000" w:themeColor="text1"/>
                <w:kern w:val="0"/>
                <w:sz w:val="18"/>
                <w:szCs w:val="18"/>
                <w14:textFill>
                  <w14:solidFill>
                    <w14:schemeClr w14:val="tx1"/>
                  </w14:solidFill>
                </w14:textFill>
              </w:rPr>
              <w:t>Mb≥1.5m</w:t>
            </w:r>
            <w:r>
              <w:rPr>
                <w:rFonts w:hint="eastAsia" w:ascii="宋体"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 xml:space="preserve">K≤1×10 </w:t>
            </w:r>
            <w:r>
              <w:rPr>
                <w:rFonts w:ascii="Times New Roman" w:hAnsi="Times New Roman"/>
                <w:color w:val="000000" w:themeColor="text1"/>
                <w:kern w:val="0"/>
                <w:sz w:val="18"/>
                <w:szCs w:val="18"/>
                <w:vertAlign w:val="superscript"/>
                <w14:textFill>
                  <w14:solidFill>
                    <w14:schemeClr w14:val="tx1"/>
                  </w14:solidFill>
                </w14:textFill>
              </w:rPr>
              <w:t>-7</w:t>
            </w:r>
            <w:r>
              <w:rPr>
                <w:rFonts w:ascii="Times New Roman" w:hAnsi="Times New Roman"/>
                <w:color w:val="000000" w:themeColor="text1"/>
                <w:kern w:val="0"/>
                <w:sz w:val="18"/>
                <w:szCs w:val="18"/>
                <w14:textFill>
                  <w14:solidFill>
                    <w14:schemeClr w14:val="tx1"/>
                  </w14:solidFill>
                </w14:textFill>
              </w:rPr>
              <w:t xml:space="preserve"> cm/s</w:t>
            </w:r>
            <w:r>
              <w:rPr>
                <w:rFonts w:hint="eastAsia" w:ascii="宋体" w:hAnsi="宋体" w:cs="宋体"/>
                <w:color w:val="000000" w:themeColor="text1"/>
                <w:kern w:val="0"/>
                <w:sz w:val="18"/>
                <w:szCs w:val="18"/>
                <w14:textFill>
                  <w14:solidFill>
                    <w14:schemeClr w14:val="tx1"/>
                  </w14:solidFill>
                </w14:textFill>
              </w:rPr>
              <w:t>或参照</w:t>
            </w:r>
            <w:r>
              <w:rPr>
                <w:rFonts w:ascii="Times New Roman" w:hAnsi="Times New Roman"/>
                <w:color w:val="000000" w:themeColor="text1"/>
                <w:kern w:val="0"/>
                <w:sz w:val="18"/>
                <w:szCs w:val="18"/>
                <w14:textFill>
                  <w14:solidFill>
                    <w14:schemeClr w14:val="tx1"/>
                  </w14:solidFill>
                </w14:textFill>
              </w:rPr>
              <w:t xml:space="preserve">GB16889 </w:t>
            </w:r>
            <w:r>
              <w:rPr>
                <w:rFonts w:hint="eastAsia" w:ascii="宋体" w:hAnsi="宋体" w:cs="宋体"/>
                <w:color w:val="000000" w:themeColor="text1"/>
                <w:kern w:val="0"/>
                <w:sz w:val="18"/>
                <w:szCs w:val="18"/>
                <w14:textFill>
                  <w14:solidFill>
                    <w14:schemeClr w14:val="tx1"/>
                  </w14:solidFill>
                </w14:textFill>
              </w:rPr>
              <w:t>执行防渗处理。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7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综合楼、厂区道路、消防水池等</w:t>
            </w:r>
          </w:p>
        </w:tc>
        <w:tc>
          <w:tcPr>
            <w:tcW w:w="10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简易</w:t>
            </w:r>
          </w:p>
        </w:tc>
        <w:tc>
          <w:tcPr>
            <w:tcW w:w="340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水泥硬化处理</w:t>
            </w:r>
          </w:p>
        </w:tc>
        <w:tc>
          <w:tcPr>
            <w:tcW w:w="2561"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渗透系数应小于</w:t>
            </w:r>
            <w:r>
              <w:rPr>
                <w:rFonts w:ascii="Times New Roman" w:hAnsi="Times New Roman"/>
                <w:color w:val="000000" w:themeColor="text1"/>
                <w:kern w:val="0"/>
                <w:sz w:val="18"/>
                <w:szCs w:val="18"/>
                <w14:textFill>
                  <w14:solidFill>
                    <w14:schemeClr w14:val="tx1"/>
                  </w14:solidFill>
                </w14:textFill>
              </w:rPr>
              <w:t>10</w:t>
            </w:r>
            <w:r>
              <w:rPr>
                <w:rFonts w:ascii="Times New Roman" w:hAnsi="Times New Roman"/>
                <w:color w:val="000000" w:themeColor="text1"/>
                <w:kern w:val="0"/>
                <w:sz w:val="18"/>
                <w:szCs w:val="18"/>
                <w:vertAlign w:val="superscript"/>
                <w14:textFill>
                  <w14:solidFill>
                    <w14:schemeClr w14:val="tx1"/>
                  </w14:solidFill>
                </w14:textFill>
              </w:rPr>
              <w:t>-4</w:t>
            </w:r>
            <w:r>
              <w:rPr>
                <w:rFonts w:ascii="Times New Roman" w:hAnsi="Times New Roman"/>
                <w:color w:val="000000" w:themeColor="text1"/>
                <w:kern w:val="0"/>
                <w:sz w:val="18"/>
                <w:szCs w:val="18"/>
                <w14:textFill>
                  <w14:solidFill>
                    <w14:schemeClr w14:val="tx1"/>
                  </w14:solidFill>
                </w14:textFill>
              </w:rPr>
              <w:t xml:space="preserve"> cm/s</w:t>
            </w:r>
          </w:p>
        </w:tc>
      </w:tr>
    </w:tbl>
    <w:p>
      <w:pPr>
        <w:pStyle w:val="85"/>
        <w:spacing w:after="0" w:line="520" w:lineRule="exact"/>
        <w:ind w:firstLine="480" w:firstLineChars="200"/>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cs="Times New Roman" w:hAnsiTheme="minorEastAsia" w:eastAsiaTheme="minorEastAsia"/>
          <w:color w:val="000000" w:themeColor="text1"/>
          <w:sz w:val="24"/>
          <w:szCs w:val="24"/>
          <w14:textFill>
            <w14:solidFill>
              <w14:schemeClr w14:val="tx1"/>
            </w14:solidFill>
          </w14:textFill>
        </w:rPr>
        <w:t>采取以上措施后，可以有效地控制</w:t>
      </w:r>
      <w:r>
        <w:rPr>
          <w:rFonts w:hint="eastAsia" w:ascii="Times New Roman" w:cs="Times New Roman" w:hAnsiTheme="minorEastAsia" w:eastAsiaTheme="minorEastAsia"/>
          <w:color w:val="000000" w:themeColor="text1"/>
          <w:sz w:val="24"/>
          <w:szCs w:val="24"/>
          <w14:textFill>
            <w14:solidFill>
              <w14:schemeClr w14:val="tx1"/>
            </w14:solidFill>
          </w14:textFill>
        </w:rPr>
        <w:t>本项目</w:t>
      </w:r>
      <w:r>
        <w:rPr>
          <w:rFonts w:ascii="Times New Roman" w:cs="Times New Roman" w:hAnsiTheme="minorEastAsia" w:eastAsiaTheme="minorEastAsia"/>
          <w:color w:val="000000" w:themeColor="text1"/>
          <w:sz w:val="24"/>
          <w:szCs w:val="24"/>
          <w14:textFill>
            <w14:solidFill>
              <w14:schemeClr w14:val="tx1"/>
            </w14:solidFill>
          </w14:textFill>
        </w:rPr>
        <w:t>对厂区附近地下水造成污染，</w:t>
      </w:r>
      <w:r>
        <w:rPr>
          <w:rFonts w:hint="eastAsia" w:ascii="Times New Roman" w:cs="Times New Roman" w:hAnsiTheme="minorEastAsia" w:eastAsiaTheme="minorEastAsia"/>
          <w:color w:val="000000" w:themeColor="text1"/>
          <w:sz w:val="24"/>
          <w:szCs w:val="24"/>
          <w14:textFill>
            <w14:solidFill>
              <w14:schemeClr w14:val="tx1"/>
            </w14:solidFill>
          </w14:textFill>
        </w:rPr>
        <w:t>项目运营期</w:t>
      </w:r>
      <w:r>
        <w:rPr>
          <w:rFonts w:ascii="Times New Roman" w:cs="Times New Roman" w:hAnsiTheme="minorEastAsia" w:eastAsiaTheme="minorEastAsia"/>
          <w:color w:val="000000" w:themeColor="text1"/>
          <w:sz w:val="24"/>
          <w:szCs w:val="24"/>
          <w14:textFill>
            <w14:solidFill>
              <w14:schemeClr w14:val="tx1"/>
            </w14:solidFill>
          </w14:textFill>
        </w:rPr>
        <w:t>对周围地下水不会造成明显影响。</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63" w:name="_Toc4917"/>
      <w:bookmarkStart w:id="764" w:name="_Toc14245"/>
      <w:bookmarkStart w:id="765" w:name="_Toc9803"/>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.2.3.5地下水的跟踪监测计划</w:t>
      </w:r>
      <w:bookmarkEnd w:id="763"/>
      <w:bookmarkEnd w:id="764"/>
      <w:bookmarkEnd w:id="765"/>
    </w:p>
    <w:p>
      <w:pPr>
        <w:autoSpaceDE w:val="0"/>
        <w:autoSpaceDN w:val="0"/>
        <w:adjustRightInd w:val="0"/>
        <w:snapToGrid w:val="0"/>
        <w:spacing w:line="520" w:lineRule="exact"/>
        <w:ind w:firstLine="468" w:firstLineChars="200"/>
        <w:jc w:val="left"/>
        <w:rPr>
          <w:rFonts w:ascii="Times New Roman" w:hAnsiTheme="minorEastAsia" w:eastAsiaTheme="minorEastAsia"/>
          <w:color w:val="000000" w:themeColor="text1"/>
          <w:spacing w:val="-3"/>
          <w:sz w:val="24"/>
          <w:szCs w:val="24"/>
          <w14:textFill>
            <w14:solidFill>
              <w14:schemeClr w14:val="tx1"/>
            </w14:solidFill>
          </w14:textFill>
        </w:rPr>
      </w:pPr>
      <w:r>
        <w:rPr>
          <w:rFonts w:ascii="Times New Roman" w:hAnsiTheme="minorEastAsia" w:eastAsiaTheme="minorEastAsia"/>
          <w:color w:val="000000" w:themeColor="text1"/>
          <w:spacing w:val="-3"/>
          <w:sz w:val="24"/>
          <w:szCs w:val="24"/>
          <w14:textFill>
            <w14:solidFill>
              <w14:schemeClr w14:val="tx1"/>
            </w14:solidFill>
          </w14:textFill>
        </w:rPr>
        <w:t>为防治地下水污染，应加强场地及下游地下水环境质量状况的监控，建立地下水监测点，充分利用现有监测井或钻孔，掌握场地及下游地下水水质状况。</w:t>
      </w:r>
      <w:r>
        <w:rPr>
          <w:rFonts w:hint="eastAsia" w:ascii="Times New Roman" w:hAnsiTheme="minorEastAsia" w:eastAsiaTheme="minorEastAsia"/>
          <w:color w:val="000000" w:themeColor="text1"/>
          <w:spacing w:val="-3"/>
          <w:sz w:val="24"/>
          <w:szCs w:val="24"/>
          <w14:textFill>
            <w14:solidFill>
              <w14:schemeClr w14:val="tx1"/>
            </w14:solidFill>
          </w14:textFill>
        </w:rPr>
        <w:t>公司应建立地下水污染监控制度和环境管理体系，厂区内设置观测井，定期对地下水进行监测。并根据监测情况，采取相应的措施，防止地下水污染。</w:t>
      </w:r>
    </w:p>
    <w:p>
      <w:pPr>
        <w:autoSpaceDE w:val="0"/>
        <w:autoSpaceDN w:val="0"/>
        <w:adjustRightInd w:val="0"/>
        <w:snapToGrid w:val="0"/>
        <w:spacing w:line="520" w:lineRule="exact"/>
        <w:ind w:firstLine="468" w:firstLineChars="200"/>
        <w:jc w:val="left"/>
        <w:rPr>
          <w:rFonts w:ascii="Times New Roman" w:hAnsiTheme="minorEastAsia" w:eastAsiaTheme="minorEastAsia"/>
          <w:color w:val="000000" w:themeColor="text1"/>
          <w:spacing w:val="-3"/>
          <w:sz w:val="24"/>
          <w:szCs w:val="24"/>
          <w14:textFill>
            <w14:solidFill>
              <w14:schemeClr w14:val="tx1"/>
            </w14:solidFill>
          </w14:textFill>
        </w:rPr>
      </w:pPr>
      <w:r>
        <w:rPr>
          <w:rFonts w:hint="eastAsia" w:ascii="Times New Roman" w:hAnsiTheme="minorEastAsia" w:eastAsiaTheme="minorEastAsia"/>
          <w:color w:val="000000" w:themeColor="text1"/>
          <w:spacing w:val="-3"/>
          <w:sz w:val="24"/>
          <w:szCs w:val="24"/>
          <w14:textFill>
            <w14:solidFill>
              <w14:schemeClr w14:val="tx1"/>
            </w14:solidFill>
          </w14:textFill>
        </w:rPr>
        <w:t>（1）监测点布设</w:t>
      </w:r>
    </w:p>
    <w:p>
      <w:pPr>
        <w:autoSpaceDE w:val="0"/>
        <w:autoSpaceDN w:val="0"/>
        <w:adjustRightInd w:val="0"/>
        <w:snapToGrid w:val="0"/>
        <w:spacing w:line="520" w:lineRule="exact"/>
        <w:ind w:firstLine="468" w:firstLineChars="200"/>
        <w:jc w:val="left"/>
        <w:rPr>
          <w:rFonts w:ascii="Times New Roman" w:hAnsiTheme="minorEastAsia" w:eastAsiaTheme="minorEastAsia"/>
          <w:color w:val="000000" w:themeColor="text1"/>
          <w:spacing w:val="-3"/>
          <w:sz w:val="24"/>
          <w:szCs w:val="24"/>
          <w14:textFill>
            <w14:solidFill>
              <w14:schemeClr w14:val="tx1"/>
            </w14:solidFill>
          </w14:textFill>
        </w:rPr>
      </w:pPr>
      <w:r>
        <w:rPr>
          <w:rFonts w:hint="eastAsia" w:ascii="Times New Roman" w:hAnsiTheme="minorEastAsia" w:eastAsiaTheme="minorEastAsia"/>
          <w:color w:val="000000" w:themeColor="text1"/>
          <w:spacing w:val="-3"/>
          <w:sz w:val="24"/>
          <w:szCs w:val="24"/>
          <w14:textFill>
            <w14:solidFill>
              <w14:schemeClr w14:val="tx1"/>
            </w14:solidFill>
          </w14:textFill>
        </w:rPr>
        <w:t>本项目地下水环境影响评价等级为二级，根据《建设项目环境影响评价技术导则—地下水环境》（HJ610-2016）》中地下水监测井布设要求：一、二级评价的建设项目，地下水监测井一般不少于3个，应至少在建设项目场地，地下水上、下游各布设一个。地下水监测井的深度、口径等设置按《地下水环境监测技术规范》（HJ/T164-2004）的相关要求进行。</w:t>
      </w:r>
    </w:p>
    <w:p>
      <w:pPr>
        <w:autoSpaceDE w:val="0"/>
        <w:autoSpaceDN w:val="0"/>
        <w:adjustRightInd w:val="0"/>
        <w:snapToGrid w:val="0"/>
        <w:spacing w:line="520" w:lineRule="exact"/>
        <w:ind w:firstLine="468" w:firstLineChars="200"/>
        <w:jc w:val="left"/>
        <w:rPr>
          <w:rFonts w:ascii="Times New Roman" w:hAnsiTheme="minorEastAsia" w:eastAsiaTheme="minorEastAsia"/>
          <w:color w:val="000000" w:themeColor="text1"/>
          <w:spacing w:val="-3"/>
          <w:sz w:val="24"/>
          <w:szCs w:val="24"/>
          <w14:textFill>
            <w14:solidFill>
              <w14:schemeClr w14:val="tx1"/>
            </w14:solidFill>
          </w14:textFill>
        </w:rPr>
      </w:pPr>
      <w:r>
        <w:rPr>
          <w:rFonts w:hint="eastAsia" w:ascii="Times New Roman" w:hAnsiTheme="minorEastAsia" w:eastAsiaTheme="minorEastAsia"/>
          <w:color w:val="000000" w:themeColor="text1"/>
          <w:spacing w:val="-3"/>
          <w:sz w:val="24"/>
          <w:szCs w:val="24"/>
          <w14:textFill>
            <w14:solidFill>
              <w14:schemeClr w14:val="tx1"/>
            </w14:solidFill>
          </w14:textFill>
        </w:rPr>
        <w:t>根据项目区域地下水流向，本项目布设地下水跟踪监测井3处：背景监测井一处（D1：厂区外西南侧），污染监控井两处（D2：罐区东北侧（场地）；D3：厂区外东北侧）。如下图所示：</w:t>
      </w:r>
    </w:p>
    <w:p>
      <w:pPr>
        <w:autoSpaceDE w:val="0"/>
        <w:autoSpaceDN w:val="0"/>
        <w:adjustRightInd w:val="0"/>
        <w:snapToGrid w:val="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heme="minorEastAsia" w:eastAsiaTheme="minorEastAsia"/>
          <w:color w:val="000000" w:themeColor="text1"/>
          <w:spacing w:val="-3"/>
          <w:sz w:val="24"/>
          <w:szCs w:val="24"/>
          <w14:textFill>
            <w14:solidFill>
              <w14:schemeClr w14:val="tx1"/>
            </w14:solidFill>
          </w14:textFill>
        </w:rPr>
        <w:drawing>
          <wp:anchor distT="0" distB="0" distL="114300" distR="114300" simplePos="0" relativeHeight="251696128" behindDoc="0" locked="0" layoutInCell="1" allowOverlap="1">
            <wp:simplePos x="0" y="0"/>
            <wp:positionH relativeFrom="column">
              <wp:posOffset>4949190</wp:posOffset>
            </wp:positionH>
            <wp:positionV relativeFrom="paragraph">
              <wp:posOffset>158115</wp:posOffset>
            </wp:positionV>
            <wp:extent cx="769620" cy="759460"/>
            <wp:effectExtent l="0" t="0" r="11430" b="2540"/>
            <wp:wrapNone/>
            <wp:docPr id="26" name="图片 26" descr="宜都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宜都风玫瑰"/>
                    <pic:cNvPicPr>
                      <a:picLocks noChangeAspect="1"/>
                    </pic:cNvPicPr>
                  </pic:nvPicPr>
                  <pic:blipFill>
                    <a:blip r:embed="rId11"/>
                    <a:stretch>
                      <a:fillRect/>
                    </a:stretch>
                  </pic:blipFill>
                  <pic:spPr>
                    <a:xfrm>
                      <a:off x="0" y="0"/>
                      <a:ext cx="769620" cy="759460"/>
                    </a:xfrm>
                    <a:prstGeom prst="rect">
                      <a:avLst/>
                    </a:prstGeom>
                  </pic:spPr>
                </pic:pic>
              </a:graphicData>
            </a:graphic>
          </wp:anchor>
        </w:drawing>
      </w:r>
      <w:r>
        <w:rPr>
          <w:color w:val="000000" w:themeColor="text1"/>
          <w14:textFill>
            <w14:solidFill>
              <w14:schemeClr w14:val="tx1"/>
            </w14:solidFill>
          </w14:textFill>
        </w:rPr>
        <w:drawing>
          <wp:anchor distT="0" distB="0" distL="114300" distR="114300" simplePos="0" relativeHeight="251697152" behindDoc="1" locked="0" layoutInCell="1" allowOverlap="1">
            <wp:simplePos x="0" y="0"/>
            <wp:positionH relativeFrom="column">
              <wp:posOffset>46990</wp:posOffset>
            </wp:positionH>
            <wp:positionV relativeFrom="paragraph">
              <wp:posOffset>145415</wp:posOffset>
            </wp:positionV>
            <wp:extent cx="5661025" cy="3746500"/>
            <wp:effectExtent l="0" t="0" r="15875" b="6350"/>
            <wp:wrapNone/>
            <wp:docPr id="4"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8"/>
                    <pic:cNvPicPr>
                      <a:picLocks noChangeAspect="1"/>
                    </pic:cNvPicPr>
                  </pic:nvPicPr>
                  <pic:blipFill>
                    <a:blip r:embed="rId45"/>
                    <a:stretch>
                      <a:fillRect/>
                    </a:stretch>
                  </pic:blipFill>
                  <pic:spPr>
                    <a:xfrm>
                      <a:off x="0" y="0"/>
                      <a:ext cx="5661025" cy="3746500"/>
                    </a:xfrm>
                    <a:prstGeom prst="rect">
                      <a:avLst/>
                    </a:prstGeom>
                    <a:noFill/>
                    <a:ln>
                      <a:noFill/>
                    </a:ln>
                  </pic:spPr>
                </pic:pic>
              </a:graphicData>
            </a:graphic>
          </wp:anchor>
        </w:drawing>
      </w:r>
    </w:p>
    <w:p>
      <w:pPr>
        <w:pStyle w:val="2"/>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r>
        <w:rPr>
          <w:rFonts w:ascii="Times New Roman" w:hAnsi="Times New Roman"/>
          <w:color w:val="000000" w:themeColor="text1"/>
          <w:spacing w:val="-3"/>
          <w:sz w:val="24"/>
          <w:szCs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3520440</wp:posOffset>
                </wp:positionH>
                <wp:positionV relativeFrom="paragraph">
                  <wp:posOffset>46990</wp:posOffset>
                </wp:positionV>
                <wp:extent cx="406400" cy="186055"/>
                <wp:effectExtent l="0" t="0" r="0" b="0"/>
                <wp:wrapNone/>
                <wp:docPr id="37" name="文本框 246"/>
                <wp:cNvGraphicFramePr/>
                <a:graphic xmlns:a="http://schemas.openxmlformats.org/drawingml/2006/main">
                  <a:graphicData uri="http://schemas.microsoft.com/office/word/2010/wordprocessingShape">
                    <wps:wsp>
                      <wps:cNvSpPr txBox="1"/>
                      <wps:spPr>
                        <a:xfrm>
                          <a:off x="0" y="0"/>
                          <a:ext cx="406400" cy="186055"/>
                        </a:xfrm>
                        <a:prstGeom prst="rect">
                          <a:avLst/>
                        </a:prstGeom>
                        <a:solidFill>
                          <a:srgbClr val="FFFFFF">
                            <a:alpha val="0"/>
                          </a:srgbClr>
                        </a:solidFill>
                        <a:ln>
                          <a:noFill/>
                        </a:ln>
                      </wps:spPr>
                      <wps:txbx>
                        <w:txbxContent>
                          <w:p>
                            <w:pPr>
                              <w:rPr>
                                <w:b/>
                                <w:bCs/>
                                <w:color w:val="FF0000"/>
                              </w:rPr>
                            </w:pPr>
                            <w:r>
                              <w:rPr>
                                <w:rFonts w:hint="eastAsia"/>
                                <w:b/>
                                <w:bCs/>
                                <w:color w:val="FF0000"/>
                              </w:rPr>
                              <w:t>D3</w:t>
                            </w:r>
                          </w:p>
                          <w:p>
                            <w:pPr>
                              <w:rPr>
                                <w:b/>
                                <w:bCs/>
                                <w:color w:val="FF0000"/>
                              </w:rPr>
                            </w:pPr>
                          </w:p>
                        </w:txbxContent>
                      </wps:txbx>
                      <wps:bodyPr lIns="0" tIns="0" rIns="0" bIns="0" anchor="ctr" anchorCtr="0" upright="1"/>
                    </wps:wsp>
                  </a:graphicData>
                </a:graphic>
              </wp:anchor>
            </w:drawing>
          </mc:Choice>
          <mc:Fallback>
            <w:pict>
              <v:shape id="文本框 246" o:spid="_x0000_s1026" o:spt="202" type="#_x0000_t202" style="position:absolute;left:0pt;margin-left:277.2pt;margin-top:3.7pt;height:14.65pt;width:32pt;z-index:251673600;v-text-anchor:middle;mso-width-relative:page;mso-height-relative:page;" fillcolor="#FFFFFF" filled="t" stroked="f" coordsize="21600,21600" o:gfxdata="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X70&#10;J9cAAAAIAQAADwAAAAAAAAABACAAAAAiAAAAZHJzL2Rvd25yZXYueG1sUEsBAhQAFAAAAAgAh07i&#10;QDnDC4jqAQAA1QMAAA4AAAAAAAAAAQAgAAAAJgEAAGRycy9lMm9Eb2MueG1sUEsFBgAAAAAGAAYA&#10;WQEAAIIFAAAAAA==&#10;">
                <v:fill on="t" opacity="0f" focussize="0,0"/>
                <v:stroke on="f"/>
                <v:imagedata o:title=""/>
                <o:lock v:ext="edit" aspectratio="f"/>
                <v:textbox inset="0mm,0mm,0mm,0mm">
                  <w:txbxContent>
                    <w:p>
                      <w:pPr>
                        <w:rPr>
                          <w:b/>
                          <w:bCs/>
                          <w:color w:val="FF0000"/>
                        </w:rPr>
                      </w:pPr>
                      <w:r>
                        <w:rPr>
                          <w:rFonts w:hint="eastAsia"/>
                          <w:b/>
                          <w:bCs/>
                          <w:color w:val="FF0000"/>
                        </w:rPr>
                        <w:t>D3</w:t>
                      </w:r>
                    </w:p>
                    <w:p>
                      <w:pPr>
                        <w:rPr>
                          <w:b/>
                          <w:bCs/>
                          <w:color w:val="FF0000"/>
                        </w:rPr>
                      </w:pPr>
                    </w:p>
                  </w:txbxContent>
                </v:textbox>
              </v:shape>
            </w:pict>
          </mc:Fallback>
        </mc:AlternateContent>
      </w: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r>
        <w:rPr>
          <w:rFonts w:ascii="Times New Roman" w:hAnsi="Times New Roman"/>
          <w:color w:val="000000" w:themeColor="text1"/>
          <w:spacing w:val="-3"/>
          <w:sz w:val="24"/>
          <w:szCs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3515995</wp:posOffset>
                </wp:positionH>
                <wp:positionV relativeFrom="paragraph">
                  <wp:posOffset>33655</wp:posOffset>
                </wp:positionV>
                <wp:extent cx="101600" cy="101600"/>
                <wp:effectExtent l="4445" t="4445" r="8255" b="8255"/>
                <wp:wrapNone/>
                <wp:docPr id="31" name="椭圆 243"/>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3" o:spid="_x0000_s1026" o:spt="3" type="#_x0000_t3" style="position:absolute;left:0pt;margin-left:276.85pt;margin-top:2.65pt;height:8pt;width:8pt;z-index:251670528;mso-width-relative:page;mso-height-relative:page;" fillcolor="#FFFF00" filled="t" stroked="t" coordsize="21600,21600" o:gfxdata="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7UV1wAAAAgBAAAPAAAAAAAAAAEAIAAAACIAAABkcnMvZG93bnJldi54bWxQ&#10;SwECFAAUAAAACACHTuJArKAdofgBAAAZBAAADgAAAAAAAAABACAAAAAmAQAAZHJzL2Uyb0RvYy54&#10;bWxQSwUGAAAAAAYABgBZAQAAkAUAAAAA&#10;">
                <v:fill on="t" focussize="0,0"/>
                <v:stroke color="#000000" joinstyle="round"/>
                <v:imagedata o:title=""/>
                <o:lock v:ext="edit" aspectratio="f"/>
              </v:shape>
            </w:pict>
          </mc:Fallback>
        </mc:AlternateContent>
      </w: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r>
        <w:rPr>
          <w:rFonts w:ascii="Times New Roman" w:hAnsi="Times New Roman"/>
          <w:color w:val="000000" w:themeColor="text1"/>
          <w:spacing w:val="-3"/>
          <w:sz w:val="24"/>
          <w:szCs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3034665</wp:posOffset>
                </wp:positionH>
                <wp:positionV relativeFrom="paragraph">
                  <wp:posOffset>66040</wp:posOffset>
                </wp:positionV>
                <wp:extent cx="406400" cy="186055"/>
                <wp:effectExtent l="0" t="0" r="0" b="0"/>
                <wp:wrapNone/>
                <wp:docPr id="36" name="文本框 245"/>
                <wp:cNvGraphicFramePr/>
                <a:graphic xmlns:a="http://schemas.openxmlformats.org/drawingml/2006/main">
                  <a:graphicData uri="http://schemas.microsoft.com/office/word/2010/wordprocessingShape">
                    <wps:wsp>
                      <wps:cNvSpPr txBox="1"/>
                      <wps:spPr>
                        <a:xfrm>
                          <a:off x="0" y="0"/>
                          <a:ext cx="406400" cy="186055"/>
                        </a:xfrm>
                        <a:prstGeom prst="rect">
                          <a:avLst/>
                        </a:prstGeom>
                        <a:solidFill>
                          <a:srgbClr val="FFFFFF">
                            <a:alpha val="0"/>
                          </a:srgbClr>
                        </a:solidFill>
                        <a:ln>
                          <a:noFill/>
                        </a:ln>
                      </wps:spPr>
                      <wps:txbx>
                        <w:txbxContent>
                          <w:p>
                            <w:pPr>
                              <w:rPr>
                                <w:b/>
                                <w:bCs/>
                                <w:color w:val="FF0000"/>
                              </w:rPr>
                            </w:pPr>
                            <w:r>
                              <w:rPr>
                                <w:rFonts w:hint="eastAsia"/>
                                <w:b/>
                                <w:bCs/>
                                <w:color w:val="FF0000"/>
                              </w:rPr>
                              <w:t>D2</w:t>
                            </w:r>
                          </w:p>
                          <w:p/>
                        </w:txbxContent>
                      </wps:txbx>
                      <wps:bodyPr lIns="0" tIns="0" rIns="0" bIns="0" anchor="ctr" anchorCtr="0" upright="1"/>
                    </wps:wsp>
                  </a:graphicData>
                </a:graphic>
              </wp:anchor>
            </w:drawing>
          </mc:Choice>
          <mc:Fallback>
            <w:pict>
              <v:shape id="文本框 245" o:spid="_x0000_s1026" o:spt="202" type="#_x0000_t202" style="position:absolute;left:0pt;margin-left:238.95pt;margin-top:5.2pt;height:14.65pt;width:32pt;z-index:251672576;v-text-anchor:middle;mso-width-relative:page;mso-height-relative:page;" fillcolor="#FFFFFF" filled="t" stroked="f" coordsize="21600,21600" o:gfxdata="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Yn&#10;vdvYAAAACQEAAA8AAAAAAAAAAQAgAAAAIgAAAGRycy9kb3ducmV2LnhtbFBLAQIUABQAAAAIAIdO&#10;4kApNI706gEAANUDAAAOAAAAAAAAAAEAIAAAACcBAABkcnMvZTJvRG9jLnhtbFBLBQYAAAAABgAG&#10;AFkBAACDBQAAAAA=&#10;">
                <v:fill on="t" opacity="0f" focussize="0,0"/>
                <v:stroke on="f"/>
                <v:imagedata o:title=""/>
                <o:lock v:ext="edit" aspectratio="f"/>
                <v:textbox inset="0mm,0mm,0mm,0mm">
                  <w:txbxContent>
                    <w:p>
                      <w:pPr>
                        <w:rPr>
                          <w:b/>
                          <w:bCs/>
                          <w:color w:val="FF0000"/>
                        </w:rPr>
                      </w:pPr>
                      <w:r>
                        <w:rPr>
                          <w:rFonts w:hint="eastAsia"/>
                          <w:b/>
                          <w:bCs/>
                          <w:color w:val="FF0000"/>
                        </w:rPr>
                        <w:t>D2</w:t>
                      </w:r>
                    </w:p>
                    <w:p/>
                  </w:txbxContent>
                </v:textbox>
              </v:shape>
            </w:pict>
          </mc:Fallback>
        </mc:AlternateContent>
      </w:r>
      <w:r>
        <w:rPr>
          <w:rFonts w:ascii="Times New Roman" w:hAnsi="Times New Roman"/>
          <w:color w:val="000000" w:themeColor="text1"/>
          <w:spacing w:val="-3"/>
          <w:sz w:val="24"/>
          <w:szCs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2938145</wp:posOffset>
                </wp:positionH>
                <wp:positionV relativeFrom="paragraph">
                  <wp:posOffset>46990</wp:posOffset>
                </wp:positionV>
                <wp:extent cx="101600" cy="101600"/>
                <wp:effectExtent l="4445" t="4445" r="8255" b="8255"/>
                <wp:wrapNone/>
                <wp:docPr id="27" name="椭圆 24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2" o:spid="_x0000_s1026" o:spt="3" type="#_x0000_t3" style="position:absolute;left:0pt;margin-left:231.35pt;margin-top:3.7pt;height:8pt;width:8pt;z-index:251669504;mso-width-relative:page;mso-height-relative:page;" fillcolor="#FFFF00" filled="t" stroked="t" coordsize="21600,21600" o:gfxdata="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o5wn1gAAAAgBAAAPAAAAAAAAAAEAIAAAACIAAABkcnMvZG93bnJldi54bWxQSwEC&#10;FAAUAAAACACHTuJA08NnrfYBAAAZBAAADgAAAAAAAAABACAAAAAlAQAAZHJzL2Uyb0RvYy54bWxQ&#10;SwUGAAAAAAYABgBZAQAAjQUAAAAA&#10;">
                <v:fill on="t" focussize="0,0"/>
                <v:stroke color="#000000" joinstyle="round"/>
                <v:imagedata o:title=""/>
                <o:lock v:ext="edit" aspectratio="f"/>
              </v:shape>
            </w:pict>
          </mc:Fallback>
        </mc:AlternateContent>
      </w: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r>
        <w:rPr>
          <w:rFonts w:ascii="Times New Roman" w:hAnsi="Times New Roman"/>
          <w:color w:val="000000" w:themeColor="text1"/>
          <w:spacing w:val="-3"/>
          <w:sz w:val="24"/>
          <w:szCs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2299970</wp:posOffset>
                </wp:positionH>
                <wp:positionV relativeFrom="paragraph">
                  <wp:posOffset>55880</wp:posOffset>
                </wp:positionV>
                <wp:extent cx="406400" cy="186055"/>
                <wp:effectExtent l="0" t="0" r="0" b="0"/>
                <wp:wrapNone/>
                <wp:docPr id="32" name="文本框 244"/>
                <wp:cNvGraphicFramePr/>
                <a:graphic xmlns:a="http://schemas.openxmlformats.org/drawingml/2006/main">
                  <a:graphicData uri="http://schemas.microsoft.com/office/word/2010/wordprocessingShape">
                    <wps:wsp>
                      <wps:cNvSpPr txBox="1"/>
                      <wps:spPr>
                        <a:xfrm>
                          <a:off x="0" y="0"/>
                          <a:ext cx="406400" cy="186055"/>
                        </a:xfrm>
                        <a:prstGeom prst="rect">
                          <a:avLst/>
                        </a:prstGeom>
                        <a:solidFill>
                          <a:srgbClr val="FFFFFF">
                            <a:alpha val="0"/>
                          </a:srgbClr>
                        </a:solidFill>
                        <a:ln>
                          <a:noFill/>
                        </a:ln>
                      </wps:spPr>
                      <wps:txbx>
                        <w:txbxContent>
                          <w:p>
                            <w:pPr>
                              <w:rPr>
                                <w:b/>
                                <w:bCs/>
                                <w:color w:val="FF0000"/>
                              </w:rPr>
                            </w:pPr>
                            <w:r>
                              <w:rPr>
                                <w:rFonts w:hint="eastAsia"/>
                                <w:b/>
                                <w:bCs/>
                                <w:color w:val="FF0000"/>
                              </w:rPr>
                              <w:t>D1</w:t>
                            </w:r>
                          </w:p>
                          <w:p/>
                        </w:txbxContent>
                      </wps:txbx>
                      <wps:bodyPr lIns="0" tIns="0" rIns="0" bIns="0" anchor="ctr" anchorCtr="0" upright="1"/>
                    </wps:wsp>
                  </a:graphicData>
                </a:graphic>
              </wp:anchor>
            </w:drawing>
          </mc:Choice>
          <mc:Fallback>
            <w:pict>
              <v:shape id="文本框 244" o:spid="_x0000_s1026" o:spt="202" type="#_x0000_t202" style="position:absolute;left:0pt;margin-left:181.1pt;margin-top:4.4pt;height:14.65pt;width:32pt;z-index:251671552;v-text-anchor:middle;mso-width-relative:page;mso-height-relative:page;" fillcolor="#FFFFFF" filled="t" stroked="f" coordsize="21600,21600" o:gfxdata="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YXRO9UA&#10;AAAIAQAADwAAAAAAAAABACAAAAAiAAAAZHJzL2Rvd25yZXYueG1sUEsBAhQAFAAAAAgAh07iQDfU&#10;ZPjpAQAA1QMAAA4AAAAAAAAAAQAgAAAAJAEAAGRycy9lMm9Eb2MueG1sUEsFBgAAAAAGAAYAWQEA&#10;AH8FAAAAAA==&#10;">
                <v:fill on="t" opacity="0f" focussize="0,0"/>
                <v:stroke on="f"/>
                <v:imagedata o:title=""/>
                <o:lock v:ext="edit" aspectratio="f"/>
                <v:textbox inset="0mm,0mm,0mm,0mm">
                  <w:txbxContent>
                    <w:p>
                      <w:pPr>
                        <w:rPr>
                          <w:b/>
                          <w:bCs/>
                          <w:color w:val="FF0000"/>
                        </w:rPr>
                      </w:pPr>
                      <w:r>
                        <w:rPr>
                          <w:rFonts w:hint="eastAsia"/>
                          <w:b/>
                          <w:bCs/>
                          <w:color w:val="FF0000"/>
                        </w:rPr>
                        <w:t>D1</w:t>
                      </w:r>
                    </w:p>
                    <w:p/>
                  </w:txbxContent>
                </v:textbox>
              </v:shape>
            </w:pict>
          </mc:Fallback>
        </mc:AlternateContent>
      </w:r>
      <w:r>
        <w:rPr>
          <w:rFonts w:ascii="Times New Roman" w:hAnsi="Times New Roman"/>
          <w:color w:val="000000" w:themeColor="text1"/>
          <w:spacing w:val="-3"/>
          <w:sz w:val="24"/>
          <w:szCs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2497455</wp:posOffset>
                </wp:positionH>
                <wp:positionV relativeFrom="paragraph">
                  <wp:posOffset>32385</wp:posOffset>
                </wp:positionV>
                <wp:extent cx="101600" cy="101600"/>
                <wp:effectExtent l="4445" t="4445" r="8255" b="8255"/>
                <wp:wrapNone/>
                <wp:docPr id="14" name="椭圆 241"/>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241" o:spid="_x0000_s1026" o:spt="3" type="#_x0000_t3" style="position:absolute;left:0pt;margin-left:196.65pt;margin-top:2.55pt;height:8pt;width:8pt;z-index:251668480;mso-width-relative:page;mso-height-relative:page;" fillcolor="#FFFF00" filled="t" stroked="t" coordsize="21600,21600" o:gfxdata="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XGBr/WAAAACAEAAA8AAAAAAAAAAQAgAAAAIgAAAGRycy9kb3ducmV2LnhtbFBLAQIU&#10;ABQAAAAIAIdO4kDfkxRU9QEAABkEAAAOAAAAAAAAAAEAIAAAACUBAABkcnMvZTJvRG9jLnhtbFBL&#10;BQYAAAAABgAGAFkBAACMBQAAAAA=&#10;">
                <v:fill on="t" focussize="0,0"/>
                <v:stroke color="#000000" joinstyle="round"/>
                <v:imagedata o:title=""/>
                <o:lock v:ext="edit" aspectratio="f"/>
              </v:shape>
            </w:pict>
          </mc:Fallback>
        </mc:AlternateContent>
      </w: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pStyle w:val="3"/>
        <w:numPr>
          <w:ilvl w:val="0"/>
          <w:numId w:val="0"/>
        </w:numPr>
        <w:tabs>
          <w:tab w:val="clear" w:pos="2040"/>
        </w:tabs>
        <w:rPr>
          <w:rFonts w:ascii="Times New Roman" w:hAnsi="Times New Roman"/>
          <w:color w:val="000000" w:themeColor="text1"/>
          <w:spacing w:val="-3"/>
          <w:sz w:val="24"/>
          <w:szCs w:val="24"/>
          <w14:textFill>
            <w14:solidFill>
              <w14:schemeClr w14:val="tx1"/>
            </w14:solidFill>
          </w14:textFill>
        </w:rPr>
      </w:pPr>
    </w:p>
    <w:p>
      <w:pPr>
        <w:adjustRightInd w:val="0"/>
        <w:snapToGrid w:val="0"/>
        <w:spacing w:line="520" w:lineRule="exact"/>
        <w:jc w:val="center"/>
        <w:rPr>
          <w:rFonts w:ascii="Times New Roman" w:hAnsiTheme="minorEastAsia" w:eastAsiaTheme="minorEastAsia"/>
          <w:b/>
          <w:bCs/>
          <w:color w:val="000000" w:themeColor="text1"/>
          <w:sz w:val="24"/>
          <w:szCs w:val="24"/>
          <w14:textFill>
            <w14:solidFill>
              <w14:schemeClr w14:val="tx1"/>
            </w14:solidFill>
          </w14:textFill>
        </w:rPr>
      </w:pPr>
      <w:r>
        <w:rPr>
          <w:rFonts w:ascii="Times New Roman" w:hAnsiTheme="minorEastAsia" w:eastAsiaTheme="minorEastAsia"/>
          <w:b/>
          <w:bCs/>
          <w:color w:val="000000" w:themeColor="text1"/>
          <w:sz w:val="24"/>
          <w:szCs w:val="24"/>
          <w14:textFill>
            <w14:solidFill>
              <w14:schemeClr w14:val="tx1"/>
            </w14:solidFill>
          </w14:textFill>
        </w:rPr>
        <w:t>图</w:t>
      </w:r>
      <w:r>
        <w:rPr>
          <w:rFonts w:hint="eastAsia" w:ascii="Times New Roman" w:hAnsiTheme="minorEastAsia" w:eastAsiaTheme="minorEastAsia"/>
          <w:b/>
          <w:bCs/>
          <w:color w:val="000000" w:themeColor="text1"/>
          <w:sz w:val="24"/>
          <w:szCs w:val="24"/>
          <w14:textFill>
            <w14:solidFill>
              <w14:schemeClr w14:val="tx1"/>
            </w14:solidFill>
          </w14:textFill>
        </w:rPr>
        <w:t>7.2-28</w:t>
      </w:r>
      <w:r>
        <w:rPr>
          <w:rFonts w:ascii="Times New Roman" w:hAnsiTheme="minorEastAsia" w:eastAsiaTheme="minorEastAsia"/>
          <w:b/>
          <w:bCs/>
          <w:color w:val="000000" w:themeColor="text1"/>
          <w:sz w:val="24"/>
          <w:szCs w:val="24"/>
          <w14:textFill>
            <w14:solidFill>
              <w14:schemeClr w14:val="tx1"/>
            </w14:solidFill>
          </w14:textFill>
        </w:rPr>
        <w:t xml:space="preserve">  项目地下水跟踪监测井布设位置示意图</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（2）监测井建设要求</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地下水监测井的建设严格按《地下水环境监测技术规范》的相关要求进行：</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①监测井井管应由坚固、耐腐蚀、对地下水水质无污染的材料制成。</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②监测井的深度应根据所处含水层类型及其埋深和厚度来确定，尽可能超过已知最大地下水埋深以下2m，且潜水监测井不得穿透潜水含水层下的隔水层的底板。</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③监测井顶角斜度每百米井深不得超过1°。</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④监测井的终孔直径不宜小于0.25m，成井后应进行抽水洗井。</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⑤监测井应设明显标识牌，井（孔）口应高出地面0.5～1.0m，井（孔）口安装盖（保护帽），孔口地面应采取防渗措施，井周围应有防护栏。</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66" w:name="_Toc5305"/>
      <w:bookmarkStart w:id="767" w:name="_Toc13654"/>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.2.3.6应急响应</w:t>
      </w:r>
      <w:bookmarkEnd w:id="766"/>
      <w:bookmarkEnd w:id="767"/>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当发生异常情况时，需采取应急措施。应采取阻漏措施，控制污染物向包气带和地下水中扩散，同时加强监测井的水质监测。制定地下水污染应急响应方案，降低污染危害。</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①当发生异常情况时，按照装置制定的环境事故应急预案，启动应急预案。在第一时间内尽快上报主管领导，启动周围社会预案，密切关注地下水水质变化情况。</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②组织专业队伍负责查找环境事故发生地点，分析事故原因，尽量将紧急时间局部化，如可能应予以消除，尽量缩小环境事故对人和财产的影响。减低事故后果的手段，包括切断生产装置或设施。</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③对事故现场进行调查，监测及处理。对事故后果进行评估，采取紧急措施制止事故扩散，并制定防止类似事件发生的措施。</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④如果本公司力量不足，需要请求社会应急力量协助。</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68" w:name="_Toc26069"/>
      <w:bookmarkStart w:id="769" w:name="_Toc21845"/>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.2.3.7跟踪监测与信息公开计划</w:t>
      </w:r>
      <w:bookmarkEnd w:id="768"/>
      <w:bookmarkEnd w:id="769"/>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企业应按要求委托有资质单位编制地下水环境跟踪监测报告，一般应包括以下内容：</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（1）建设项目所在场地及其影响区地下水环境跟踪监测数据，排放污染物的种类、数量、浓度。</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（2）生产设备、管廊或管线、贮存与运输装置、污染物贮存与处理装置、事故应急装置等设施的运行状况、跑冒滴漏记录、维护记录。</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（3）信息公开计划应至少包括建设项目特征因子的地下水环境监测值</w:t>
      </w:r>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建设单位应参照《地下水环境监测技术规范》（HJ/T164-2004）要求定期对监控井取样监测，监测的装备必须符合《地下水环境监测技术规范》（HJ/T164-2004）的要求。没有条件自行监测的，也可委托有资质单位进行跟踪监测。</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70" w:name="_Toc6247"/>
      <w:bookmarkStart w:id="771" w:name="_Toc25018"/>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.2.3.8其他管理措施</w:t>
      </w:r>
      <w:bookmarkEnd w:id="770"/>
      <w:bookmarkEnd w:id="771"/>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建设单位应在车间、罐区、综合仓库四周设置导流沟，并与事故应急池相连通，一旦发生泄漏事故，泄漏的物料可通过导流沟导入事故应急池，同时及时通知车间管理人员，停车检修。清理现场产生的清洗废水也可通过倒流沟导入事故应急池。事故处理完毕后将事故应急池内的废水导入生产系统回用，不外排。</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72" w:name="_Toc23341"/>
      <w:bookmarkStart w:id="773" w:name="_Toc1056"/>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.2.3.9地下水防治措施可行性分析结论</w:t>
      </w:r>
      <w:bookmarkEnd w:id="772"/>
      <w:bookmarkEnd w:id="773"/>
    </w:p>
    <w:p>
      <w:pPr>
        <w:autoSpaceDE w:val="0"/>
        <w:autoSpaceDN w:val="0"/>
        <w:adjustRightInd w:val="0"/>
        <w:snapToGrid w:val="0"/>
        <w:spacing w:line="520" w:lineRule="exact"/>
        <w:ind w:firstLine="468" w:firstLineChars="200"/>
        <w:jc w:val="left"/>
        <w:rPr>
          <w:rFonts w:ascii="Times New Roman" w:hAnsi="Times New Roman" w:eastAsiaTheme="minorEastAsia"/>
          <w:color w:val="000000" w:themeColor="text1"/>
          <w:spacing w:val="-3"/>
          <w:sz w:val="24"/>
          <w:szCs w:val="24"/>
          <w14:textFill>
            <w14:solidFill>
              <w14:schemeClr w14:val="tx1"/>
            </w14:solidFill>
          </w14:textFill>
        </w:rPr>
      </w:pPr>
      <w:r>
        <w:rPr>
          <w:rFonts w:hint="eastAsia" w:ascii="Times New Roman" w:hAnsi="Times New Roman" w:eastAsiaTheme="minorEastAsia"/>
          <w:color w:val="000000" w:themeColor="text1"/>
          <w:spacing w:val="-3"/>
          <w:sz w:val="24"/>
          <w:szCs w:val="24"/>
          <w14:textFill>
            <w14:solidFill>
              <w14:schemeClr w14:val="tx1"/>
            </w14:solidFill>
          </w14:textFill>
        </w:rPr>
        <w:t>综上，本项目采取了厂区分区防渗、防渗漏及动态监测等措施，对可能产生地下水影响的各项途径均进行了有效预防，在确保各项防渗措施得以落实的条件下，项目对地下水的污染可控，本项目的建设不会对区域地下水环境产生明显影响，因此，本项目的地下水防治措施可行。</w:t>
      </w:r>
    </w:p>
    <w:bookmarkEnd w:id="747"/>
    <w:bookmarkEnd w:id="748"/>
    <w:bookmarkEnd w:id="749"/>
    <w:bookmarkEnd w:id="750"/>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74" w:name="_Toc24283"/>
      <w:bookmarkStart w:id="775" w:name="_Toc32106"/>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.2.4噪声污染防治措施可行性分析</w:t>
      </w:r>
      <w:bookmarkEnd w:id="774"/>
      <w:bookmarkEnd w:id="775"/>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本项目主要噪声源包括生产车间</w:t>
      </w:r>
      <w:r>
        <w:rPr>
          <w:rFonts w:ascii="Times New Roman" w:hAnsiTheme="minorEastAsia" w:eastAsiaTheme="minorEastAsia"/>
          <w:color w:val="000000" w:themeColor="text1"/>
          <w:sz w:val="24"/>
          <w14:textFill>
            <w14:solidFill>
              <w14:schemeClr w14:val="tx1"/>
            </w14:solidFill>
          </w14:textFill>
        </w:rPr>
        <w:t>设备运行时产生的作业噪声，以及风机、泵、电机等各类辅助设备的工作噪声，类比调查车间噪声声级值约在</w:t>
      </w:r>
      <w:r>
        <w:rPr>
          <w:rFonts w:hint="eastAsia" w:ascii="Times New Roman" w:hAnsi="Times New Roman" w:eastAsiaTheme="minorEastAsia"/>
          <w:color w:val="000000" w:themeColor="text1"/>
          <w:sz w:val="24"/>
          <w14:textFill>
            <w14:solidFill>
              <w14:schemeClr w14:val="tx1"/>
            </w14:solidFill>
          </w14:textFill>
        </w:rPr>
        <w:t>80</w:t>
      </w:r>
      <w:r>
        <w:rPr>
          <w:rFonts w:ascii="Times New Roman" w:hAnsi="Times New Roman" w:eastAsiaTheme="minorEastAsia"/>
          <w:color w:val="000000" w:themeColor="text1"/>
          <w:sz w:val="24"/>
          <w14:textFill>
            <w14:solidFill>
              <w14:schemeClr w14:val="tx1"/>
            </w14:solidFill>
          </w14:textFill>
        </w:rPr>
        <w:t>~</w:t>
      </w:r>
      <w:r>
        <w:rPr>
          <w:rFonts w:hint="eastAsia" w:ascii="Times New Roman" w:hAnsi="Times New Roman" w:eastAsiaTheme="minorEastAsia"/>
          <w:color w:val="000000" w:themeColor="text1"/>
          <w:sz w:val="24"/>
          <w14:textFill>
            <w14:solidFill>
              <w14:schemeClr w14:val="tx1"/>
            </w14:solidFill>
          </w14:textFill>
        </w:rPr>
        <w:t>90</w:t>
      </w:r>
      <w:r>
        <w:rPr>
          <w:rFonts w:ascii="Times New Roman" w:hAnsi="Times New Roman" w:eastAsiaTheme="minorEastAsia"/>
          <w:color w:val="000000" w:themeColor="text1"/>
          <w:sz w:val="24"/>
          <w14:textFill>
            <w14:solidFill>
              <w14:schemeClr w14:val="tx1"/>
            </w14:solidFill>
          </w14:textFill>
        </w:rPr>
        <w:t>dB(A)</w:t>
      </w:r>
      <w:r>
        <w:rPr>
          <w:rFonts w:ascii="Times New Roman" w:hAnsiTheme="minorEastAsia" w:eastAsiaTheme="minorEastAsia"/>
          <w:color w:val="000000" w:themeColor="text1"/>
          <w:sz w:val="24"/>
          <w14:textFill>
            <w14:solidFill>
              <w14:schemeClr w14:val="tx1"/>
            </w14:solidFill>
          </w14:textFill>
        </w:rPr>
        <w:t>左右。为确保项目厂界噪声达到《工业企业厂界环境噪声排放标准》</w:t>
      </w:r>
      <w:r>
        <w:rPr>
          <w:rFonts w:ascii="Times New Roman" w:hAnsi="Times New Roman" w:eastAsiaTheme="minorEastAsia"/>
          <w:color w:val="000000" w:themeColor="text1"/>
          <w:sz w:val="24"/>
          <w14:textFill>
            <w14:solidFill>
              <w14:schemeClr w14:val="tx1"/>
            </w14:solidFill>
          </w14:textFill>
        </w:rPr>
        <w:t>(GB12348-2008)</w:t>
      </w:r>
      <w:r>
        <w:rPr>
          <w:rFonts w:ascii="Times New Roman" w:hAnsiTheme="minorEastAsia" w:eastAsiaTheme="minorEastAsia"/>
          <w:color w:val="000000" w:themeColor="text1"/>
          <w:sz w:val="24"/>
          <w14:textFill>
            <w14:solidFill>
              <w14:schemeClr w14:val="tx1"/>
            </w14:solidFill>
          </w14:textFill>
        </w:rPr>
        <w:t>中</w:t>
      </w:r>
      <w:r>
        <w:rPr>
          <w:rFonts w:hint="eastAsia" w:ascii="Times New Roman" w:hAnsi="Times New Roman" w:eastAsiaTheme="minorEastAsia"/>
          <w:color w:val="000000" w:themeColor="text1"/>
          <w:sz w:val="24"/>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类标准规定要求，减少对周围声环境质量的影响，改善职工的工作环境，应采取必要的降噪措施。</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设备选型上充分考虑选择低噪声型号设备；对高噪声设备安装减震垫、隔声罩，对风机进行隔振、消声；并加强设备运行管理，对各机械设备应定期检查、维修，使各机械设备保持良好的工作状态。</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项目生产车间安装隔声门窗，生产时关闭门窗，车间可安装吸声消声装置，以保证车间隔声达到</w:t>
      </w:r>
      <w:r>
        <w:rPr>
          <w:rFonts w:hint="eastAsia" w:ascii="Times New Roman" w:hAnsi="Times New Roman" w:eastAsiaTheme="minorEastAsia"/>
          <w:color w:val="000000" w:themeColor="text1"/>
          <w:sz w:val="24"/>
          <w14:textFill>
            <w14:solidFill>
              <w14:schemeClr w14:val="tx1"/>
            </w14:solidFill>
          </w14:textFill>
        </w:rPr>
        <w:t>25</w:t>
      </w:r>
      <w:r>
        <w:rPr>
          <w:rFonts w:ascii="Times New Roman" w:hAnsi="Times New Roman" w:eastAsiaTheme="minorEastAsia"/>
          <w:color w:val="000000" w:themeColor="text1"/>
          <w:sz w:val="24"/>
          <w14:textFill>
            <w14:solidFill>
              <w14:schemeClr w14:val="tx1"/>
            </w14:solidFill>
          </w14:textFill>
        </w:rPr>
        <w:t>dB</w:t>
      </w:r>
      <w:r>
        <w:rPr>
          <w:rFonts w:ascii="Times New Roman" w:hAnsiTheme="minorEastAsia" w:eastAsiaTheme="minorEastAsia"/>
          <w:color w:val="000000" w:themeColor="text1"/>
          <w:sz w:val="24"/>
          <w14:textFill>
            <w14:solidFill>
              <w14:schemeClr w14:val="tx1"/>
            </w14:solidFill>
          </w14:textFill>
        </w:rPr>
        <w:t>以上；合理布局车间设备位置，必要时对高噪声设备设置单独隔间；厂区种植绿化树林带和灌木草地。</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对放置于车间外的各类风机、泵等高噪声设备进行减振、降噪处理，并应安装隔声箱体，尽可能降低噪声影响。通过上述噪声防治措施，厂界噪声至少可降低</w:t>
      </w:r>
      <w:r>
        <w:rPr>
          <w:rFonts w:ascii="Times New Roman" w:hAnsi="Times New Roman" w:eastAsiaTheme="minorEastAsia"/>
          <w:color w:val="000000" w:themeColor="text1"/>
          <w:sz w:val="24"/>
          <w14:textFill>
            <w14:solidFill>
              <w14:schemeClr w14:val="tx1"/>
            </w14:solidFill>
          </w14:textFill>
        </w:rPr>
        <w:t>20~30dB(A)</w:t>
      </w:r>
      <w:r>
        <w:rPr>
          <w:rFonts w:ascii="Times New Roman" w:hAnsiTheme="minorEastAsia" w:eastAsiaTheme="minorEastAsia"/>
          <w:color w:val="000000" w:themeColor="text1"/>
          <w:sz w:val="24"/>
          <w14:textFill>
            <w14:solidFill>
              <w14:schemeClr w14:val="tx1"/>
            </w14:solidFill>
          </w14:textFill>
        </w:rPr>
        <w:t>以上，最大程度满足噪声环境标准要求。</w:t>
      </w:r>
    </w:p>
    <w:p>
      <w:pPr>
        <w:adjustRightInd w:val="0"/>
        <w:snapToGrid w:val="0"/>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项目噪声防治措施主要为声源控制和传播途径控制，此外，企业应积极从生产厂区及车间设备布局安排上综合考虑，以有效利用各类材料和围墙隔声、距离衰减等作用降低噪声影响，减少不必要的噪声防治设施投入。</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通过类比调查，各噪声源噪声级在</w:t>
      </w:r>
      <w:r>
        <w:rPr>
          <w:rFonts w:ascii="Times New Roman" w:hAnsi="Times New Roman" w:eastAsiaTheme="minorEastAsia"/>
          <w:color w:val="000000" w:themeColor="text1"/>
          <w:sz w:val="24"/>
          <w14:textFill>
            <w14:solidFill>
              <w14:schemeClr w14:val="tx1"/>
            </w14:solidFill>
          </w14:textFill>
        </w:rPr>
        <w:t>8</w:t>
      </w:r>
      <w:r>
        <w:rPr>
          <w:rFonts w:hint="eastAsia" w:ascii="Times New Roman" w:hAnsi="Times New Roman" w:eastAsiaTheme="minorEastAsia"/>
          <w:color w:val="000000" w:themeColor="text1"/>
          <w:sz w:val="24"/>
          <w14:textFill>
            <w14:solidFill>
              <w14:schemeClr w14:val="tx1"/>
            </w14:solidFill>
          </w14:textFill>
        </w:rPr>
        <w:t>0～</w:t>
      </w:r>
      <w:r>
        <w:rPr>
          <w:rFonts w:ascii="Times New Roman" w:hAnsi="Times New Roman" w:eastAsiaTheme="minorEastAsia"/>
          <w:color w:val="000000" w:themeColor="text1"/>
          <w:sz w:val="24"/>
          <w14:textFill>
            <w14:solidFill>
              <w14:schemeClr w14:val="tx1"/>
            </w14:solidFill>
          </w14:textFill>
        </w:rPr>
        <w:t>90</w:t>
      </w:r>
      <w:r>
        <w:rPr>
          <w:rFonts w:hint="eastAsia" w:ascii="Times New Roman" w:hAnsi="Times New Roman" w:eastAsiaTheme="minorEastAsia"/>
          <w:color w:val="000000" w:themeColor="text1"/>
          <w:sz w:val="24"/>
          <w14:textFill>
            <w14:solidFill>
              <w14:schemeClr w14:val="tx1"/>
            </w14:solidFill>
          </w14:textFill>
        </w:rPr>
        <w:t>dB（A），噪声污染源及防治措施见表</w:t>
      </w:r>
      <w:r>
        <w:rPr>
          <w:rFonts w:hint="eastAsia" w:ascii="Times New Roman" w:hAnsi="Times New Roman" w:eastAsiaTheme="minorEastAsia"/>
          <w:color w:val="000000" w:themeColor="text1"/>
          <w:sz w:val="24"/>
          <w:lang w:val="en-US" w:eastAsia="zh-CN"/>
          <w14:textFill>
            <w14:solidFill>
              <w14:schemeClr w14:val="tx1"/>
            </w14:solidFill>
          </w14:textFill>
        </w:rPr>
        <w:t>8</w:t>
      </w:r>
      <w:r>
        <w:rPr>
          <w:rFonts w:hint="eastAsia" w:ascii="Times New Roman" w:hAnsi="Times New Roman" w:eastAsiaTheme="minorEastAsia"/>
          <w:color w:val="000000" w:themeColor="text1"/>
          <w:sz w:val="24"/>
          <w14:textFill>
            <w14:solidFill>
              <w14:schemeClr w14:val="tx1"/>
            </w14:solidFill>
          </w14:textFill>
        </w:rPr>
        <w:t>.2-9。</w:t>
      </w:r>
    </w:p>
    <w:p>
      <w:pPr>
        <w:adjustRightInd w:val="0"/>
        <w:snapToGrid w:val="0"/>
        <w:spacing w:line="520" w:lineRule="exact"/>
        <w:jc w:val="center"/>
        <w:rPr>
          <w:rFonts w:ascii="Times New Roman" w:hAnsi="Times New Roman" w:eastAsiaTheme="minorEastAsia"/>
          <w:b/>
          <w:color w:val="000000" w:themeColor="text1"/>
          <w:sz w:val="24"/>
          <w14:textFill>
            <w14:solidFill>
              <w14:schemeClr w14:val="tx1"/>
            </w14:solidFill>
          </w14:textFill>
        </w:rPr>
      </w:pPr>
      <w:r>
        <w:rPr>
          <w:rFonts w:hint="eastAsia" w:ascii="Times New Roman" w:hAnsi="Times New Roman" w:eastAsiaTheme="minorEastAsia"/>
          <w:b/>
          <w:color w:val="000000" w:themeColor="text1"/>
          <w:sz w:val="24"/>
          <w14:textFill>
            <w14:solidFill>
              <w14:schemeClr w14:val="tx1"/>
            </w14:solidFill>
          </w14:textFill>
        </w:rPr>
        <w:t xml:space="preserve">表 </w:t>
      </w:r>
      <w:r>
        <w:rPr>
          <w:rFonts w:hint="eastAsia" w:ascii="Times New Roman" w:hAnsi="Times New Roman" w:eastAsiaTheme="minorEastAsia"/>
          <w:b/>
          <w:color w:val="000000" w:themeColor="text1"/>
          <w:sz w:val="24"/>
          <w:lang w:val="en-US" w:eastAsia="zh-CN"/>
          <w14:textFill>
            <w14:solidFill>
              <w14:schemeClr w14:val="tx1"/>
            </w14:solidFill>
          </w14:textFill>
        </w:rPr>
        <w:t>8</w:t>
      </w:r>
      <w:r>
        <w:rPr>
          <w:rFonts w:hint="eastAsia" w:ascii="Times New Roman" w:hAnsi="Times New Roman" w:eastAsiaTheme="minorEastAsia"/>
          <w:b/>
          <w:color w:val="000000" w:themeColor="text1"/>
          <w:sz w:val="24"/>
          <w14:textFill>
            <w14:solidFill>
              <w14:schemeClr w14:val="tx1"/>
            </w14:solidFill>
          </w14:textFill>
        </w:rPr>
        <w:t>.2-9  项目噪声源强分类及拟采取的防治措施</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5"/>
        <w:gridCol w:w="1115"/>
        <w:gridCol w:w="1965"/>
        <w:gridCol w:w="990"/>
        <w:gridCol w:w="1337"/>
        <w:gridCol w:w="1956"/>
        <w:gridCol w:w="11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序号</w:t>
            </w:r>
          </w:p>
        </w:tc>
        <w:tc>
          <w:tcPr>
            <w:tcW w:w="111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车间位置</w:t>
            </w: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设备名称</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数量/台</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单台声压级值dB（A</w:t>
            </w:r>
            <w:r>
              <w:rPr>
                <w:rFonts w:hint="eastAsia" w:ascii="Times New Roman" w:hAnsi="Times New Roman"/>
                <w:color w:val="000000" w:themeColor="text1"/>
                <w:kern w:val="0"/>
                <w:sz w:val="18"/>
                <w:szCs w:val="18"/>
                <w14:textFill>
                  <w14:solidFill>
                    <w14:schemeClr w14:val="tx1"/>
                  </w14:solidFill>
                </w14:textFill>
              </w:rPr>
              <w:t>）</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治理措施</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降噪效果dB（A）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115"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氟硅酸钠</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生产车间</w:t>
            </w: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衬塑刮板离心机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板框压滤机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除氟釜</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4</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4</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循环水泵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布袋除尘器</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6</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冷却塔</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85</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7</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物料输送泵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风机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3</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90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9</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包装机</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10</w:t>
            </w:r>
          </w:p>
        </w:tc>
        <w:tc>
          <w:tcPr>
            <w:tcW w:w="1115"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罐区</w:t>
            </w: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氟硅酸输送泵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11</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废酸输送泵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12</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粗钙液输送泵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13</w:t>
            </w:r>
          </w:p>
        </w:tc>
        <w:tc>
          <w:tcPr>
            <w:tcW w:w="1115"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965"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成品钙液输送泵</w:t>
            </w:r>
          </w:p>
        </w:tc>
        <w:tc>
          <w:tcPr>
            <w:tcW w:w="99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w:t>
            </w:r>
          </w:p>
        </w:tc>
        <w:tc>
          <w:tcPr>
            <w:tcW w:w="133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80</w:t>
            </w:r>
          </w:p>
        </w:tc>
        <w:tc>
          <w:tcPr>
            <w:tcW w:w="195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隔声、减振</w:t>
            </w:r>
          </w:p>
        </w:tc>
        <w:tc>
          <w:tcPr>
            <w:tcW w:w="110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20-30</w:t>
            </w:r>
          </w:p>
        </w:tc>
      </w:tr>
    </w:tbl>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经过上述措施隔音降噪后，通过距离衰减及绿化隔声降噪、厂界噪声能够达到《工业企业厂界环境噪声排放标准》（GB12348-2008）3类标准。由于该项目的噪声设备属于常见噪声源，采用的控制措施是成熟和定型的，从技术角度讲是可靠的，经济上是合理的，拟建项目噪声治理措施总体上是可行的。</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776" w:name="_Toc325552429"/>
      <w:bookmarkStart w:id="777" w:name="_Toc21143"/>
      <w:bookmarkStart w:id="778" w:name="_Toc21511"/>
      <w:bookmarkStart w:id="779" w:name="_Toc15074"/>
      <w:bookmarkStart w:id="780" w:name="_Toc24582"/>
      <w:bookmarkStart w:id="781" w:name="_Toc32645"/>
      <w:r>
        <w:rPr>
          <w:rFonts w:hint="eastAsia" w:ascii="Times New Roman" w:hAnsi="Times New Roman" w:eastAsia="黑体"/>
          <w:b/>
          <w:color w:val="000000" w:themeColor="text1"/>
          <w:kern w:val="0"/>
          <w:sz w:val="28"/>
          <w:szCs w:val="28"/>
          <w:lang w:val="en-US" w:eastAsia="zh-CN"/>
          <w14:textFill>
            <w14:solidFill>
              <w14:schemeClr w14:val="tx1"/>
            </w14:solidFill>
          </w14:textFill>
        </w:rPr>
        <w:t>8</w:t>
      </w:r>
      <w:r>
        <w:rPr>
          <w:rFonts w:hint="eastAsia" w:ascii="Times New Roman" w:hAnsi="Times New Roman" w:eastAsia="黑体"/>
          <w:b/>
          <w:color w:val="000000" w:themeColor="text1"/>
          <w:kern w:val="0"/>
          <w:sz w:val="28"/>
          <w:szCs w:val="28"/>
          <w14:textFill>
            <w14:solidFill>
              <w14:schemeClr w14:val="tx1"/>
            </w14:solidFill>
          </w14:textFill>
        </w:rPr>
        <w:t>.2.5固废</w:t>
      </w:r>
      <w:bookmarkEnd w:id="776"/>
      <w:bookmarkEnd w:id="777"/>
      <w:bookmarkEnd w:id="778"/>
      <w:r>
        <w:rPr>
          <w:rFonts w:hint="eastAsia" w:ascii="Times New Roman" w:hAnsi="Times New Roman" w:eastAsia="黑体"/>
          <w:b/>
          <w:color w:val="000000" w:themeColor="text1"/>
          <w:kern w:val="0"/>
          <w:sz w:val="28"/>
          <w:szCs w:val="28"/>
          <w14:textFill>
            <w14:solidFill>
              <w14:schemeClr w14:val="tx1"/>
            </w14:solidFill>
          </w14:textFill>
        </w:rPr>
        <w:t>污染防治措施</w:t>
      </w:r>
      <w:bookmarkEnd w:id="779"/>
      <w:r>
        <w:rPr>
          <w:rFonts w:hint="eastAsia" w:ascii="Times New Roman" w:hAnsi="Times New Roman" w:eastAsia="黑体"/>
          <w:b/>
          <w:color w:val="000000" w:themeColor="text1"/>
          <w:kern w:val="0"/>
          <w:sz w:val="28"/>
          <w:szCs w:val="28"/>
          <w14:textFill>
            <w14:solidFill>
              <w14:schemeClr w14:val="tx1"/>
            </w14:solidFill>
          </w14:textFill>
        </w:rPr>
        <w:t>可行性分析</w:t>
      </w:r>
      <w:bookmarkEnd w:id="780"/>
      <w:bookmarkEnd w:id="781"/>
    </w:p>
    <w:p>
      <w:pPr>
        <w:pStyle w:val="431"/>
        <w:spacing w:line="500" w:lineRule="exact"/>
        <w:rPr>
          <w:rFonts w:ascii="Times New Roman" w:hAnsi="Times New Roman" w:eastAsia="宋体" w:cs="Times New Roman"/>
          <w:color w:val="000000" w:themeColor="text1"/>
          <w14:textFill>
            <w14:solidFill>
              <w14:schemeClr w14:val="tx1"/>
            </w14:solidFill>
          </w14:textFill>
        </w:rPr>
      </w:pPr>
      <w:r>
        <w:rPr>
          <w:rFonts w:ascii="Times New Roman" w:hAnsiTheme="minorEastAsia"/>
          <w:color w:val="000000" w:themeColor="text1"/>
          <w14:textFill>
            <w14:solidFill>
              <w14:schemeClr w14:val="tx1"/>
            </w14:solidFill>
          </w14:textFill>
        </w:rPr>
        <w:t>根据</w:t>
      </w:r>
      <w:r>
        <w:rPr>
          <w:rFonts w:hint="eastAsia" w:ascii="Times New Roman" w:hAnsiTheme="minorEastAsia"/>
          <w:color w:val="000000" w:themeColor="text1"/>
          <w14:textFill>
            <w14:solidFill>
              <w14:schemeClr w14:val="tx1"/>
            </w14:solidFill>
          </w14:textFill>
        </w:rPr>
        <w:t>工程</w:t>
      </w:r>
      <w:r>
        <w:rPr>
          <w:rFonts w:ascii="Times New Roman" w:hAnsiTheme="minorEastAsia"/>
          <w:color w:val="000000" w:themeColor="text1"/>
          <w14:textFill>
            <w14:solidFill>
              <w14:schemeClr w14:val="tx1"/>
            </w14:solidFill>
          </w14:textFill>
        </w:rPr>
        <w:t>分析，</w:t>
      </w:r>
      <w:r>
        <w:rPr>
          <w:rFonts w:hint="eastAsia" w:ascii="Times New Roman" w:hAnsiTheme="minorEastAsia"/>
          <w:color w:val="000000" w:themeColor="text1"/>
          <w14:textFill>
            <w14:solidFill>
              <w14:schemeClr w14:val="tx1"/>
            </w14:solidFill>
          </w14:textFill>
        </w:rPr>
        <w:t>本</w:t>
      </w:r>
      <w:r>
        <w:rPr>
          <w:rFonts w:ascii="Times New Roman" w:hAnsiTheme="minorEastAsia"/>
          <w:color w:val="000000" w:themeColor="text1"/>
          <w14:textFill>
            <w14:solidFill>
              <w14:schemeClr w14:val="tx1"/>
            </w14:solidFill>
          </w14:textFill>
        </w:rPr>
        <w:t>项目固废</w:t>
      </w:r>
      <w:r>
        <w:rPr>
          <w:rFonts w:hint="eastAsia" w:ascii="Times New Roman" w:hAnsi="Times New Roman" w:eastAsia="宋体" w:cs="Times New Roman"/>
          <w:color w:val="000000" w:themeColor="text1"/>
          <w14:textFill>
            <w14:solidFill>
              <w14:schemeClr w14:val="tx1"/>
            </w14:solidFill>
          </w14:textFill>
        </w:rPr>
        <w:t>包括废弃包装材料、生活垃圾、布袋除尘器收集粉尘、压滤废渣、废机油。</w:t>
      </w: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numPr>
          <w:ilvl w:val="2"/>
          <w:numId w:val="34"/>
        </w:numPr>
        <w:spacing w:line="520" w:lineRule="exact"/>
        <w:ind w:firstLineChars="0"/>
        <w:rPr>
          <w:rFonts w:ascii="黑体" w:hAnsi="黑体" w:eastAsia="黑体"/>
          <w:b/>
          <w:vanish/>
          <w:color w:val="000000" w:themeColor="text1"/>
          <w:sz w:val="24"/>
          <w:szCs w:val="24"/>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82" w:name="_Toc10069"/>
      <w:bookmarkStart w:id="783" w:name="_Toc16635"/>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.2.5.1固体废物收集</w:t>
      </w:r>
      <w:bookmarkEnd w:id="782"/>
      <w:bookmarkEnd w:id="783"/>
    </w:p>
    <w:p>
      <w:pPr>
        <w:widowControl/>
        <w:adjustRightInd w:val="0"/>
        <w:snapToGrid w:val="0"/>
        <w:spacing w:line="520" w:lineRule="exact"/>
        <w:ind w:firstLine="480" w:firstLineChars="200"/>
        <w:jc w:val="left"/>
        <w:rPr>
          <w:rFonts w:ascii="Times New Roman" w:hAnsi="Times New Roman" w:eastAsiaTheme="minorEastAsia"/>
          <w:color w:val="000000" w:themeColor="text1"/>
          <w:kern w:val="0"/>
          <w:sz w:val="24"/>
          <w14:textFill>
            <w14:solidFill>
              <w14:schemeClr w14:val="tx1"/>
            </w14:solidFill>
          </w14:textFill>
        </w:rPr>
      </w:pPr>
      <w:r>
        <w:rPr>
          <w:rFonts w:ascii="Times New Roman" w:hAnsiTheme="minorEastAsia" w:eastAsiaTheme="minorEastAsia"/>
          <w:color w:val="000000" w:themeColor="text1"/>
          <w:kern w:val="0"/>
          <w:sz w:val="24"/>
          <w14:textFill>
            <w14:solidFill>
              <w14:schemeClr w14:val="tx1"/>
            </w14:solidFill>
          </w14:textFill>
        </w:rPr>
        <w:t>厂区建有固废分类收集制度，固废按危险固废、一般固废分类收集，同时将生活垃圾与工业固废进行分类收集。</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84" w:name="_Toc25254"/>
      <w:bookmarkStart w:id="785" w:name="_Toc12345"/>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.2.5.2固体废物暂存</w:t>
      </w:r>
      <w:bookmarkEnd w:id="784"/>
      <w:bookmarkEnd w:id="785"/>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heme="minorEastAsia" w:eastAsiaTheme="minorEastAsia"/>
          <w:color w:val="000000" w:themeColor="text1"/>
          <w:kern w:val="0"/>
          <w:sz w:val="24"/>
          <w14:textFill>
            <w14:solidFill>
              <w14:schemeClr w14:val="tx1"/>
            </w14:solidFill>
          </w14:textFill>
        </w:rPr>
        <w:t>项目</w:t>
      </w:r>
      <w:r>
        <w:rPr>
          <w:rFonts w:ascii="Times New Roman" w:hAnsiTheme="minorEastAsia" w:eastAsiaTheme="minorEastAsia"/>
          <w:color w:val="000000" w:themeColor="text1"/>
          <w:kern w:val="0"/>
          <w:sz w:val="24"/>
          <w14:textFill>
            <w14:solidFill>
              <w14:schemeClr w14:val="tx1"/>
            </w14:solidFill>
          </w14:textFill>
        </w:rPr>
        <w:t>厂区</w:t>
      </w:r>
      <w:r>
        <w:rPr>
          <w:rFonts w:hint="eastAsia" w:ascii="Times New Roman" w:hAnsiTheme="minorEastAsia" w:eastAsiaTheme="minorEastAsia"/>
          <w:color w:val="000000" w:themeColor="text1"/>
          <w:kern w:val="0"/>
          <w:sz w:val="24"/>
          <w14:textFill>
            <w14:solidFill>
              <w14:schemeClr w14:val="tx1"/>
            </w14:solidFill>
          </w14:textFill>
        </w:rPr>
        <w:t>应</w:t>
      </w:r>
      <w:r>
        <w:rPr>
          <w:rFonts w:ascii="Times New Roman" w:hAnsiTheme="minorEastAsia" w:eastAsiaTheme="minorEastAsia"/>
          <w:color w:val="000000" w:themeColor="text1"/>
          <w:kern w:val="0"/>
          <w:sz w:val="24"/>
          <w14:textFill>
            <w14:solidFill>
              <w14:schemeClr w14:val="tx1"/>
            </w14:solidFill>
          </w14:textFill>
        </w:rPr>
        <w:t>建有专门的</w:t>
      </w:r>
      <w:r>
        <w:rPr>
          <w:rFonts w:hint="eastAsia" w:ascii="Times New Roman" w:hAnsiTheme="minorEastAsia" w:eastAsiaTheme="minorEastAsia"/>
          <w:color w:val="000000" w:themeColor="text1"/>
          <w:kern w:val="0"/>
          <w:sz w:val="24"/>
          <w14:textFill>
            <w14:solidFill>
              <w14:schemeClr w14:val="tx1"/>
            </w14:solidFill>
          </w14:textFill>
        </w:rPr>
        <w:t>危废暂存间</w:t>
      </w:r>
      <w:r>
        <w:rPr>
          <w:rFonts w:ascii="Times New Roman" w:hAnsiTheme="minorEastAsia" w:eastAsiaTheme="minorEastAsia"/>
          <w:color w:val="000000" w:themeColor="text1"/>
          <w:kern w:val="0"/>
          <w:sz w:val="24"/>
          <w14:textFill>
            <w14:solidFill>
              <w14:schemeClr w14:val="tx1"/>
            </w14:solidFill>
          </w14:textFill>
        </w:rPr>
        <w:t>、</w:t>
      </w:r>
      <w:r>
        <w:rPr>
          <w:rFonts w:hint="eastAsia" w:ascii="Times New Roman" w:hAnsiTheme="minorEastAsia" w:eastAsiaTheme="minorEastAsia"/>
          <w:color w:val="000000" w:themeColor="text1"/>
          <w:kern w:val="0"/>
          <w:sz w:val="24"/>
          <w14:textFill>
            <w14:solidFill>
              <w14:schemeClr w14:val="tx1"/>
            </w14:solidFill>
          </w14:textFill>
        </w:rPr>
        <w:t>一般固废暂存间</w:t>
      </w:r>
      <w:r>
        <w:rPr>
          <w:rFonts w:ascii="Times New Roman" w:hAnsiTheme="minorEastAsia" w:eastAsiaTheme="minorEastAsia"/>
          <w:color w:val="000000" w:themeColor="text1"/>
          <w:kern w:val="0"/>
          <w:sz w:val="24"/>
          <w14:textFill>
            <w14:solidFill>
              <w14:schemeClr w14:val="tx1"/>
            </w14:solidFill>
          </w14:textFill>
        </w:rPr>
        <w:t>和移动式垃圾桶，将危险固废与一般固废分开堆放、生活垃圾与工业固废分开堆放。暂存</w:t>
      </w:r>
      <w:r>
        <w:rPr>
          <w:rFonts w:hint="eastAsia" w:ascii="Times New Roman" w:hAnsiTheme="minorEastAsia" w:eastAsiaTheme="minorEastAsia"/>
          <w:color w:val="000000" w:themeColor="text1"/>
          <w:kern w:val="0"/>
          <w:sz w:val="24"/>
          <w14:textFill>
            <w14:solidFill>
              <w14:schemeClr w14:val="tx1"/>
            </w14:solidFill>
          </w14:textFill>
        </w:rPr>
        <w:t>场所应</w:t>
      </w:r>
      <w:r>
        <w:rPr>
          <w:rFonts w:ascii="Times New Roman" w:hAnsiTheme="minorEastAsia" w:eastAsiaTheme="minorEastAsia"/>
          <w:color w:val="000000" w:themeColor="text1"/>
          <w:kern w:val="0"/>
          <w:sz w:val="24"/>
          <w14:textFill>
            <w14:solidFill>
              <w14:schemeClr w14:val="tx1"/>
            </w14:solidFill>
          </w14:textFill>
        </w:rPr>
        <w:t>按《一般工业固体废物贮存、处置场污染控制标准》和《危险废物贮存污染控制标准》要求进行设置。</w:t>
      </w:r>
      <w:r>
        <w:rPr>
          <w:rFonts w:hint="eastAsia" w:ascii="Times New Roman" w:hAnsi="Times New Roman" w:eastAsiaTheme="minorEastAsia"/>
          <w:color w:val="000000" w:themeColor="text1"/>
          <w:kern w:val="0"/>
          <w:sz w:val="24"/>
          <w14:textFill>
            <w14:solidFill>
              <w14:schemeClr w14:val="tx1"/>
            </w14:solidFill>
          </w14:textFill>
        </w:rPr>
        <w:t>根据工程分析，项目危险废物年产生量为0.2吨，本项目</w:t>
      </w:r>
      <w:r>
        <w:rPr>
          <w:rFonts w:hint="eastAsia" w:ascii="Times New Roman" w:hAnsiTheme="minorEastAsia" w:eastAsiaTheme="minorEastAsia"/>
          <w:color w:val="000000" w:themeColor="text1"/>
          <w:kern w:val="0"/>
          <w:sz w:val="24"/>
          <w14:textFill>
            <w14:solidFill>
              <w14:schemeClr w14:val="tx1"/>
            </w14:solidFill>
          </w14:textFill>
        </w:rPr>
        <w:t>拟建设一座5m</w:t>
      </w:r>
      <w:r>
        <w:rPr>
          <w:rFonts w:hint="eastAsia" w:ascii="Times New Roman" w:hAnsiTheme="minorEastAsia" w:eastAsiaTheme="minorEastAsia"/>
          <w:color w:val="000000" w:themeColor="text1"/>
          <w:kern w:val="0"/>
          <w:sz w:val="24"/>
          <w:vertAlign w:val="superscript"/>
          <w14:textFill>
            <w14:solidFill>
              <w14:schemeClr w14:val="tx1"/>
            </w14:solidFill>
          </w14:textFill>
        </w:rPr>
        <w:t>2</w:t>
      </w:r>
      <w:r>
        <w:rPr>
          <w:rFonts w:hint="eastAsia" w:ascii="Times New Roman" w:hAnsiTheme="minorEastAsia" w:eastAsiaTheme="minorEastAsia"/>
          <w:color w:val="000000" w:themeColor="text1"/>
          <w:kern w:val="0"/>
          <w:sz w:val="24"/>
          <w14:textFill>
            <w14:solidFill>
              <w14:schemeClr w14:val="tx1"/>
            </w14:solidFill>
          </w14:textFill>
        </w:rPr>
        <w:t>危废暂存间，可满足本项目危险废物的暂存需要。项目危险废物暂存过程中还应做到以下措施：</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1）严格按照有关规定，对各类固体废物实施分类处理、处置，做到“资源化、减量化、无害化”。大力开展清洁生产，尽可能的考虑回收利用，减少固体废物的产生。所有废物在项目区内应设置固定的临时堆存场所，并及时进行清运和处理。暂存处地面作防渗处理，在堆存和清运过程中，应注意环境卫生和厂内外景观容貌，对固体废物堆场必须搭建封闭式库房，避免因扬尘、雨水冲淋造成二次污染。</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2）对于生活垃圾实行垃圾袋装化收集和处理，依法履行生活垃圾源头减量和分类投放义务，依法在指定的地点分类投放生活垃圾，委托具有相应资质单位定期清运。禁止随意倾倒、抛撒、堆放或者焚烧生活垃圾。</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3）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 xml:space="preserve">（4）项目生产运营过程中产生的各类危险废物应严格按照《危险废物贮存污染控制标准》（GB18597-2001）（2013年修订）的规定利用配套建设的危险废物暂存间进行分类存放，并定期送具有相应危废处理资质的单位进行综合利用或安全处置，严禁自行焚烧、填埋，在签订处置协议前，须确认拟接收单位确实具备接收项目危险废物的能力，并在生态环境部门登记备案。 </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5）项目危险废物必须采取符合国家环境保护标准的防护措施进行收集、储存和运输。并向环保管理部门申报危险废物的种类、产生量、流向、储存、处置等有关资料。必须按照国家有关规定填写危险废物转移联单，并向危险废物移出地宜昌市生态环境局提出申请。宜昌市生态环境局应当经接受地设区的市级以上地方人民政府生态环境行政主管部门同意后，方可批准转移该危险废物。未经批准的，不得转移。</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6）危险废物在储存、运输过程中必须按照相关规定，注意防止泄露、震动、高温烧烤等。起运时包装要完整，装载应稳妥。运输过程中要确保容器不泄漏、不倒塌、不坠落、不损坏。严禁混装混运。运输车辆应配备泄漏应急处理设备。运输途中应防曝晒、雨淋，防高温。公路运输时要按规定路线行驶，勿在居民区和人口稠密区停留。</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（7）根据《危险废物收集贮存运输技术规范》（HJ2025）、《危险废物贮存污染控制标准》（GB18597）相关规定、技术规范要求，项目危废临时贮存应落实以下防治措施：</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①在运营过程中，公司必须就危险废物产生情况按照国家有关规定进行申报登记、处置。拟收集、贮存、处置危险废物的单位，必须具有县级以上人民政府生态环境行政主管部门颁发的经营许可证；不得将危险废物提供或者委托给无经营许可证的单位。</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②危废暂存间的选址、设计、建设、运行管理应满足GB18597、GBZ1和GBZ2的有关要求，且应建在变电房防护区域以外。危废暂存间的地面与裙脚要用坚固、防渗的材料建造，必须设置危险废物识别标志，还需有防风、防雨、防晒设施，采取防火、防雨、防渗设计（防渗层为至少1米厚粘土层&lt;渗透系数≤10</w:t>
      </w:r>
      <w:r>
        <w:rPr>
          <w:rFonts w:hint="eastAsia" w:ascii="Times New Roman" w:hAnsi="Times New Roman" w:eastAsiaTheme="minorEastAsia"/>
          <w:color w:val="000000" w:themeColor="text1"/>
          <w:kern w:val="0"/>
          <w:sz w:val="24"/>
          <w:vertAlign w:val="superscript"/>
          <w14:textFill>
            <w14:solidFill>
              <w14:schemeClr w14:val="tx1"/>
            </w14:solidFill>
          </w14:textFill>
        </w:rPr>
        <w:t>-7</w:t>
      </w:r>
      <w:r>
        <w:rPr>
          <w:rFonts w:hint="eastAsia" w:ascii="Times New Roman" w:hAnsi="Times New Roman" w:eastAsiaTheme="minorEastAsia"/>
          <w:color w:val="000000" w:themeColor="text1"/>
          <w:kern w:val="0"/>
          <w:sz w:val="24"/>
          <w14:textFill>
            <w14:solidFill>
              <w14:schemeClr w14:val="tx1"/>
            </w14:solidFill>
          </w14:textFill>
        </w:rPr>
        <w:t>厘米/秒&gt;，或2毫米厚高密度聚乙烯，或至少2毫米厚的其它人工材料，渗透系数≤10</w:t>
      </w:r>
      <w:r>
        <w:rPr>
          <w:rFonts w:hint="eastAsia" w:ascii="Times New Roman" w:hAnsi="Times New Roman" w:eastAsiaTheme="minorEastAsia"/>
          <w:color w:val="000000" w:themeColor="text1"/>
          <w:kern w:val="0"/>
          <w:sz w:val="24"/>
          <w:vertAlign w:val="superscript"/>
          <w14:textFill>
            <w14:solidFill>
              <w14:schemeClr w14:val="tx1"/>
            </w14:solidFill>
          </w14:textFill>
        </w:rPr>
        <w:t>-10</w:t>
      </w:r>
      <w:r>
        <w:rPr>
          <w:rFonts w:hint="eastAsia" w:ascii="Times New Roman" w:hAnsi="Times New Roman" w:eastAsiaTheme="minorEastAsia"/>
          <w:color w:val="000000" w:themeColor="text1"/>
          <w:kern w:val="0"/>
          <w:sz w:val="24"/>
          <w14:textFill>
            <w14:solidFill>
              <w14:schemeClr w14:val="tx1"/>
            </w14:solidFill>
          </w14:textFill>
        </w:rPr>
        <w:t>厘米/秒），并配备通讯设备、照明和消防设施。</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③贮存危险废物时应按危险废物的种类和特性进行分类进行，禁止混合收集、贮存、运输、处置性质不相容而未经安全性处置的危险废物；禁止将危险废物混入非危险废物中贮存。每个贮存区域之间宜设置挡墙间隔。</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④各危险废物应及时转入符合标准的盛装危险废物的容器内进行贮存，盛装危险废物的容器上必须粘贴GB18597-2001附录A中所示的标签。</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⑤危险废物临时贮存期限应符合《中华人民共和国固体废物污染环境防治法》的有关规定，危险废物贮存期限应不超过1年。</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⑥在日常生产运营过程中应做好各类危险废物情况的记录，记录上须注明危险废物的名称、来源、数量、特性和包装容器的类别、入库日期、存放库位、废物出库日期及接受单位名称。建立危险废物贮存的台帐制度，危险废物出入库交接记录内容应参照HJ2025附录C执行。转移危险废物的，必须按照国家有关规定填写危险废物转移联单，并向危险废物移出地和接受地的县级以上地方人民政府生态环境行政主管部门报告。</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⑦必须定期对所贮存的危险废物包装容器及贮存设施进行检查，发现破损，应及时采取措施清理更换。</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⑧应制定在发生意外事故时采取的应急措施和防范措施，并向所在地县级以上人民政府生态环境行政主管部门报告；生态环境行政主管部门应进行检查。</w:t>
      </w:r>
    </w:p>
    <w:p>
      <w:pPr>
        <w:widowControl/>
        <w:adjustRightInd w:val="0"/>
        <w:snapToGrid w:val="0"/>
        <w:spacing w:line="520" w:lineRule="exact"/>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imes New Roman" w:eastAsiaTheme="minorEastAsia"/>
          <w:color w:val="000000" w:themeColor="text1"/>
          <w:kern w:val="0"/>
          <w:sz w:val="24"/>
          <w14:textFill>
            <w14:solidFill>
              <w14:schemeClr w14:val="tx1"/>
            </w14:solidFill>
          </w14:textFill>
        </w:rPr>
        <w:t>⑨贮存、运输危险废物的场所、设施、设备和容器、包装物及其他物品转作他用时，必须经过消除污染的处理，方可使用。危险废物贮存设施的关闭应按照GB18597和《危险废物经营许可证管理办法》的有关规定执行。</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86" w:name="_Toc26600"/>
      <w:bookmarkStart w:id="787" w:name="_Toc26324"/>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.2.5.3固体废物处置</w:t>
      </w:r>
      <w:bookmarkEnd w:id="786"/>
      <w:bookmarkEnd w:id="787"/>
    </w:p>
    <w:p>
      <w:pPr>
        <w:widowControl/>
        <w:adjustRightInd w:val="0"/>
        <w:snapToGrid w:val="0"/>
        <w:spacing w:line="520" w:lineRule="exact"/>
        <w:ind w:firstLine="480" w:firstLineChars="200"/>
        <w:jc w:val="left"/>
        <w:rPr>
          <w:rFonts w:ascii="Times New Roman" w:hAnsi="Times New Roman" w:eastAsiaTheme="minorEastAsia"/>
          <w:color w:val="000000" w:themeColor="text1"/>
          <w:kern w:val="0"/>
          <w:sz w:val="24"/>
          <w14:textFill>
            <w14:solidFill>
              <w14:schemeClr w14:val="tx1"/>
            </w14:solidFill>
          </w14:textFill>
        </w:rPr>
      </w:pPr>
      <w:r>
        <w:rPr>
          <w:rFonts w:hint="eastAsia" w:ascii="Times New Roman" w:hAnsiTheme="minorEastAsia" w:eastAsiaTheme="minorEastAsia"/>
          <w:color w:val="000000" w:themeColor="text1"/>
          <w:kern w:val="0"/>
          <w:sz w:val="24"/>
          <w14:textFill>
            <w14:solidFill>
              <w14:schemeClr w14:val="tx1"/>
            </w14:solidFill>
          </w14:textFill>
        </w:rPr>
        <w:t>本项目固体废物产生及处置情况见下表。</w:t>
      </w:r>
    </w:p>
    <w:p>
      <w:pPr>
        <w:pStyle w:val="152"/>
        <w:spacing w:after="0" w:line="520" w:lineRule="exact"/>
        <w:ind w:firstLine="482" w:firstLineChars="200"/>
        <w:jc w:val="center"/>
        <w:rPr>
          <w:rFonts w:cs="宋体"/>
          <w:b/>
          <w:color w:val="000000" w:themeColor="text1"/>
          <w:szCs w:val="24"/>
          <w14:textFill>
            <w14:solidFill>
              <w14:schemeClr w14:val="tx1"/>
            </w14:solidFill>
          </w14:textFill>
        </w:rPr>
      </w:pPr>
      <w:r>
        <w:rPr>
          <w:rFonts w:hint="eastAsia" w:cs="宋体"/>
          <w:b/>
          <w:color w:val="000000" w:themeColor="text1"/>
          <w:szCs w:val="24"/>
          <w14:textFill>
            <w14:solidFill>
              <w14:schemeClr w14:val="tx1"/>
            </w14:solidFill>
          </w14:textFill>
        </w:rPr>
        <w:t>表</w:t>
      </w:r>
      <w:r>
        <w:rPr>
          <w:rFonts w:hint="eastAsia" w:cs="宋体"/>
          <w:b/>
          <w:color w:val="000000" w:themeColor="text1"/>
          <w:sz w:val="12"/>
          <w:szCs w:val="12"/>
          <w14:textFill>
            <w14:solidFill>
              <w14:schemeClr w14:val="tx1"/>
            </w14:solidFill>
          </w14:textFill>
        </w:rPr>
        <w:t xml:space="preserve"> </w:t>
      </w:r>
      <w:r>
        <w:rPr>
          <w:rFonts w:hint="default" w:ascii="Times New Roman"/>
          <w:b/>
          <w:bCs/>
          <w:color w:val="000000" w:themeColor="text1"/>
          <w:szCs w:val="24"/>
          <w:lang w:val="en-US"/>
          <w14:textFill>
            <w14:solidFill>
              <w14:schemeClr w14:val="tx1"/>
            </w14:solidFill>
          </w14:textFill>
        </w:rPr>
        <w:t>8</w:t>
      </w:r>
      <w:r>
        <w:rPr>
          <w:rFonts w:hint="eastAsia" w:ascii="Times New Roman"/>
          <w:b/>
          <w:bCs/>
          <w:color w:val="000000" w:themeColor="text1"/>
          <w:szCs w:val="24"/>
          <w14:textFill>
            <w14:solidFill>
              <w14:schemeClr w14:val="tx1"/>
            </w14:solidFill>
          </w14:textFill>
        </w:rPr>
        <w:t>.2</w:t>
      </w:r>
      <w:r>
        <w:rPr>
          <w:rFonts w:ascii="Times New Roman"/>
          <w:b/>
          <w:bCs/>
          <w:color w:val="000000" w:themeColor="text1"/>
          <w:szCs w:val="24"/>
          <w14:textFill>
            <w14:solidFill>
              <w14:schemeClr w14:val="tx1"/>
            </w14:solidFill>
          </w14:textFill>
        </w:rPr>
        <w:t>-</w:t>
      </w:r>
      <w:r>
        <w:rPr>
          <w:rFonts w:hint="eastAsia" w:ascii="Times New Roman"/>
          <w:b/>
          <w:bCs/>
          <w:color w:val="000000" w:themeColor="text1"/>
          <w:szCs w:val="24"/>
          <w14:textFill>
            <w14:solidFill>
              <w14:schemeClr w14:val="tx1"/>
            </w14:solidFill>
          </w14:textFill>
        </w:rPr>
        <w:t>10</w:t>
      </w:r>
      <w:r>
        <w:rPr>
          <w:rFonts w:ascii="Times New Roman"/>
          <w:b/>
          <w:bCs/>
          <w:color w:val="000000" w:themeColor="text1"/>
          <w:sz w:val="20"/>
          <w14:textFill>
            <w14:solidFill>
              <w14:schemeClr w14:val="tx1"/>
            </w14:solidFill>
          </w14:textFill>
        </w:rPr>
        <w:t xml:space="preserve"> </w:t>
      </w:r>
      <w:r>
        <w:rPr>
          <w:rFonts w:ascii="Times New Roman"/>
          <w:b/>
          <w:bCs/>
          <w:color w:val="000000" w:themeColor="text1"/>
          <w:sz w:val="8"/>
          <w:szCs w:val="8"/>
          <w14:textFill>
            <w14:solidFill>
              <w14:schemeClr w14:val="tx1"/>
            </w14:solidFill>
          </w14:textFill>
        </w:rPr>
        <w:t xml:space="preserve"> </w:t>
      </w:r>
      <w:r>
        <w:rPr>
          <w:rFonts w:hint="eastAsia" w:cs="宋体"/>
          <w:b/>
          <w:color w:val="000000" w:themeColor="text1"/>
          <w:szCs w:val="24"/>
          <w14:textFill>
            <w14:solidFill>
              <w14:schemeClr w14:val="tx1"/>
            </w14:solidFill>
          </w14:textFill>
        </w:rPr>
        <w:t>本项目固体废物产生及处置情况一览表</w:t>
      </w:r>
    </w:p>
    <w:tbl>
      <w:tblPr>
        <w:tblStyle w:val="87"/>
        <w:tblW w:w="93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71"/>
        <w:gridCol w:w="1086"/>
        <w:gridCol w:w="1244"/>
        <w:gridCol w:w="1244"/>
        <w:gridCol w:w="1525"/>
        <w:gridCol w:w="2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62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序号</w:t>
            </w:r>
          </w:p>
        </w:tc>
        <w:tc>
          <w:tcPr>
            <w:tcW w:w="1271"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污染物名称</w:t>
            </w:r>
          </w:p>
        </w:tc>
        <w:tc>
          <w:tcPr>
            <w:tcW w:w="1086"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来源</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性质</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产生量</w:t>
            </w:r>
          </w:p>
        </w:tc>
        <w:tc>
          <w:tcPr>
            <w:tcW w:w="1525"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废物代码</w:t>
            </w:r>
          </w:p>
        </w:tc>
        <w:tc>
          <w:tcPr>
            <w:tcW w:w="2343"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62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c>
          <w:tcPr>
            <w:tcW w:w="1271"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生活垃圾</w:t>
            </w:r>
          </w:p>
        </w:tc>
        <w:tc>
          <w:tcPr>
            <w:tcW w:w="1086"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办公生活区</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生活垃圾</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2.16</w:t>
            </w:r>
            <w:r>
              <w:rPr>
                <w:rFonts w:ascii="Times New Roman" w:hAnsi="Times New Roman"/>
                <w:color w:val="000000" w:themeColor="text1"/>
                <w:sz w:val="18"/>
                <w:szCs w:val="18"/>
                <w14:textFill>
                  <w14:solidFill>
                    <w14:schemeClr w14:val="tx1"/>
                  </w14:solidFill>
                </w14:textFill>
              </w:rPr>
              <w:t>t/a</w:t>
            </w:r>
          </w:p>
        </w:tc>
        <w:tc>
          <w:tcPr>
            <w:tcW w:w="1525"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p>
        </w:tc>
        <w:tc>
          <w:tcPr>
            <w:tcW w:w="2343"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委托环卫部门清运处置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62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p>
        </w:tc>
        <w:tc>
          <w:tcPr>
            <w:tcW w:w="127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废包装材料</w:t>
            </w:r>
          </w:p>
        </w:tc>
        <w:tc>
          <w:tcPr>
            <w:tcW w:w="1086"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综合仓库</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一般工业固废</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5t/a</w:t>
            </w:r>
          </w:p>
        </w:tc>
        <w:tc>
          <w:tcPr>
            <w:tcW w:w="1525"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261-001-49</w:t>
            </w:r>
          </w:p>
        </w:tc>
        <w:tc>
          <w:tcPr>
            <w:tcW w:w="2343"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集中收集后交由物资部门回收处理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62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127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压滤废渣</w:t>
            </w:r>
          </w:p>
        </w:tc>
        <w:tc>
          <w:tcPr>
            <w:tcW w:w="1086"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板框压滤</w:t>
            </w:r>
          </w:p>
        </w:tc>
        <w:tc>
          <w:tcPr>
            <w:tcW w:w="124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一般工业固废</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9613.648</w:t>
            </w:r>
            <w:r>
              <w:rPr>
                <w:rFonts w:ascii="Times New Roman" w:hAnsi="Times New Roman"/>
                <w:color w:val="000000" w:themeColor="text1"/>
                <w:sz w:val="18"/>
                <w:szCs w:val="18"/>
                <w14:textFill>
                  <w14:solidFill>
                    <w14:schemeClr w14:val="tx1"/>
                  </w14:solidFill>
                </w14:textFill>
              </w:rPr>
              <w:t>t/a</w:t>
            </w:r>
          </w:p>
        </w:tc>
        <w:tc>
          <w:tcPr>
            <w:tcW w:w="1525"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261-001-49</w:t>
            </w:r>
          </w:p>
        </w:tc>
        <w:tc>
          <w:tcPr>
            <w:tcW w:w="2343"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外售</w:t>
            </w:r>
            <w:r>
              <w:rPr>
                <w:rFonts w:hint="eastAsia" w:ascii="Times New Roman" w:hAnsi="Times New Roman"/>
                <w:color w:val="000000" w:themeColor="text1"/>
                <w:sz w:val="18"/>
                <w:szCs w:val="18"/>
                <w:lang w:eastAsia="zh-CN"/>
                <w14:textFill>
                  <w14:solidFill>
                    <w14:schemeClr w14:val="tx1"/>
                  </w14:solidFill>
                </w14:textFill>
              </w:rPr>
              <w:t>砖厂</w:t>
            </w:r>
            <w:r>
              <w:rPr>
                <w:rFonts w:hint="eastAsia" w:ascii="Times New Roman" w:hAnsi="Times New Roman"/>
                <w:color w:val="000000" w:themeColor="text1"/>
                <w:sz w:val="18"/>
                <w:szCs w:val="18"/>
                <w14:textFill>
                  <w14:solidFill>
                    <w14:schemeClr w14:val="tx1"/>
                  </w14:solidFill>
                </w14:textFill>
              </w:rPr>
              <w:t>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62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4</w:t>
            </w:r>
          </w:p>
        </w:tc>
        <w:tc>
          <w:tcPr>
            <w:tcW w:w="127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布袋除尘器收集粉尘</w:t>
            </w:r>
          </w:p>
        </w:tc>
        <w:tc>
          <w:tcPr>
            <w:tcW w:w="1086"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布袋除尘</w:t>
            </w:r>
          </w:p>
        </w:tc>
        <w:tc>
          <w:tcPr>
            <w:tcW w:w="124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一般工业固废</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198t/a</w:t>
            </w:r>
          </w:p>
        </w:tc>
        <w:tc>
          <w:tcPr>
            <w:tcW w:w="1525"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261-001-66</w:t>
            </w:r>
          </w:p>
        </w:tc>
        <w:tc>
          <w:tcPr>
            <w:tcW w:w="2343"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作为产品外售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62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w:t>
            </w:r>
          </w:p>
        </w:tc>
        <w:tc>
          <w:tcPr>
            <w:tcW w:w="1271"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废机油</w:t>
            </w:r>
          </w:p>
        </w:tc>
        <w:tc>
          <w:tcPr>
            <w:tcW w:w="1086"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设备维修</w:t>
            </w:r>
          </w:p>
        </w:tc>
        <w:tc>
          <w:tcPr>
            <w:tcW w:w="1244"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危险废物</w:t>
            </w:r>
          </w:p>
        </w:tc>
        <w:tc>
          <w:tcPr>
            <w:tcW w:w="1244"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0.2t/a</w:t>
            </w:r>
          </w:p>
        </w:tc>
        <w:tc>
          <w:tcPr>
            <w:tcW w:w="1525"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HW08（</w:t>
            </w:r>
            <w:r>
              <w:rPr>
                <w:rFonts w:ascii="Times New Roman" w:hAnsi="Times New Roman"/>
                <w:color w:val="000000" w:themeColor="text1"/>
                <w:sz w:val="18"/>
                <w:szCs w:val="18"/>
                <w14:textFill>
                  <w14:solidFill>
                    <w14:schemeClr w14:val="tx1"/>
                  </w14:solidFill>
                </w14:textFill>
              </w:rPr>
              <w:t>900-214-08</w:t>
            </w:r>
            <w:r>
              <w:rPr>
                <w:rFonts w:hint="eastAsia" w:ascii="Times New Roman" w:hAnsi="Times New Roman"/>
                <w:color w:val="000000" w:themeColor="text1"/>
                <w:sz w:val="18"/>
                <w:szCs w:val="18"/>
                <w14:textFill>
                  <w14:solidFill>
                    <w14:schemeClr w14:val="tx1"/>
                  </w14:solidFill>
                </w14:textFill>
              </w:rPr>
              <w:t>）</w:t>
            </w:r>
          </w:p>
        </w:tc>
        <w:tc>
          <w:tcPr>
            <w:tcW w:w="2343" w:type="dxa"/>
            <w:tcBorders>
              <w:tl2br w:val="nil"/>
              <w:tr2bl w:val="nil"/>
            </w:tcBorders>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集中收集</w:t>
            </w:r>
            <w:r>
              <w:rPr>
                <w:rFonts w:hint="eastAsia" w:ascii="Times New Roman" w:hAnsi="Times New Roman"/>
                <w:color w:val="000000" w:themeColor="text1"/>
                <w:sz w:val="18"/>
                <w:szCs w:val="18"/>
                <w14:textFill>
                  <w14:solidFill>
                    <w14:schemeClr w14:val="tx1"/>
                  </w14:solidFill>
                </w14:textFill>
              </w:rPr>
              <w:t>暂存于危废暂存间后</w:t>
            </w:r>
            <w:r>
              <w:rPr>
                <w:rFonts w:ascii="Times New Roman" w:hAnsi="Times New Roman"/>
                <w:color w:val="000000" w:themeColor="text1"/>
                <w:sz w:val="18"/>
                <w:szCs w:val="18"/>
                <w14:textFill>
                  <w14:solidFill>
                    <w14:schemeClr w14:val="tx1"/>
                  </w14:solidFill>
                </w14:textFill>
              </w:rPr>
              <w:t>委托有资质单位</w:t>
            </w:r>
            <w:r>
              <w:rPr>
                <w:rFonts w:hint="eastAsia" w:ascii="Times New Roman" w:hAnsi="Times New Roman"/>
                <w:color w:val="000000" w:themeColor="text1"/>
                <w:sz w:val="18"/>
                <w:szCs w:val="18"/>
                <w14:textFill>
                  <w14:solidFill>
                    <w14:schemeClr w14:val="tx1"/>
                  </w14:solidFill>
                </w14:textFill>
              </w:rPr>
              <w:t>处置</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sz w:val="24"/>
          <w:szCs w:val="24"/>
          <w14:textFill>
            <w14:solidFill>
              <w14:schemeClr w14:val="tx1"/>
            </w14:solidFill>
          </w14:textFill>
        </w:rPr>
      </w:pPr>
      <w:bookmarkStart w:id="788" w:name="_Toc12720"/>
      <w:bookmarkStart w:id="789" w:name="_Toc6255"/>
      <w:r>
        <w:rPr>
          <w:rFonts w:hint="eastAsia" w:ascii="Times New Roman" w:hAnsi="Times New Roman" w:eastAsia="黑体"/>
          <w:b/>
          <w:color w:val="000000" w:themeColor="text1"/>
          <w:sz w:val="24"/>
          <w:szCs w:val="24"/>
          <w:lang w:val="en-US" w:eastAsia="zh-CN"/>
          <w14:textFill>
            <w14:solidFill>
              <w14:schemeClr w14:val="tx1"/>
            </w14:solidFill>
          </w14:textFill>
        </w:rPr>
        <w:t>8</w:t>
      </w:r>
      <w:r>
        <w:rPr>
          <w:rFonts w:hint="eastAsia" w:ascii="Times New Roman" w:hAnsi="Times New Roman" w:eastAsia="黑体"/>
          <w:b/>
          <w:color w:val="000000" w:themeColor="text1"/>
          <w:sz w:val="24"/>
          <w:szCs w:val="24"/>
          <w14:textFill>
            <w14:solidFill>
              <w14:schemeClr w14:val="tx1"/>
            </w14:solidFill>
          </w14:textFill>
        </w:rPr>
        <w:t>.2.5.4固体废物处置措施可行性分析结论</w:t>
      </w:r>
      <w:bookmarkEnd w:id="788"/>
      <w:bookmarkEnd w:id="789"/>
    </w:p>
    <w:p>
      <w:pPr>
        <w:adjustRightInd w:val="0"/>
        <w:snapToGrid w:val="0"/>
        <w:spacing w:line="520" w:lineRule="exact"/>
        <w:ind w:firstLine="480" w:firstLineChars="200"/>
        <w:rPr>
          <w:rFonts w:ascii="Times New Roman" w:hAnsiTheme="minorEastAsia" w:eastAsiaTheme="minorEastAsia"/>
          <w:color w:val="000000" w:themeColor="text1"/>
          <w:kern w:val="0"/>
          <w:sz w:val="24"/>
          <w14:textFill>
            <w14:solidFill>
              <w14:schemeClr w14:val="tx1"/>
            </w14:solidFill>
          </w14:textFill>
        </w:rPr>
      </w:pPr>
      <w:r>
        <w:rPr>
          <w:rFonts w:ascii="Times New Roman" w:hAnsiTheme="minorEastAsia" w:eastAsiaTheme="minorEastAsia"/>
          <w:color w:val="000000" w:themeColor="text1"/>
          <w:kern w:val="0"/>
          <w:sz w:val="24"/>
          <w14:textFill>
            <w14:solidFill>
              <w14:schemeClr w14:val="tx1"/>
            </w14:solidFill>
          </w14:textFill>
        </w:rPr>
        <w:t>综上，项目产生的各项固体废物均得到了综合利用、合理处置，产生的环境影响较小</w:t>
      </w:r>
      <w:r>
        <w:rPr>
          <w:rFonts w:hint="eastAsia" w:ascii="Times New Roman" w:hAnsiTheme="minorEastAsia" w:eastAsiaTheme="minorEastAsia"/>
          <w:color w:val="000000" w:themeColor="text1"/>
          <w:kern w:val="0"/>
          <w:sz w:val="24"/>
          <w14:textFill>
            <w14:solidFill>
              <w14:schemeClr w14:val="tx1"/>
            </w14:solidFill>
          </w14:textFill>
        </w:rPr>
        <w:t>，</w:t>
      </w:r>
      <w:r>
        <w:rPr>
          <w:rFonts w:ascii="Times New Roman" w:hAnsiTheme="minorEastAsia" w:eastAsiaTheme="minorEastAsia"/>
          <w:color w:val="000000" w:themeColor="text1"/>
          <w:kern w:val="0"/>
          <w:sz w:val="24"/>
          <w14:textFill>
            <w14:solidFill>
              <w14:schemeClr w14:val="tx1"/>
            </w14:solidFill>
          </w14:textFill>
        </w:rPr>
        <w:t>项目固体废物处置措施可行。</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790" w:name="_Toc7171"/>
      <w:r>
        <w:rPr>
          <w:rFonts w:hint="eastAsia" w:ascii="Times New Roman" w:hAnsi="Times New Roman" w:eastAsia="黑体"/>
          <w:b/>
          <w:color w:val="000000" w:themeColor="text1"/>
          <w:sz w:val="32"/>
          <w:szCs w:val="32"/>
          <w:lang w:val="en-US" w:eastAsia="zh-CN"/>
          <w14:textFill>
            <w14:solidFill>
              <w14:schemeClr w14:val="tx1"/>
            </w14:solidFill>
          </w14:textFill>
        </w:rPr>
        <w:t>8</w:t>
      </w:r>
      <w:r>
        <w:rPr>
          <w:rFonts w:ascii="Times New Roman" w:hAnsi="Times New Roman" w:eastAsia="黑体"/>
          <w:b/>
          <w:color w:val="000000" w:themeColor="text1"/>
          <w:sz w:val="32"/>
          <w:szCs w:val="32"/>
          <w14:textFill>
            <w14:solidFill>
              <w14:schemeClr w14:val="tx1"/>
            </w14:solidFill>
          </w14:textFill>
        </w:rPr>
        <w:t>.3</w:t>
      </w:r>
      <w:r>
        <w:rPr>
          <w:rFonts w:hint="eastAsia" w:ascii="黑体" w:hAnsi="黑体" w:eastAsia="黑体"/>
          <w:b/>
          <w:color w:val="000000" w:themeColor="text1"/>
          <w:sz w:val="32"/>
          <w:szCs w:val="32"/>
          <w14:textFill>
            <w14:solidFill>
              <w14:schemeClr w14:val="tx1"/>
            </w14:solidFill>
          </w14:textFill>
        </w:rPr>
        <w:t>环境保护措施及投资估算汇总</w:t>
      </w:r>
      <w:bookmarkEnd w:id="790"/>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本项目预计总投资</w:t>
      </w:r>
      <w:r>
        <w:rPr>
          <w:rFonts w:hint="eastAsia" w:ascii="Times New Roman" w:hAnsiTheme="minorEastAsia" w:eastAsiaTheme="minorEastAsia"/>
          <w:color w:val="000000" w:themeColor="text1"/>
          <w:sz w:val="24"/>
          <w:szCs w:val="24"/>
          <w14:textFill>
            <w14:solidFill>
              <w14:schemeClr w14:val="tx1"/>
            </w14:solidFill>
          </w14:textFill>
        </w:rPr>
        <w:t>5500</w:t>
      </w:r>
      <w:r>
        <w:rPr>
          <w:rFonts w:ascii="Times New Roman" w:hAnsiTheme="minorEastAsia" w:eastAsiaTheme="minorEastAsia"/>
          <w:color w:val="000000" w:themeColor="text1"/>
          <w:sz w:val="24"/>
          <w:szCs w:val="24"/>
          <w14:textFill>
            <w14:solidFill>
              <w14:schemeClr w14:val="tx1"/>
            </w14:solidFill>
          </w14:textFill>
        </w:rPr>
        <w:t>万元，其中环境保护投资</w:t>
      </w:r>
      <w:r>
        <w:rPr>
          <w:rFonts w:hint="eastAsia" w:ascii="Times New Roman" w:hAnsiTheme="minorEastAsia" w:eastAsiaTheme="minorEastAsia"/>
          <w:color w:val="000000" w:themeColor="text1"/>
          <w:sz w:val="24"/>
          <w:szCs w:val="24"/>
          <w14:textFill>
            <w14:solidFill>
              <w14:schemeClr w14:val="tx1"/>
            </w14:solidFill>
          </w14:textFill>
        </w:rPr>
        <w:t>305</w:t>
      </w:r>
      <w:r>
        <w:rPr>
          <w:rFonts w:ascii="Times New Roman" w:hAnsiTheme="minorEastAsia" w:eastAsiaTheme="minorEastAsia"/>
          <w:color w:val="000000" w:themeColor="text1"/>
          <w:sz w:val="24"/>
          <w:szCs w:val="24"/>
          <w14:textFill>
            <w14:solidFill>
              <w14:schemeClr w14:val="tx1"/>
            </w14:solidFill>
          </w14:textFill>
        </w:rPr>
        <w:t>万元，环境保护投资额占总投资的</w:t>
      </w:r>
      <w:r>
        <w:rPr>
          <w:rFonts w:hint="eastAsia" w:ascii="Times New Roman" w:hAnsiTheme="minorEastAsia" w:eastAsiaTheme="minorEastAsia"/>
          <w:color w:val="000000" w:themeColor="text1"/>
          <w:sz w:val="24"/>
          <w:szCs w:val="24"/>
          <w14:textFill>
            <w14:solidFill>
              <w14:schemeClr w14:val="tx1"/>
            </w14:solidFill>
          </w14:textFill>
        </w:rPr>
        <w:t>5.55</w:t>
      </w:r>
      <w:r>
        <w:rPr>
          <w:rFonts w:ascii="Times New Roman" w:hAnsiTheme="minorEastAsia" w:eastAsiaTheme="minorEastAsia"/>
          <w:color w:val="000000" w:themeColor="text1"/>
          <w:sz w:val="24"/>
          <w:szCs w:val="24"/>
          <w14:textFill>
            <w14:solidFill>
              <w14:schemeClr w14:val="tx1"/>
            </w14:solidFill>
          </w14:textFill>
        </w:rPr>
        <w:t xml:space="preserve"> %，项目具体环境保护措施及投资汇总见表。</w:t>
      </w:r>
    </w:p>
    <w:p>
      <w:pPr>
        <w:pStyle w:val="24"/>
        <w:spacing w:before="0" w:line="520" w:lineRule="exact"/>
        <w:jc w:val="center"/>
        <w:rPr>
          <w:rFonts w:ascii="Times New Roman" w:cs="Times New Roman" w:hAnsiTheme="minorEastAsia" w:eastAsiaTheme="minorEastAsia"/>
          <w:b/>
          <w:color w:val="000000" w:themeColor="text1"/>
          <w:szCs w:val="24"/>
          <w14:textFill>
            <w14:solidFill>
              <w14:schemeClr w14:val="tx1"/>
            </w14:solidFill>
          </w14:textFill>
        </w:rPr>
      </w:pPr>
    </w:p>
    <w:p>
      <w:pPr>
        <w:pStyle w:val="24"/>
        <w:spacing w:before="0" w:line="520" w:lineRule="exact"/>
        <w:jc w:val="center"/>
        <w:rPr>
          <w:rFonts w:ascii="Times New Roman" w:cs="Times New Roman" w:hAnsiTheme="minorEastAsia" w:eastAsiaTheme="minorEastAsia"/>
          <w:b/>
          <w:color w:val="000000" w:themeColor="text1"/>
          <w:szCs w:val="24"/>
          <w14:textFill>
            <w14:solidFill>
              <w14:schemeClr w14:val="tx1"/>
            </w14:solidFill>
          </w14:textFill>
        </w:rPr>
      </w:pPr>
      <w:r>
        <w:rPr>
          <w:rFonts w:ascii="Times New Roman" w:cs="Times New Roman" w:hAnsiTheme="minorEastAsia" w:eastAsiaTheme="minorEastAsia"/>
          <w:b/>
          <w:color w:val="000000" w:themeColor="text1"/>
          <w:szCs w:val="24"/>
          <w14:textFill>
            <w14:solidFill>
              <w14:schemeClr w14:val="tx1"/>
            </w14:solidFill>
          </w14:textFill>
        </w:rPr>
        <w:t>表</w:t>
      </w:r>
      <w:r>
        <w:rPr>
          <w:rFonts w:hint="eastAsia" w:ascii="Times New Roman" w:hAnsi="Times New Roman" w:cs="Times New Roman" w:eastAsiaTheme="minorEastAsia"/>
          <w:b/>
          <w:color w:val="000000" w:themeColor="text1"/>
          <w:szCs w:val="24"/>
          <w:lang w:val="en-US" w:eastAsia="zh-CN"/>
          <w14:textFill>
            <w14:solidFill>
              <w14:schemeClr w14:val="tx1"/>
            </w14:solidFill>
          </w14:textFill>
        </w:rPr>
        <w:t>8</w:t>
      </w:r>
      <w:r>
        <w:rPr>
          <w:rFonts w:hint="eastAsia" w:ascii="Times New Roman" w:hAnsi="Times New Roman" w:cs="Times New Roman" w:eastAsiaTheme="minorEastAsia"/>
          <w:b/>
          <w:color w:val="000000" w:themeColor="text1"/>
          <w:szCs w:val="24"/>
          <w14:textFill>
            <w14:solidFill>
              <w14:schemeClr w14:val="tx1"/>
            </w14:solidFill>
          </w14:textFill>
        </w:rPr>
        <w:t>.3</w:t>
      </w:r>
      <w:r>
        <w:rPr>
          <w:rFonts w:ascii="Times New Roman" w:hAnsi="Times New Roman" w:cs="Times New Roman" w:eastAsiaTheme="minorEastAsia"/>
          <w:b/>
          <w:color w:val="000000" w:themeColor="text1"/>
          <w:szCs w:val="24"/>
          <w14:textFill>
            <w14:solidFill>
              <w14:schemeClr w14:val="tx1"/>
            </w14:solidFill>
          </w14:textFill>
        </w:rPr>
        <w:t xml:space="preserve">-1  </w:t>
      </w:r>
      <w:r>
        <w:rPr>
          <w:rFonts w:ascii="Times New Roman" w:cs="Times New Roman" w:hAnsiTheme="minorEastAsia" w:eastAsiaTheme="minorEastAsia"/>
          <w:b/>
          <w:color w:val="000000" w:themeColor="text1"/>
          <w:szCs w:val="24"/>
          <w14:textFill>
            <w14:solidFill>
              <w14:schemeClr w14:val="tx1"/>
            </w14:solidFill>
          </w14:textFill>
        </w:rPr>
        <w:t>项目环境保护措施及投资汇总一览表</w:t>
      </w:r>
      <w:r>
        <w:rPr>
          <w:rFonts w:hint="eastAsia" w:ascii="Times New Roman" w:cs="Times New Roman" w:hAnsiTheme="minorEastAsia" w:eastAsiaTheme="minorEastAsia"/>
          <w:b/>
          <w:color w:val="000000" w:themeColor="text1"/>
          <w:szCs w:val="24"/>
          <w14:textFill>
            <w14:solidFill>
              <w14:schemeClr w14:val="tx1"/>
            </w14:solidFill>
          </w14:textFill>
        </w:rPr>
        <w:t xml:space="preserve"> </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992"/>
        <w:gridCol w:w="1651"/>
        <w:gridCol w:w="5460"/>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项目</w:t>
            </w:r>
          </w:p>
        </w:tc>
        <w:tc>
          <w:tcPr>
            <w:tcW w:w="165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污染源</w:t>
            </w:r>
          </w:p>
        </w:tc>
        <w:tc>
          <w:tcPr>
            <w:tcW w:w="54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环境保护措施</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环保投资（万元）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废气</w:t>
            </w: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呼吸废气</w:t>
            </w:r>
          </w:p>
        </w:tc>
        <w:tc>
          <w:tcPr>
            <w:tcW w:w="54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采用</w:t>
            </w:r>
            <w:r>
              <w:rPr>
                <w:rFonts w:hint="eastAsia" w:ascii="Times New Roman" w:hAnsi="宋体"/>
                <w:color w:val="000000" w:themeColor="text1"/>
                <w:kern w:val="0"/>
                <w:sz w:val="18"/>
                <w:szCs w:val="18"/>
                <w14:textFill>
                  <w14:solidFill>
                    <w14:schemeClr w14:val="tx1"/>
                  </w14:solidFill>
                </w14:textFill>
              </w:rPr>
              <w:t>密闭负压管道</w:t>
            </w:r>
            <w:r>
              <w:rPr>
                <w:rFonts w:ascii="Times New Roman" w:hAnsi="宋体"/>
                <w:color w:val="000000" w:themeColor="text1"/>
                <w:kern w:val="0"/>
                <w:sz w:val="18"/>
                <w:szCs w:val="18"/>
                <w14:textFill>
                  <w14:solidFill>
                    <w14:schemeClr w14:val="tx1"/>
                  </w14:solidFill>
                </w14:textFill>
              </w:rPr>
              <w:t>收集，经</w:t>
            </w:r>
            <w:r>
              <w:rPr>
                <w:rFonts w:hint="eastAsia" w:ascii="Times New Roman" w:hAnsi="宋体"/>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套</w:t>
            </w:r>
            <w:r>
              <w:rPr>
                <w:rFonts w:hint="eastAsia" w:ascii="Times New Roman" w:hAnsi="宋体"/>
                <w:color w:val="000000" w:themeColor="text1"/>
                <w:kern w:val="0"/>
                <w:sz w:val="18"/>
                <w:szCs w:val="18"/>
                <w14:textFill>
                  <w14:solidFill>
                    <w14:schemeClr w14:val="tx1"/>
                  </w14:solidFill>
                </w14:textFill>
              </w:rPr>
              <w:t>酸性尾气吸收系统（2级水洗+1级碱洗）</w:t>
            </w:r>
            <w:r>
              <w:rPr>
                <w:rFonts w:ascii="Times New Roman" w:hAnsi="宋体"/>
                <w:color w:val="000000" w:themeColor="text1"/>
                <w:kern w:val="0"/>
                <w:sz w:val="18"/>
                <w:szCs w:val="18"/>
                <w14:textFill>
                  <w14:solidFill>
                    <w14:schemeClr w14:val="tx1"/>
                  </w14:solidFill>
                </w14:textFill>
              </w:rPr>
              <w:t>处理后由</w:t>
            </w:r>
            <w:r>
              <w:rPr>
                <w:rFonts w:ascii="Times New Roman" w:hAnsi="Times New Roman"/>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根</w:t>
            </w:r>
            <w:r>
              <w:rPr>
                <w:rFonts w:hint="eastAsia" w:ascii="Times New Roman" w:hAnsi="Times New Roman"/>
                <w:color w:val="000000" w:themeColor="text1"/>
                <w:kern w:val="0"/>
                <w:sz w:val="18"/>
                <w:szCs w:val="18"/>
                <w14:textFill>
                  <w14:solidFill>
                    <w14:schemeClr w14:val="tx1"/>
                  </w14:solidFill>
                </w14:textFill>
              </w:rPr>
              <w:t>15</w:t>
            </w:r>
            <w:r>
              <w:rPr>
                <w:rFonts w:ascii="Times New Roman" w:hAnsi="Times New Roman"/>
                <w:color w:val="000000" w:themeColor="text1"/>
                <w:kern w:val="0"/>
                <w:sz w:val="18"/>
                <w:szCs w:val="18"/>
                <w14:textFill>
                  <w14:solidFill>
                    <w14:schemeClr w14:val="tx1"/>
                  </w14:solidFill>
                </w14:textFill>
              </w:rPr>
              <w:t>m</w:t>
            </w:r>
            <w:r>
              <w:rPr>
                <w:rFonts w:ascii="Times New Roman" w:hAnsi="宋体"/>
                <w:color w:val="000000" w:themeColor="text1"/>
                <w:kern w:val="0"/>
                <w:sz w:val="18"/>
                <w:szCs w:val="18"/>
                <w14:textFill>
                  <w14:solidFill>
                    <w14:schemeClr w14:val="tx1"/>
                  </w14:solidFill>
                </w14:textFill>
              </w:rPr>
              <w:t>高排气筒</w:t>
            </w:r>
            <w:r>
              <w:rPr>
                <w:rFonts w:hint="eastAsia" w:ascii="Times New Roman" w:hAnsi="宋体"/>
                <w:color w:val="000000" w:themeColor="text1"/>
                <w:kern w:val="0"/>
                <w:sz w:val="18"/>
                <w:szCs w:val="18"/>
                <w14:textFill>
                  <w14:solidFill>
                    <w14:schemeClr w14:val="tx1"/>
                  </w14:solidFill>
                </w14:textFill>
              </w:rPr>
              <w:t>DA001</w:t>
            </w:r>
            <w:r>
              <w:rPr>
                <w:rFonts w:ascii="Times New Roman" w:hAnsi="宋体"/>
                <w:color w:val="000000" w:themeColor="text1"/>
                <w:kern w:val="0"/>
                <w:sz w:val="18"/>
                <w:szCs w:val="18"/>
                <w14:textFill>
                  <w14:solidFill>
                    <w14:schemeClr w14:val="tx1"/>
                  </w14:solidFill>
                </w14:textFill>
              </w:rPr>
              <w:t>排放</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 投料粉尘</w:t>
            </w:r>
          </w:p>
        </w:tc>
        <w:tc>
          <w:tcPr>
            <w:tcW w:w="54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采用负压管道收集，经1套中型尾气吸收系统（2级水洗+1级碱洗）</w:t>
            </w:r>
            <w:r>
              <w:rPr>
                <w:rFonts w:ascii="Times New Roman" w:hAnsi="宋体"/>
                <w:color w:val="000000" w:themeColor="text1"/>
                <w:kern w:val="0"/>
                <w:sz w:val="18"/>
                <w:szCs w:val="18"/>
                <w14:textFill>
                  <w14:solidFill>
                    <w14:schemeClr w14:val="tx1"/>
                  </w14:solidFill>
                </w14:textFill>
              </w:rPr>
              <w:t>处理后由</w:t>
            </w:r>
            <w:r>
              <w:rPr>
                <w:rFonts w:ascii="Times New Roman" w:hAnsi="Times New Roman"/>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根</w:t>
            </w:r>
            <w:r>
              <w:rPr>
                <w:rFonts w:hint="eastAsia" w:ascii="Times New Roman" w:hAnsi="Times New Roman"/>
                <w:color w:val="000000" w:themeColor="text1"/>
                <w:kern w:val="0"/>
                <w:sz w:val="18"/>
                <w:szCs w:val="18"/>
                <w14:textFill>
                  <w14:solidFill>
                    <w14:schemeClr w14:val="tx1"/>
                  </w14:solidFill>
                </w14:textFill>
              </w:rPr>
              <w:t>15</w:t>
            </w:r>
            <w:r>
              <w:rPr>
                <w:rFonts w:ascii="Times New Roman" w:hAnsi="Times New Roman"/>
                <w:color w:val="000000" w:themeColor="text1"/>
                <w:kern w:val="0"/>
                <w:sz w:val="18"/>
                <w:szCs w:val="18"/>
                <w14:textFill>
                  <w14:solidFill>
                    <w14:schemeClr w14:val="tx1"/>
                  </w14:solidFill>
                </w14:textFill>
              </w:rPr>
              <w:t>m</w:t>
            </w:r>
            <w:r>
              <w:rPr>
                <w:rFonts w:ascii="Times New Roman" w:hAnsi="宋体"/>
                <w:color w:val="000000" w:themeColor="text1"/>
                <w:kern w:val="0"/>
                <w:sz w:val="18"/>
                <w:szCs w:val="18"/>
                <w14:textFill>
                  <w14:solidFill>
                    <w14:schemeClr w14:val="tx1"/>
                  </w14:solidFill>
                </w14:textFill>
              </w:rPr>
              <w:t>高排气筒</w:t>
            </w:r>
            <w:r>
              <w:rPr>
                <w:rFonts w:hint="eastAsia" w:ascii="Times New Roman" w:hAnsi="宋体"/>
                <w:color w:val="000000" w:themeColor="text1"/>
                <w:kern w:val="0"/>
                <w:sz w:val="18"/>
                <w:szCs w:val="18"/>
                <w14:textFill>
                  <w14:solidFill>
                    <w14:schemeClr w14:val="tx1"/>
                  </w14:solidFill>
                </w14:textFill>
              </w:rPr>
              <w:t>DA002</w:t>
            </w:r>
            <w:r>
              <w:rPr>
                <w:rFonts w:ascii="Times New Roman" w:hAnsi="宋体"/>
                <w:color w:val="000000" w:themeColor="text1"/>
                <w:kern w:val="0"/>
                <w:sz w:val="18"/>
                <w:szCs w:val="18"/>
                <w14:textFill>
                  <w14:solidFill>
                    <w14:schemeClr w14:val="tx1"/>
                  </w14:solidFill>
                </w14:textFill>
              </w:rPr>
              <w:t>排放</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 烘干废气</w:t>
            </w:r>
          </w:p>
        </w:tc>
        <w:tc>
          <w:tcPr>
            <w:tcW w:w="54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经1套布袋除尘器处理后由1根15m高排气筒DA003排放</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废水</w:t>
            </w: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 生活污水</w:t>
            </w:r>
          </w:p>
        </w:tc>
        <w:tc>
          <w:tcPr>
            <w:tcW w:w="54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经化粪池（处理能力5m</w:t>
            </w:r>
            <w:r>
              <w:rPr>
                <w:rFonts w:hint="eastAsia"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/d）处理后排入市政污水管网</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 尾气洗涤废液</w:t>
            </w:r>
          </w:p>
        </w:tc>
        <w:tc>
          <w:tcPr>
            <w:tcW w:w="5460"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泵送至中和槽回用于生产，不外排</w:t>
            </w:r>
          </w:p>
        </w:tc>
        <w:tc>
          <w:tcPr>
            <w:tcW w:w="992"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 离心洗涤废水</w:t>
            </w:r>
          </w:p>
        </w:tc>
        <w:tc>
          <w:tcPr>
            <w:tcW w:w="5460" w:type="dxa"/>
            <w:vAlign w:val="center"/>
          </w:tcPr>
          <w:p>
            <w:pPr>
              <w:widowControl/>
              <w:ind w:firstLine="720" w:firstLineChars="400"/>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经母液槽最终进入中和槽回用于生产，不外排</w:t>
            </w:r>
          </w:p>
        </w:tc>
        <w:tc>
          <w:tcPr>
            <w:tcW w:w="992"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蒸汽冷凝液</w:t>
            </w:r>
          </w:p>
        </w:tc>
        <w:tc>
          <w:tcPr>
            <w:tcW w:w="5460" w:type="dxa"/>
            <w:vAlign w:val="center"/>
          </w:tcPr>
          <w:p>
            <w:pPr>
              <w:widowControl/>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部分回用于厂区绿化洒水，多余部分作为清净下水经雨水管网排放</w:t>
            </w:r>
          </w:p>
        </w:tc>
        <w:tc>
          <w:tcPr>
            <w:tcW w:w="992"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污蒸汽冷凝液</w:t>
            </w:r>
          </w:p>
        </w:tc>
        <w:tc>
          <w:tcPr>
            <w:tcW w:w="5460"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部分回用于溶盐槽溶盐、离心洗涤、尾气吸收、循环冷却补水，多余部分作为清净下水经雨水管网排放</w:t>
            </w:r>
          </w:p>
        </w:tc>
        <w:tc>
          <w:tcPr>
            <w:tcW w:w="992"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循环冷却排水</w:t>
            </w:r>
          </w:p>
        </w:tc>
        <w:tc>
          <w:tcPr>
            <w:tcW w:w="5460"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作为清净下水排放</w:t>
            </w:r>
          </w:p>
        </w:tc>
        <w:tc>
          <w:tcPr>
            <w:tcW w:w="992"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噪声</w:t>
            </w: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运转设备</w:t>
            </w:r>
          </w:p>
        </w:tc>
        <w:tc>
          <w:tcPr>
            <w:tcW w:w="54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选用低噪声设备；经厂房隔声、减震、消声处理；合理布置声源位置</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固废</w:t>
            </w: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生活垃圾</w:t>
            </w:r>
          </w:p>
        </w:tc>
        <w:tc>
          <w:tcPr>
            <w:tcW w:w="5460"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厂区设置垃圾收集箱，收集后环卫部门定期清理</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废包装材料</w:t>
            </w:r>
          </w:p>
        </w:tc>
        <w:tc>
          <w:tcPr>
            <w:tcW w:w="5460"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集中收集后交由物资部门回收处理</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布袋除尘器</w:t>
            </w:r>
          </w:p>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收集粉尘</w:t>
            </w:r>
          </w:p>
        </w:tc>
        <w:tc>
          <w:tcPr>
            <w:tcW w:w="5460"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作为产品外售</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压滤废渣</w:t>
            </w:r>
          </w:p>
        </w:tc>
        <w:tc>
          <w:tcPr>
            <w:tcW w:w="5460"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外售砖厂综合利用</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废机油</w:t>
            </w:r>
          </w:p>
        </w:tc>
        <w:tc>
          <w:tcPr>
            <w:tcW w:w="54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设置1间5m</w:t>
            </w:r>
            <w:r>
              <w:rPr>
                <w:rFonts w:hint="eastAsia" w:ascii="Times New Roman" w:hAnsi="宋体"/>
                <w:color w:val="000000" w:themeColor="text1"/>
                <w:kern w:val="0"/>
                <w:sz w:val="18"/>
                <w:szCs w:val="18"/>
                <w:vertAlign w:val="superscript"/>
                <w14:textFill>
                  <w14:solidFill>
                    <w14:schemeClr w14:val="tx1"/>
                  </w14:solidFill>
                </w14:textFill>
              </w:rPr>
              <w:t>2</w:t>
            </w:r>
            <w:r>
              <w:rPr>
                <w:rFonts w:ascii="Times New Roman" w:hAnsi="宋体"/>
                <w:color w:val="000000" w:themeColor="text1"/>
                <w:kern w:val="0"/>
                <w:sz w:val="18"/>
                <w:szCs w:val="18"/>
                <w14:textFill>
                  <w14:solidFill>
                    <w14:schemeClr w14:val="tx1"/>
                  </w14:solidFill>
                </w14:textFill>
              </w:rPr>
              <w:t>危废</w:t>
            </w:r>
            <w:r>
              <w:rPr>
                <w:rFonts w:hint="eastAsia" w:ascii="Times New Roman" w:hAnsi="宋体"/>
                <w:color w:val="000000" w:themeColor="text1"/>
                <w:kern w:val="0"/>
                <w:sz w:val="18"/>
                <w:szCs w:val="18"/>
                <w14:textFill>
                  <w14:solidFill>
                    <w14:schemeClr w14:val="tx1"/>
                  </w14:solidFill>
                </w14:textFill>
              </w:rPr>
              <w:t>暂存间</w:t>
            </w:r>
            <w:r>
              <w:rPr>
                <w:rFonts w:ascii="Times New Roman" w:hAnsi="宋体"/>
                <w:color w:val="000000" w:themeColor="text1"/>
                <w:kern w:val="0"/>
                <w:sz w:val="18"/>
                <w:szCs w:val="18"/>
                <w14:textFill>
                  <w14:solidFill>
                    <w14:schemeClr w14:val="tx1"/>
                  </w14:solidFill>
                </w14:textFill>
              </w:rPr>
              <w:t>，地面做防腐防渗处理，设警示标牌、</w:t>
            </w:r>
            <w:r>
              <w:rPr>
                <w:rFonts w:hint="eastAsia" w:ascii="Times New Roman" w:hAnsi="宋体"/>
                <w:color w:val="000000" w:themeColor="text1"/>
                <w:kern w:val="0"/>
                <w:sz w:val="18"/>
                <w:szCs w:val="18"/>
                <w14:textFill>
                  <w14:solidFill>
                    <w14:schemeClr w14:val="tx1"/>
                  </w14:solidFill>
                </w14:textFill>
              </w:rPr>
              <w:t>利用专用容积收集后</w:t>
            </w:r>
            <w:r>
              <w:rPr>
                <w:rFonts w:ascii="Times New Roman" w:hAnsi="宋体"/>
                <w:color w:val="000000" w:themeColor="text1"/>
                <w:kern w:val="0"/>
                <w:sz w:val="18"/>
                <w:szCs w:val="18"/>
                <w14:textFill>
                  <w14:solidFill>
                    <w14:schemeClr w14:val="tx1"/>
                  </w14:solidFill>
                </w14:textFill>
              </w:rPr>
              <w:t>定期交由有资质单位</w:t>
            </w:r>
            <w:r>
              <w:rPr>
                <w:rFonts w:hint="eastAsia" w:ascii="Times New Roman" w:hAnsi="宋体"/>
                <w:color w:val="000000" w:themeColor="text1"/>
                <w:kern w:val="0"/>
                <w:sz w:val="18"/>
                <w:szCs w:val="18"/>
                <w14:textFill>
                  <w14:solidFill>
                    <w14:schemeClr w14:val="tx1"/>
                  </w14:solidFill>
                </w14:textFill>
              </w:rPr>
              <w:t>处置</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地下水</w:t>
            </w:r>
          </w:p>
        </w:tc>
        <w:tc>
          <w:tcPr>
            <w:tcW w:w="165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分区防渗</w:t>
            </w:r>
          </w:p>
        </w:tc>
        <w:tc>
          <w:tcPr>
            <w:tcW w:w="5460"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fldChar w:fldCharType="begin"/>
            </w:r>
            <w:r>
              <w:rPr>
                <w:rFonts w:ascii="Times New Roman" w:hAnsi="宋体"/>
                <w:color w:val="000000" w:themeColor="text1"/>
                <w:kern w:val="0"/>
                <w:sz w:val="18"/>
                <w:szCs w:val="18"/>
                <w14:textFill>
                  <w14:solidFill>
                    <w14:schemeClr w14:val="tx1"/>
                  </w14:solidFill>
                </w14:textFill>
              </w:rPr>
              <w:instrText xml:space="preserve"> </w:instrText>
            </w:r>
            <w:r>
              <w:rPr>
                <w:rFonts w:hint="eastAsia" w:ascii="Times New Roman" w:hAnsi="宋体"/>
                <w:color w:val="000000" w:themeColor="text1"/>
                <w:kern w:val="0"/>
                <w:sz w:val="18"/>
                <w:szCs w:val="18"/>
                <w14:textFill>
                  <w14:solidFill>
                    <w14:schemeClr w14:val="tx1"/>
                  </w14:solidFill>
                </w14:textFill>
              </w:rPr>
              <w:instrText xml:space="preserve">= 1 \* GB3</w:instrText>
            </w:r>
            <w:r>
              <w:rPr>
                <w:rFonts w:ascii="Times New Roman" w:hAnsi="宋体"/>
                <w:color w:val="000000" w:themeColor="text1"/>
                <w:kern w:val="0"/>
                <w:sz w:val="18"/>
                <w:szCs w:val="18"/>
                <w14:textFill>
                  <w14:solidFill>
                    <w14:schemeClr w14:val="tx1"/>
                  </w14:solidFill>
                </w14:textFill>
              </w:rPr>
              <w:instrText xml:space="preserve"> </w:instrText>
            </w:r>
            <w:r>
              <w:rPr>
                <w:rFonts w:ascii="Times New Roman" w:hAnsi="宋体"/>
                <w:color w:val="000000" w:themeColor="text1"/>
                <w:kern w:val="0"/>
                <w:sz w:val="18"/>
                <w:szCs w:val="18"/>
                <w14:textFill>
                  <w14:solidFill>
                    <w14:schemeClr w14:val="tx1"/>
                  </w14:solidFill>
                </w14:textFill>
              </w:rPr>
              <w:fldChar w:fldCharType="separate"/>
            </w:r>
            <w:r>
              <w:rPr>
                <w:rFonts w:hint="eastAsia" w:ascii="Times New Roman" w:hAnsi="宋体"/>
                <w:color w:val="000000" w:themeColor="text1"/>
                <w:kern w:val="0"/>
                <w:sz w:val="18"/>
                <w:szCs w:val="18"/>
                <w14:textFill>
                  <w14:solidFill>
                    <w14:schemeClr w14:val="tx1"/>
                  </w14:solidFill>
                </w14:textFill>
              </w:rPr>
              <w:t>①</w:t>
            </w:r>
            <w:r>
              <w:rPr>
                <w:rFonts w:ascii="Times New Roman" w:hAnsi="宋体"/>
                <w:color w:val="000000" w:themeColor="text1"/>
                <w:kern w:val="0"/>
                <w:sz w:val="18"/>
                <w:szCs w:val="18"/>
                <w14:textFill>
                  <w14:solidFill>
                    <w14:schemeClr w14:val="tx1"/>
                  </w14:solidFill>
                </w14:textFill>
              </w:rPr>
              <w:fldChar w:fldCharType="end"/>
            </w:r>
            <w:r>
              <w:rPr>
                <w:rFonts w:ascii="Times New Roman" w:hAnsi="宋体"/>
                <w:color w:val="000000" w:themeColor="text1"/>
                <w:kern w:val="0"/>
                <w:sz w:val="18"/>
                <w:szCs w:val="18"/>
                <w14:textFill>
                  <w14:solidFill>
                    <w14:schemeClr w14:val="tx1"/>
                  </w14:solidFill>
                </w14:textFill>
              </w:rPr>
              <w:t>重点防渗区域：生产车间、罐区、导流沟、事故应急池、危险废物暂存间防渗层为至少</w:t>
            </w:r>
            <w:r>
              <w:rPr>
                <w:rFonts w:ascii="Times New Roman" w:hAnsi="Times New Roman"/>
                <w:color w:val="000000" w:themeColor="text1"/>
                <w:kern w:val="0"/>
                <w:sz w:val="18"/>
                <w:szCs w:val="18"/>
                <w14:textFill>
                  <w14:solidFill>
                    <w14:schemeClr w14:val="tx1"/>
                  </w14:solidFill>
                </w14:textFill>
              </w:rPr>
              <w:t>1m</w:t>
            </w:r>
            <w:r>
              <w:rPr>
                <w:rFonts w:ascii="Times New Roman" w:hAnsi="宋体"/>
                <w:color w:val="000000" w:themeColor="text1"/>
                <w:kern w:val="0"/>
                <w:sz w:val="18"/>
                <w:szCs w:val="18"/>
                <w14:textFill>
                  <w14:solidFill>
                    <w14:schemeClr w14:val="tx1"/>
                  </w14:solidFill>
                </w14:textFill>
              </w:rPr>
              <w:t>厚黏土层（渗透系数</w:t>
            </w:r>
            <w:r>
              <w:rPr>
                <w:rFonts w:ascii="Times New Roman" w:hAnsi="Times New Roman"/>
                <w:color w:val="000000" w:themeColor="text1"/>
                <w:kern w:val="0"/>
                <w:sz w:val="18"/>
                <w:szCs w:val="18"/>
                <w14:textFill>
                  <w14:solidFill>
                    <w14:schemeClr w14:val="tx1"/>
                  </w14:solidFill>
                </w14:textFill>
              </w:rPr>
              <w:t>≤10</w:t>
            </w:r>
            <w:r>
              <w:rPr>
                <w:rFonts w:ascii="Times New Roman" w:hAnsi="Times New Roman"/>
                <w:color w:val="000000" w:themeColor="text1"/>
                <w:kern w:val="0"/>
                <w:sz w:val="18"/>
                <w:szCs w:val="18"/>
                <w:vertAlign w:val="superscript"/>
                <w14:textFill>
                  <w14:solidFill>
                    <w14:schemeClr w14:val="tx1"/>
                  </w14:solidFill>
                </w14:textFill>
              </w:rPr>
              <w:t>-7</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w:t>
            </w:r>
            <w:r>
              <w:rPr>
                <w:rFonts w:ascii="Times New Roman" w:hAnsi="Times New Roman"/>
                <w:color w:val="000000" w:themeColor="text1"/>
                <w:kern w:val="0"/>
                <w:sz w:val="18"/>
                <w:szCs w:val="18"/>
                <w14:textFill>
                  <w14:solidFill>
                    <w14:schemeClr w14:val="tx1"/>
                  </w14:solidFill>
                </w14:textFill>
              </w:rPr>
              <w:t>2cm</w:t>
            </w:r>
            <w:r>
              <w:rPr>
                <w:rFonts w:ascii="Times New Roman" w:hAnsi="宋体"/>
                <w:color w:val="000000" w:themeColor="text1"/>
                <w:kern w:val="0"/>
                <w:sz w:val="18"/>
                <w:szCs w:val="18"/>
                <w14:textFill>
                  <w14:solidFill>
                    <w14:schemeClr w14:val="tx1"/>
                  </w14:solidFill>
                </w14:textFill>
              </w:rPr>
              <w:t>厚高密度聚乙烯，其渗透系数应小于</w:t>
            </w:r>
            <w:r>
              <w:rPr>
                <w:rFonts w:ascii="Times New Roman" w:hAnsi="Times New Roman"/>
                <w:color w:val="000000" w:themeColor="text1"/>
                <w:kern w:val="0"/>
                <w:sz w:val="18"/>
                <w:szCs w:val="18"/>
                <w14:textFill>
                  <w14:solidFill>
                    <w14:schemeClr w14:val="tx1"/>
                  </w14:solidFill>
                </w14:textFill>
              </w:rPr>
              <w:t xml:space="preserve"> 10</w:t>
            </w:r>
            <w:r>
              <w:rPr>
                <w:rFonts w:ascii="Times New Roman" w:hAnsi="Times New Roman"/>
                <w:color w:val="000000" w:themeColor="text1"/>
                <w:kern w:val="0"/>
                <w:sz w:val="18"/>
                <w:szCs w:val="18"/>
                <w:vertAlign w:val="superscript"/>
                <w14:textFill>
                  <w14:solidFill>
                    <w14:schemeClr w14:val="tx1"/>
                  </w14:solidFill>
                </w14:textFill>
              </w:rPr>
              <w:t>-10</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。或至少</w:t>
            </w:r>
            <w:r>
              <w:rPr>
                <w:rFonts w:ascii="Times New Roman" w:hAnsi="Times New Roman"/>
                <w:color w:val="000000" w:themeColor="text1"/>
                <w:kern w:val="0"/>
                <w:sz w:val="18"/>
                <w:szCs w:val="18"/>
                <w14:textFill>
                  <w14:solidFill>
                    <w14:schemeClr w14:val="tx1"/>
                  </w14:solidFill>
                </w14:textFill>
              </w:rPr>
              <w:t>2mm</w:t>
            </w:r>
            <w:r>
              <w:rPr>
                <w:rFonts w:ascii="Times New Roman" w:hAnsi="宋体"/>
                <w:color w:val="000000" w:themeColor="text1"/>
                <w:kern w:val="0"/>
                <w:sz w:val="18"/>
                <w:szCs w:val="18"/>
                <w14:textFill>
                  <w14:solidFill>
                    <w14:schemeClr w14:val="tx1"/>
                  </w14:solidFill>
                </w14:textFill>
              </w:rPr>
              <w:t>厚的其他人工材料，渗透系数应小于</w:t>
            </w:r>
            <w:r>
              <w:rPr>
                <w:rFonts w:ascii="Times New Roman" w:hAnsi="Times New Roman"/>
                <w:color w:val="000000" w:themeColor="text1"/>
                <w:kern w:val="0"/>
                <w:sz w:val="18"/>
                <w:szCs w:val="18"/>
                <w14:textFill>
                  <w14:solidFill>
                    <w14:schemeClr w14:val="tx1"/>
                  </w14:solidFill>
                </w14:textFill>
              </w:rPr>
              <w:t>10</w:t>
            </w:r>
            <w:r>
              <w:rPr>
                <w:rFonts w:ascii="Times New Roman" w:hAnsi="Times New Roman"/>
                <w:color w:val="000000" w:themeColor="text1"/>
                <w:kern w:val="0"/>
                <w:sz w:val="18"/>
                <w:szCs w:val="18"/>
                <w:vertAlign w:val="superscript"/>
                <w14:textFill>
                  <w14:solidFill>
                    <w14:schemeClr w14:val="tx1"/>
                  </w14:solidFill>
                </w14:textFill>
              </w:rPr>
              <w:t>-10</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w:t>
            </w:r>
          </w:p>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fldChar w:fldCharType="begin"/>
            </w:r>
            <w:r>
              <w:rPr>
                <w:rFonts w:ascii="Times New Roman" w:hAnsi="Times New Roman"/>
                <w:color w:val="000000" w:themeColor="text1"/>
                <w:kern w:val="0"/>
                <w:sz w:val="18"/>
                <w:szCs w:val="18"/>
                <w14:textFill>
                  <w14:solidFill>
                    <w14:schemeClr w14:val="tx1"/>
                  </w14:solidFill>
                </w14:textFill>
              </w:rPr>
              <w:instrText xml:space="preserve"> </w:instrText>
            </w:r>
            <w:r>
              <w:rPr>
                <w:rFonts w:hint="eastAsia" w:ascii="Times New Roman" w:hAnsi="Times New Roman"/>
                <w:color w:val="000000" w:themeColor="text1"/>
                <w:kern w:val="0"/>
                <w:sz w:val="18"/>
                <w:szCs w:val="18"/>
                <w14:textFill>
                  <w14:solidFill>
                    <w14:schemeClr w14:val="tx1"/>
                  </w14:solidFill>
                </w14:textFill>
              </w:rPr>
              <w:instrText xml:space="preserve">= 2 \* GB3</w:instrText>
            </w:r>
            <w:r>
              <w:rPr>
                <w:rFonts w:ascii="Times New Roman" w:hAnsi="Times New Roman"/>
                <w:color w:val="000000" w:themeColor="text1"/>
                <w:kern w:val="0"/>
                <w:sz w:val="18"/>
                <w:szCs w:val="18"/>
                <w14:textFill>
                  <w14:solidFill>
                    <w14:schemeClr w14:val="tx1"/>
                  </w14:solidFill>
                </w14:textFill>
              </w:rPr>
              <w:instrText xml:space="preserve"> </w:instrText>
            </w:r>
            <w:r>
              <w:rPr>
                <w:rFonts w:ascii="Times New Roman" w:hAnsi="Times New Roman"/>
                <w:color w:val="000000" w:themeColor="text1"/>
                <w:kern w:val="0"/>
                <w:sz w:val="18"/>
                <w:szCs w:val="18"/>
                <w14:textFill>
                  <w14:solidFill>
                    <w14:schemeClr w14:val="tx1"/>
                  </w14:solidFill>
                </w14:textFill>
              </w:rPr>
              <w:fldChar w:fldCharType="separate"/>
            </w:r>
            <w:r>
              <w:rPr>
                <w:rFonts w:hint="eastAsia" w:ascii="Times New Roman" w:hAnsi="Times New Roman"/>
                <w:color w:val="000000" w:themeColor="text1"/>
                <w:kern w:val="0"/>
                <w:sz w:val="18"/>
                <w:szCs w:val="18"/>
                <w14:textFill>
                  <w14:solidFill>
                    <w14:schemeClr w14:val="tx1"/>
                  </w14:solidFill>
                </w14:textFill>
              </w:rPr>
              <w:t>②</w:t>
            </w:r>
            <w:r>
              <w:rPr>
                <w:rFonts w:ascii="Times New Roman" w:hAnsi="Times New Roman"/>
                <w:color w:val="000000" w:themeColor="text1"/>
                <w:kern w:val="0"/>
                <w:sz w:val="18"/>
                <w:szCs w:val="18"/>
                <w14:textFill>
                  <w14:solidFill>
                    <w14:schemeClr w14:val="tx1"/>
                  </w14:solidFill>
                </w14:textFill>
              </w:rPr>
              <w:fldChar w:fldCharType="end"/>
            </w:r>
            <w:r>
              <w:rPr>
                <w:rFonts w:ascii="Times New Roman" w:hAnsi="宋体"/>
                <w:color w:val="000000" w:themeColor="text1"/>
                <w:kern w:val="0"/>
                <w:sz w:val="18"/>
                <w:szCs w:val="18"/>
                <w14:textFill>
                  <w14:solidFill>
                    <w14:schemeClr w14:val="tx1"/>
                  </w14:solidFill>
                </w14:textFill>
              </w:rPr>
              <w:t>一般防渗</w:t>
            </w:r>
            <w:r>
              <w:rPr>
                <w:rFonts w:hint="eastAsia" w:ascii="Times New Roman" w:hAnsi="宋体"/>
                <w:color w:val="000000" w:themeColor="text1"/>
                <w:kern w:val="0"/>
                <w:sz w:val="18"/>
                <w:szCs w:val="18"/>
                <w14:textFill>
                  <w14:solidFill>
                    <w14:schemeClr w14:val="tx1"/>
                  </w14:solidFill>
                </w14:textFill>
              </w:rPr>
              <w:t>区域</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综合</w:t>
            </w:r>
            <w:r>
              <w:rPr>
                <w:rFonts w:ascii="Times New Roman" w:hAnsi="宋体"/>
                <w:color w:val="000000" w:themeColor="text1"/>
                <w:kern w:val="0"/>
                <w:sz w:val="18"/>
                <w:szCs w:val="18"/>
                <w14:textFill>
                  <w14:solidFill>
                    <w14:schemeClr w14:val="tx1"/>
                  </w14:solidFill>
                </w14:textFill>
              </w:rPr>
              <w:t>仓库等效黏土防渗层</w:t>
            </w:r>
            <w:r>
              <w:rPr>
                <w:rFonts w:ascii="Times New Roman" w:hAnsi="Times New Roman"/>
                <w:color w:val="000000" w:themeColor="text1"/>
                <w:kern w:val="0"/>
                <w:sz w:val="18"/>
                <w:szCs w:val="18"/>
                <w14:textFill>
                  <w14:solidFill>
                    <w14:schemeClr w14:val="tx1"/>
                  </w14:solidFill>
                </w14:textFill>
              </w:rPr>
              <w:t>Mb≥1.5m</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K≤1×10</w:t>
            </w:r>
            <w:r>
              <w:rPr>
                <w:rFonts w:ascii="Times New Roman" w:hAnsi="Times New Roman"/>
                <w:color w:val="000000" w:themeColor="text1"/>
                <w:kern w:val="0"/>
                <w:sz w:val="18"/>
                <w:szCs w:val="18"/>
                <w:vertAlign w:val="superscript"/>
                <w14:textFill>
                  <w14:solidFill>
                    <w14:schemeClr w14:val="tx1"/>
                  </w14:solidFill>
                </w14:textFill>
              </w:rPr>
              <w:t>-7</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或参照</w:t>
            </w:r>
            <w:r>
              <w:rPr>
                <w:rFonts w:ascii="Times New Roman" w:hAnsi="Times New Roman"/>
                <w:color w:val="000000" w:themeColor="text1"/>
                <w:kern w:val="0"/>
                <w:sz w:val="18"/>
                <w:szCs w:val="18"/>
                <w14:textFill>
                  <w14:solidFill>
                    <w14:schemeClr w14:val="tx1"/>
                  </w14:solidFill>
                </w14:textFill>
              </w:rPr>
              <w:t xml:space="preserve"> GB16889 </w:t>
            </w:r>
            <w:r>
              <w:rPr>
                <w:rFonts w:ascii="Times New Roman" w:hAnsi="宋体"/>
                <w:color w:val="000000" w:themeColor="text1"/>
                <w:kern w:val="0"/>
                <w:sz w:val="18"/>
                <w:szCs w:val="18"/>
                <w14:textFill>
                  <w14:solidFill>
                    <w14:schemeClr w14:val="tx1"/>
                  </w14:solidFill>
                </w14:textFill>
              </w:rPr>
              <w:t>执行防渗处理。</w:t>
            </w:r>
          </w:p>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fldChar w:fldCharType="begin"/>
            </w:r>
            <w:r>
              <w:rPr>
                <w:rFonts w:ascii="Times New Roman" w:hAnsi="宋体"/>
                <w:color w:val="000000" w:themeColor="text1"/>
                <w:kern w:val="0"/>
                <w:sz w:val="18"/>
                <w:szCs w:val="18"/>
                <w14:textFill>
                  <w14:solidFill>
                    <w14:schemeClr w14:val="tx1"/>
                  </w14:solidFill>
                </w14:textFill>
              </w:rPr>
              <w:instrText xml:space="preserve"> </w:instrText>
            </w:r>
            <w:r>
              <w:rPr>
                <w:rFonts w:hint="eastAsia" w:ascii="Times New Roman" w:hAnsi="宋体"/>
                <w:color w:val="000000" w:themeColor="text1"/>
                <w:kern w:val="0"/>
                <w:sz w:val="18"/>
                <w:szCs w:val="18"/>
                <w14:textFill>
                  <w14:solidFill>
                    <w14:schemeClr w14:val="tx1"/>
                  </w14:solidFill>
                </w14:textFill>
              </w:rPr>
              <w:instrText xml:space="preserve">= 3 \* GB3</w:instrText>
            </w:r>
            <w:r>
              <w:rPr>
                <w:rFonts w:ascii="Times New Roman" w:hAnsi="宋体"/>
                <w:color w:val="000000" w:themeColor="text1"/>
                <w:kern w:val="0"/>
                <w:sz w:val="18"/>
                <w:szCs w:val="18"/>
                <w14:textFill>
                  <w14:solidFill>
                    <w14:schemeClr w14:val="tx1"/>
                  </w14:solidFill>
                </w14:textFill>
              </w:rPr>
              <w:instrText xml:space="preserve"> </w:instrText>
            </w:r>
            <w:r>
              <w:rPr>
                <w:rFonts w:ascii="Times New Roman" w:hAnsi="宋体"/>
                <w:color w:val="000000" w:themeColor="text1"/>
                <w:kern w:val="0"/>
                <w:sz w:val="18"/>
                <w:szCs w:val="18"/>
                <w14:textFill>
                  <w14:solidFill>
                    <w14:schemeClr w14:val="tx1"/>
                  </w14:solidFill>
                </w14:textFill>
              </w:rPr>
              <w:fldChar w:fldCharType="separate"/>
            </w:r>
            <w:r>
              <w:rPr>
                <w:rFonts w:hint="eastAsia" w:ascii="Times New Roman" w:hAnsi="宋体"/>
                <w:color w:val="000000" w:themeColor="text1"/>
                <w:kern w:val="0"/>
                <w:sz w:val="18"/>
                <w:szCs w:val="18"/>
                <w14:textFill>
                  <w14:solidFill>
                    <w14:schemeClr w14:val="tx1"/>
                  </w14:solidFill>
                </w14:textFill>
              </w:rPr>
              <w:t>③</w:t>
            </w:r>
            <w:r>
              <w:rPr>
                <w:rFonts w:ascii="Times New Roman" w:hAnsi="宋体"/>
                <w:color w:val="000000" w:themeColor="text1"/>
                <w:kern w:val="0"/>
                <w:sz w:val="18"/>
                <w:szCs w:val="18"/>
                <w14:textFill>
                  <w14:solidFill>
                    <w14:schemeClr w14:val="tx1"/>
                  </w14:solidFill>
                </w14:textFill>
              </w:rPr>
              <w:fldChar w:fldCharType="end"/>
            </w:r>
            <w:r>
              <w:rPr>
                <w:rFonts w:hint="eastAsia" w:ascii="Times New Roman" w:hAnsi="宋体"/>
                <w:color w:val="000000" w:themeColor="text1"/>
                <w:kern w:val="0"/>
                <w:sz w:val="18"/>
                <w:szCs w:val="18"/>
                <w14:textFill>
                  <w14:solidFill>
                    <w14:schemeClr w14:val="tx1"/>
                  </w14:solidFill>
                </w14:textFill>
              </w:rPr>
              <w:t>简单防渗</w:t>
            </w:r>
            <w:r>
              <w:rPr>
                <w:rFonts w:ascii="Times New Roman" w:hAnsi="宋体"/>
                <w:color w:val="000000" w:themeColor="text1"/>
                <w:kern w:val="0"/>
                <w:sz w:val="18"/>
                <w:szCs w:val="18"/>
                <w14:textFill>
                  <w14:solidFill>
                    <w14:schemeClr w14:val="tx1"/>
                  </w14:solidFill>
                </w14:textFill>
              </w:rPr>
              <w:t>区域：</w:t>
            </w:r>
            <w:r>
              <w:rPr>
                <w:rFonts w:hint="eastAsia" w:ascii="Times New Roman" w:hAnsi="宋体"/>
                <w:color w:val="000000" w:themeColor="text1"/>
                <w:kern w:val="0"/>
                <w:sz w:val="18"/>
                <w:szCs w:val="18"/>
                <w14:textFill>
                  <w14:solidFill>
                    <w14:schemeClr w14:val="tx1"/>
                  </w14:solidFill>
                </w14:textFill>
              </w:rPr>
              <w:t>综合楼</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消防水池</w:t>
            </w:r>
            <w:r>
              <w:rPr>
                <w:rFonts w:ascii="Times New Roman" w:hAnsi="宋体"/>
                <w:color w:val="000000" w:themeColor="text1"/>
                <w:kern w:val="0"/>
                <w:sz w:val="18"/>
                <w:szCs w:val="18"/>
                <w14:textFill>
                  <w14:solidFill>
                    <w14:schemeClr w14:val="tx1"/>
                  </w14:solidFill>
                </w14:textFill>
              </w:rPr>
              <w:t>地面水泥硬化处理。</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1651"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地下水监控</w:t>
            </w:r>
          </w:p>
        </w:tc>
        <w:tc>
          <w:tcPr>
            <w:tcW w:w="5460"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布设地下水跟踪监测井3处：背景监测井一处（D1：厂区外西南侧），污染监控井两处（D2：罐区东北侧（场地）；D3：厂区外东北侧）</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环境风险</w:t>
            </w:r>
          </w:p>
        </w:tc>
        <w:tc>
          <w:tcPr>
            <w:tcW w:w="7111" w:type="dxa"/>
            <w:gridSpan w:val="2"/>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建设</w:t>
            </w:r>
            <w:r>
              <w:rPr>
                <w:rFonts w:hint="eastAsia" w:ascii="Times New Roman" w:hAnsi="Times New Roman"/>
                <w:color w:val="000000" w:themeColor="text1"/>
                <w:kern w:val="0"/>
                <w:sz w:val="18"/>
                <w:szCs w:val="18"/>
                <w14:textFill>
                  <w14:solidFill>
                    <w14:schemeClr w14:val="tx1"/>
                  </w14:solidFill>
                </w14:textFill>
              </w:rPr>
              <w:t>450</w:t>
            </w:r>
            <w:r>
              <w:rPr>
                <w:rFonts w:ascii="Times New Roman" w:hAnsi="Times New Roman"/>
                <w:color w:val="000000" w:themeColor="text1"/>
                <w:kern w:val="0"/>
                <w:sz w:val="18"/>
                <w:szCs w:val="18"/>
                <w14:textFill>
                  <w14:solidFill>
                    <w14:schemeClr w14:val="tx1"/>
                  </w14:solidFill>
                </w14:textFill>
              </w:rPr>
              <w:t>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事故应急池一座；罐区设置事故罐，按安全相关要求设置围堰和导流收集槽。编制</w:t>
            </w:r>
            <w:r>
              <w:rPr>
                <w:rFonts w:hint="eastAsia" w:ascii="Times New Roman" w:hAnsi="宋体"/>
                <w:color w:val="000000" w:themeColor="text1"/>
                <w:kern w:val="0"/>
                <w:sz w:val="18"/>
                <w:szCs w:val="18"/>
                <w14:textFill>
                  <w14:solidFill>
                    <w14:schemeClr w14:val="tx1"/>
                  </w14:solidFill>
                </w14:textFill>
              </w:rPr>
              <w:t>突发环境事件</w:t>
            </w:r>
            <w:r>
              <w:rPr>
                <w:rFonts w:ascii="Times New Roman" w:hAnsi="宋体"/>
                <w:color w:val="000000" w:themeColor="text1"/>
                <w:kern w:val="0"/>
                <w:sz w:val="18"/>
                <w:szCs w:val="18"/>
                <w14:textFill>
                  <w14:solidFill>
                    <w14:schemeClr w14:val="tx1"/>
                  </w14:solidFill>
                </w14:textFill>
              </w:rPr>
              <w:t>应急预案。</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40" w:hRule="atLeast"/>
          <w:jc w:val="center"/>
        </w:trPr>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合计</w:t>
            </w:r>
          </w:p>
        </w:tc>
        <w:tc>
          <w:tcPr>
            <w:tcW w:w="7111" w:type="dxa"/>
            <w:gridSpan w:val="2"/>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305</w:t>
            </w:r>
          </w:p>
        </w:tc>
      </w:tr>
    </w:tbl>
    <w:p>
      <w:pPr>
        <w:rPr>
          <w:rFonts w:asciiTheme="minorEastAsia" w:hAnsiTheme="minorEastAsia" w:eastAsiaTheme="minorEastAsia"/>
          <w:color w:val="000000" w:themeColor="text1"/>
          <w:sz w:val="28"/>
          <w:szCs w:val="28"/>
          <w14:textFill>
            <w14:solidFill>
              <w14:schemeClr w14:val="tx1"/>
            </w14:solidFill>
          </w14:textFill>
        </w:rPr>
      </w:pPr>
    </w:p>
    <w:p>
      <w:pPr>
        <w:rPr>
          <w:rFonts w:ascii="黑体" w:hAnsi="黑体" w:eastAsia="黑体"/>
          <w:b/>
          <w:color w:val="000000" w:themeColor="text1"/>
          <w:sz w:val="44"/>
          <w:szCs w:val="44"/>
          <w14:textFill>
            <w14:solidFill>
              <w14:schemeClr w14:val="tx1"/>
            </w14:solidFill>
          </w14:textFill>
        </w:rPr>
      </w:pPr>
      <w:r>
        <w:rPr>
          <w:rFonts w:ascii="黑体" w:hAnsi="黑体" w:eastAsia="黑体"/>
          <w:b/>
          <w:color w:val="000000" w:themeColor="text1"/>
          <w:sz w:val="44"/>
          <w:szCs w:val="44"/>
          <w14:textFill>
            <w14:solidFill>
              <w14:schemeClr w14:val="tx1"/>
            </w14:solidFill>
          </w14:textFill>
        </w:rPr>
        <w:br w:type="page"/>
      </w:r>
    </w:p>
    <w:p>
      <w:pPr>
        <w:pStyle w:val="380"/>
        <w:adjustRightInd w:val="0"/>
        <w:snapToGrid w:val="0"/>
        <w:spacing w:after="360" w:afterLines="150"/>
        <w:ind w:left="3780" w:firstLine="0" w:firstLineChars="0"/>
        <w:jc w:val="left"/>
        <w:outlineLvl w:val="2"/>
        <w:rPr>
          <w:rFonts w:ascii="黑体" w:hAnsi="黑体" w:eastAsia="黑体"/>
          <w:b/>
          <w:color w:val="000000" w:themeColor="text1"/>
          <w:sz w:val="44"/>
          <w:szCs w:val="44"/>
          <w14:textFill>
            <w14:solidFill>
              <w14:schemeClr w14:val="tx1"/>
            </w14:solidFill>
          </w14:textFill>
        </w:rPr>
      </w:pPr>
      <w:bookmarkStart w:id="791" w:name="_Toc15882"/>
      <w:r>
        <w:rPr>
          <w:rFonts w:hint="default" w:ascii="黑体" w:hAnsi="黑体" w:eastAsia="黑体"/>
          <w:b/>
          <w:color w:val="000000" w:themeColor="text1"/>
          <w:sz w:val="44"/>
          <w:szCs w:val="44"/>
          <w:lang w:val="en-US"/>
          <w14:textFill>
            <w14:solidFill>
              <w14:schemeClr w14:val="tx1"/>
            </w14:solidFill>
          </w14:textFill>
        </w:rPr>
        <w:t>9</w:t>
      </w:r>
      <w:r>
        <w:rPr>
          <w:rFonts w:hint="eastAsia" w:ascii="黑体" w:hAnsi="黑体" w:eastAsia="黑体"/>
          <w:b/>
          <w:color w:val="000000" w:themeColor="text1"/>
          <w:sz w:val="44"/>
          <w:szCs w:val="44"/>
          <w14:textFill>
            <w14:solidFill>
              <w14:schemeClr w14:val="tx1"/>
            </w14:solidFill>
          </w14:textFill>
        </w:rPr>
        <w:t>总量控制</w:t>
      </w:r>
      <w:bookmarkEnd w:id="791"/>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792" w:name="_Toc12257"/>
      <w:r>
        <w:rPr>
          <w:rFonts w:hint="default" w:ascii="Times New Roman" w:hAnsi="Times New Roman" w:eastAsia="黑体"/>
          <w:b/>
          <w:color w:val="000000" w:themeColor="text1"/>
          <w:sz w:val="32"/>
          <w:szCs w:val="32"/>
          <w:lang w:val="en-US"/>
          <w14:textFill>
            <w14:solidFill>
              <w14:schemeClr w14:val="tx1"/>
            </w14:solidFill>
          </w14:textFill>
        </w:rPr>
        <w:t>9</w:t>
      </w:r>
      <w:r>
        <w:rPr>
          <w:rFonts w:ascii="Times New Roman" w:hAnsi="Times New Roman" w:eastAsia="黑体"/>
          <w:b/>
          <w:color w:val="000000" w:themeColor="text1"/>
          <w:sz w:val="32"/>
          <w:szCs w:val="32"/>
          <w14:textFill>
            <w14:solidFill>
              <w14:schemeClr w14:val="tx1"/>
            </w14:solidFill>
          </w14:textFill>
        </w:rPr>
        <w:t>.1</w:t>
      </w:r>
      <w:r>
        <w:rPr>
          <w:rFonts w:hint="eastAsia" w:ascii="黑体" w:hAnsi="黑体" w:eastAsia="黑体"/>
          <w:b/>
          <w:color w:val="000000" w:themeColor="text1"/>
          <w:sz w:val="32"/>
          <w:szCs w:val="32"/>
          <w14:textFill>
            <w14:solidFill>
              <w14:schemeClr w14:val="tx1"/>
            </w14:solidFill>
          </w14:textFill>
        </w:rPr>
        <w:t>实行总量控制的目的</w:t>
      </w:r>
      <w:bookmarkEnd w:id="792"/>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国家环保部为实现环境保护目标，力争使污染和生态恶化加剧趋势得到基本控制，提出了污染物排放总量控制措施。实施污染物排放总量控制是污染控制管理的重要举措，将有助于促进资源节约，产业结构的优化，科学技术进步和污染的防治，这是环境保护工作服务于两个根本性转变和推行可持续发展战略的重大举措之一。</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793" w:name="_Toc30731"/>
      <w:r>
        <w:rPr>
          <w:rFonts w:hint="default" w:ascii="Times New Roman" w:hAnsi="Times New Roman" w:eastAsia="黑体"/>
          <w:b/>
          <w:color w:val="000000" w:themeColor="text1"/>
          <w:sz w:val="32"/>
          <w:szCs w:val="32"/>
          <w:lang w:val="en-US"/>
          <w14:textFill>
            <w14:solidFill>
              <w14:schemeClr w14:val="tx1"/>
            </w14:solidFill>
          </w14:textFill>
        </w:rPr>
        <w:t>9</w:t>
      </w:r>
      <w:r>
        <w:rPr>
          <w:rFonts w:ascii="Times New Roman" w:hAnsi="Times New Roman" w:eastAsia="黑体"/>
          <w:b/>
          <w:color w:val="000000" w:themeColor="text1"/>
          <w:sz w:val="32"/>
          <w:szCs w:val="32"/>
          <w14:textFill>
            <w14:solidFill>
              <w14:schemeClr w14:val="tx1"/>
            </w14:solidFill>
          </w14:textFill>
        </w:rPr>
        <w:t>.2</w:t>
      </w:r>
      <w:r>
        <w:rPr>
          <w:rFonts w:hint="eastAsia" w:ascii="黑体" w:hAnsi="黑体" w:eastAsia="黑体"/>
          <w:b/>
          <w:color w:val="000000" w:themeColor="text1"/>
          <w:sz w:val="32"/>
          <w:szCs w:val="32"/>
          <w14:textFill>
            <w14:solidFill>
              <w14:schemeClr w14:val="tx1"/>
            </w14:solidFill>
          </w14:textFill>
        </w:rPr>
        <w:t>总量控制因子</w:t>
      </w:r>
      <w:bookmarkEnd w:id="793"/>
    </w:p>
    <w:p>
      <w:pPr>
        <w:spacing w:line="520" w:lineRule="exact"/>
        <w:ind w:firstLine="480" w:firstLineChars="200"/>
        <w:jc w:val="left"/>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根据国家和地方总量控制要求，宜昌市目前纳入管理的主要污染物主要是指国家实施排放总量控制的污染物（“十三五”期间为化学需氧量、氨氮、总磷、二氧化硫、氮氧化物、挥发性有机物）、烟粉尘、重金属一类污染物和特征污染物。</w:t>
      </w:r>
    </w:p>
    <w:p>
      <w:pPr>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结合本工程排污特征和周边环境的功能与环境质量要求，建议本项目将以下污染因子纳入总量控制指标：COD、NH</w:t>
      </w:r>
      <w:r>
        <w:rPr>
          <w:rFonts w:hint="eastAsia" w:ascii="Times New Roman" w:hAnsiTheme="minorEastAsia" w:eastAsiaTheme="minorEastAsia"/>
          <w:color w:val="000000" w:themeColor="text1"/>
          <w:sz w:val="24"/>
          <w:vertAlign w:val="subscript"/>
          <w14:textFill>
            <w14:solidFill>
              <w14:schemeClr w14:val="tx1"/>
            </w14:solidFill>
          </w14:textFill>
        </w:rPr>
        <w:t>3</w:t>
      </w:r>
      <w:r>
        <w:rPr>
          <w:rFonts w:hint="eastAsia" w:ascii="Times New Roman" w:hAnsiTheme="minorEastAsia" w:eastAsiaTheme="minorEastAsia"/>
          <w:color w:val="000000" w:themeColor="text1"/>
          <w:sz w:val="24"/>
          <w14:textFill>
            <w14:solidFill>
              <w14:schemeClr w14:val="tx1"/>
            </w14:solidFill>
          </w14:textFill>
        </w:rPr>
        <w:t>-N、总磷、颗粒物</w:t>
      </w:r>
      <w:r>
        <w:rPr>
          <w:rFonts w:ascii="Times New Roman" w:hAnsiTheme="minorEastAsia" w:eastAsiaTheme="minorEastAsia"/>
          <w:color w:val="000000" w:themeColor="text1"/>
          <w:sz w:val="24"/>
          <w14:textFill>
            <w14:solidFill>
              <w14:schemeClr w14:val="tx1"/>
            </w14:solidFill>
          </w14:textFill>
        </w:rPr>
        <w:t>。</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794" w:name="_Toc5677"/>
      <w:r>
        <w:rPr>
          <w:rFonts w:hint="default" w:ascii="Times New Roman" w:hAnsi="Times New Roman" w:eastAsia="黑体"/>
          <w:b/>
          <w:color w:val="000000" w:themeColor="text1"/>
          <w:sz w:val="32"/>
          <w:szCs w:val="32"/>
          <w:lang w:val="en-US"/>
          <w14:textFill>
            <w14:solidFill>
              <w14:schemeClr w14:val="tx1"/>
            </w14:solidFill>
          </w14:textFill>
        </w:rPr>
        <w:t>9</w:t>
      </w:r>
      <w:r>
        <w:rPr>
          <w:rFonts w:ascii="Times New Roman" w:hAnsi="Times New Roman" w:eastAsia="黑体"/>
          <w:b/>
          <w:color w:val="000000" w:themeColor="text1"/>
          <w:sz w:val="32"/>
          <w:szCs w:val="32"/>
          <w14:textFill>
            <w14:solidFill>
              <w14:schemeClr w14:val="tx1"/>
            </w14:solidFill>
          </w14:textFill>
        </w:rPr>
        <w:t>.3</w:t>
      </w:r>
      <w:r>
        <w:rPr>
          <w:rFonts w:hint="eastAsia" w:ascii="黑体" w:hAnsi="黑体" w:eastAsia="黑体"/>
          <w:b/>
          <w:color w:val="000000" w:themeColor="text1"/>
          <w:sz w:val="32"/>
          <w:szCs w:val="32"/>
          <w14:textFill>
            <w14:solidFill>
              <w14:schemeClr w14:val="tx1"/>
            </w14:solidFill>
          </w14:textFill>
        </w:rPr>
        <w:t>污染物排放总量控制指标的确定原则</w:t>
      </w:r>
      <w:bookmarkEnd w:id="794"/>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）污染物排放浓度达标原则</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污染物排放浓度达到相关排放标准，是确定总量控制指标的基本原则之一，也是企业合法排放污染物的依据，该项目所排放的污染物必须首先满足浓度达标排放。</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）环境质量达标原则</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保证区域和流域环境质量达到功能区标准，是环境保护的基本目标，因此区域污染物排放总量必须小于环境容量，即对环境的影响不得超过环境功能区质量标准。</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3</w:t>
      </w:r>
      <w:r>
        <w:rPr>
          <w:rFonts w:ascii="Times New Roman" w:hAnsiTheme="minorEastAsia" w:eastAsiaTheme="minorEastAsia"/>
          <w:color w:val="000000" w:themeColor="text1"/>
          <w:sz w:val="24"/>
          <w14:textFill>
            <w14:solidFill>
              <w14:schemeClr w14:val="tx1"/>
            </w14:solidFill>
          </w14:textFill>
        </w:rPr>
        <w:t>）符合当地环境管理部门确定的总量控制指标原则</w:t>
      </w:r>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项目主要污染物排放量必须小于环保局所核定的企业污染物排放总量指标。</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795" w:name="_Toc10456"/>
      <w:r>
        <w:rPr>
          <w:rFonts w:hint="default" w:ascii="Times New Roman" w:hAnsi="Times New Roman" w:eastAsia="黑体"/>
          <w:b/>
          <w:color w:val="000000" w:themeColor="text1"/>
          <w:sz w:val="32"/>
          <w:szCs w:val="32"/>
          <w:lang w:val="en-US"/>
          <w14:textFill>
            <w14:solidFill>
              <w14:schemeClr w14:val="tx1"/>
            </w14:solidFill>
          </w14:textFill>
        </w:rPr>
        <w:t>9</w:t>
      </w:r>
      <w:r>
        <w:rPr>
          <w:rFonts w:ascii="Times New Roman" w:hAnsi="Times New Roman" w:eastAsia="黑体"/>
          <w:b/>
          <w:color w:val="000000" w:themeColor="text1"/>
          <w:sz w:val="32"/>
          <w:szCs w:val="32"/>
          <w14:textFill>
            <w14:solidFill>
              <w14:schemeClr w14:val="tx1"/>
            </w14:solidFill>
          </w14:textFill>
        </w:rPr>
        <w:t>.</w:t>
      </w:r>
      <w:r>
        <w:rPr>
          <w:rFonts w:hint="eastAsia" w:ascii="Times New Roman" w:hAnsi="Times New Roman" w:eastAsia="黑体"/>
          <w:b/>
          <w:color w:val="000000" w:themeColor="text1"/>
          <w:sz w:val="32"/>
          <w:szCs w:val="32"/>
          <w14:textFill>
            <w14:solidFill>
              <w14:schemeClr w14:val="tx1"/>
            </w14:solidFill>
          </w14:textFill>
        </w:rPr>
        <w:t>4</w:t>
      </w:r>
      <w:r>
        <w:rPr>
          <w:rFonts w:hint="eastAsia" w:ascii="黑体" w:hAnsi="黑体" w:eastAsia="黑体"/>
          <w:b/>
          <w:color w:val="000000" w:themeColor="text1"/>
          <w:sz w:val="32"/>
          <w:szCs w:val="32"/>
          <w14:textFill>
            <w14:solidFill>
              <w14:schemeClr w14:val="tx1"/>
            </w14:solidFill>
          </w14:textFill>
        </w:rPr>
        <w:t>总量核算</w:t>
      </w:r>
      <w:bookmarkEnd w:id="795"/>
    </w:p>
    <w:p>
      <w:pPr>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在落实本报告提出的各项污染治理措施后，</w:t>
      </w:r>
      <w:r>
        <w:rPr>
          <w:rFonts w:hint="eastAsia" w:ascii="Times New Roman" w:hAnsiTheme="minorEastAsia" w:eastAsiaTheme="minorEastAsia"/>
          <w:color w:val="000000" w:themeColor="text1"/>
          <w:sz w:val="24"/>
          <w14:textFill>
            <w14:solidFill>
              <w14:schemeClr w14:val="tx1"/>
            </w14:solidFill>
          </w14:textFill>
        </w:rPr>
        <w:t>污染物均能够达标排放。因本项目仅涉及单独生活污水排放，故废水污染物无需申请总量。本项目废气</w:t>
      </w:r>
      <w:r>
        <w:rPr>
          <w:rFonts w:ascii="Times New Roman" w:hAnsiTheme="minorEastAsia" w:eastAsiaTheme="minorEastAsia"/>
          <w:color w:val="000000" w:themeColor="text1"/>
          <w:sz w:val="24"/>
          <w14:textFill>
            <w14:solidFill>
              <w14:schemeClr w14:val="tx1"/>
            </w14:solidFill>
          </w14:textFill>
        </w:rPr>
        <w:t>主要污染物排放总量情况见下表</w:t>
      </w:r>
      <w:r>
        <w:rPr>
          <w:rFonts w:hint="default" w:ascii="Times New Roman" w:hAnsi="Times New Roman" w:eastAsiaTheme="minorEastAsia"/>
          <w:color w:val="000000" w:themeColor="text1"/>
          <w:sz w:val="24"/>
          <w:lang w:val="en-US"/>
          <w14:textFill>
            <w14:solidFill>
              <w14:schemeClr w14:val="tx1"/>
            </w14:solidFill>
          </w14:textFill>
        </w:rPr>
        <w:t>9</w:t>
      </w:r>
      <w:r>
        <w:rPr>
          <w:rFonts w:ascii="Times New Roman" w:hAnsi="Times New Roman" w:eastAsiaTheme="minorEastAsia"/>
          <w:color w:val="000000" w:themeColor="text1"/>
          <w:sz w:val="24"/>
          <w14:textFill>
            <w14:solidFill>
              <w14:schemeClr w14:val="tx1"/>
            </w14:solidFill>
          </w14:textFill>
        </w:rPr>
        <w:t>.4-1</w:t>
      </w:r>
      <w:r>
        <w:rPr>
          <w:rFonts w:ascii="Times New Roman" w:hAnsiTheme="minorEastAsia" w:eastAsiaTheme="minorEastAsia"/>
          <w:color w:val="000000" w:themeColor="text1"/>
          <w:sz w:val="24"/>
          <w14:textFill>
            <w14:solidFill>
              <w14:schemeClr w14:val="tx1"/>
            </w14:solidFill>
          </w14:textFill>
        </w:rPr>
        <w:t>。</w:t>
      </w:r>
    </w:p>
    <w:p>
      <w:pPr>
        <w:pStyle w:val="24"/>
        <w:spacing w:beforeLines="50" w:after="48" w:afterLines="20" w:line="520" w:lineRule="exact"/>
        <w:jc w:val="center"/>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表</w:t>
      </w:r>
      <w:r>
        <w:rPr>
          <w:rFonts w:hint="default" w:ascii="Times New Roman" w:hAnsi="Times New Roman" w:eastAsia="宋体" w:cs="Times New Roman"/>
          <w:b/>
          <w:color w:val="000000" w:themeColor="text1"/>
          <w:szCs w:val="24"/>
          <w:lang w:val="en-US"/>
          <w14:textFill>
            <w14:solidFill>
              <w14:schemeClr w14:val="tx1"/>
            </w14:solidFill>
          </w14:textFill>
        </w:rPr>
        <w:t>9</w:t>
      </w:r>
      <w:r>
        <w:rPr>
          <w:rFonts w:hint="eastAsia" w:ascii="Times New Roman" w:hAnsi="Times New Roman" w:eastAsia="宋体" w:cs="Times New Roman"/>
          <w:b/>
          <w:color w:val="000000" w:themeColor="text1"/>
          <w:szCs w:val="24"/>
          <w14:textFill>
            <w14:solidFill>
              <w14:schemeClr w14:val="tx1"/>
            </w14:solidFill>
          </w14:textFill>
        </w:rPr>
        <w:t>.4</w:t>
      </w:r>
      <w:r>
        <w:rPr>
          <w:rFonts w:ascii="Times New Roman" w:hAnsi="Times New Roman" w:eastAsia="宋体" w:cs="Times New Roman"/>
          <w:b/>
          <w:color w:val="000000" w:themeColor="text1"/>
          <w:szCs w:val="24"/>
          <w14:textFill>
            <w14:solidFill>
              <w14:schemeClr w14:val="tx1"/>
            </w14:solidFill>
          </w14:textFill>
        </w:rPr>
        <w:t xml:space="preserve">-1  </w:t>
      </w:r>
      <w:r>
        <w:rPr>
          <w:rFonts w:hint="eastAsia" w:ascii="Times New Roman" w:hAnsi="Times New Roman" w:eastAsia="宋体" w:cs="Times New Roman"/>
          <w:b/>
          <w:color w:val="000000" w:themeColor="text1"/>
          <w:szCs w:val="24"/>
          <w14:textFill>
            <w14:solidFill>
              <w14:schemeClr w14:val="tx1"/>
            </w14:solidFill>
          </w14:textFill>
        </w:rPr>
        <w:t>项目</w:t>
      </w:r>
      <w:r>
        <w:rPr>
          <w:rFonts w:ascii="Times New Roman" w:hAnsi="Times New Roman" w:eastAsia="宋体" w:cs="Times New Roman"/>
          <w:b/>
          <w:color w:val="000000" w:themeColor="text1"/>
          <w:szCs w:val="24"/>
          <w14:textFill>
            <w14:solidFill>
              <w14:schemeClr w14:val="tx1"/>
            </w14:solidFill>
          </w14:textFill>
        </w:rPr>
        <w:t>污染物</w:t>
      </w:r>
      <w:r>
        <w:rPr>
          <w:rFonts w:hint="eastAsia" w:ascii="Times New Roman" w:hAnsi="Times New Roman" w:eastAsia="宋体" w:cs="Times New Roman"/>
          <w:b/>
          <w:color w:val="000000" w:themeColor="text1"/>
          <w:szCs w:val="24"/>
          <w14:textFill>
            <w14:solidFill>
              <w14:schemeClr w14:val="tx1"/>
            </w14:solidFill>
          </w14:textFill>
        </w:rPr>
        <w:t>排放总量</w:t>
      </w:r>
      <w:r>
        <w:rPr>
          <w:rFonts w:ascii="Times New Roman" w:hAnsi="Times New Roman" w:eastAsia="宋体" w:cs="Times New Roman"/>
          <w:b/>
          <w:color w:val="000000" w:themeColor="text1"/>
          <w:szCs w:val="24"/>
          <w14:textFill>
            <w14:solidFill>
              <w14:schemeClr w14:val="tx1"/>
            </w14:solidFill>
          </w14:textFill>
        </w:rPr>
        <w:t>情况汇总表</w:t>
      </w:r>
      <w:r>
        <w:rPr>
          <w:rFonts w:ascii="Times New Roman" w:hAnsi="Times New Roman"/>
          <w:b/>
          <w:bCs/>
          <w:color w:val="000000" w:themeColor="text1"/>
          <w:szCs w:val="24"/>
          <w14:textFill>
            <w14:solidFill>
              <w14:schemeClr w14:val="tx1"/>
            </w14:solidFill>
          </w14:textFill>
        </w:rPr>
        <w:t>(t/a)</w:t>
      </w:r>
    </w:p>
    <w:tbl>
      <w:tblPr>
        <w:tblStyle w:val="87"/>
        <w:tblW w:w="89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40"/>
        <w:gridCol w:w="2240"/>
        <w:gridCol w:w="2240"/>
        <w:gridCol w:w="2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8" w:hRule="atLeast"/>
          <w:jc w:val="center"/>
        </w:trPr>
        <w:tc>
          <w:tcPr>
            <w:tcW w:w="2240" w:type="dxa"/>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控制项目</w:t>
            </w:r>
          </w:p>
        </w:tc>
        <w:tc>
          <w:tcPr>
            <w:tcW w:w="2240" w:type="dxa"/>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产生量</w:t>
            </w:r>
          </w:p>
        </w:tc>
        <w:tc>
          <w:tcPr>
            <w:tcW w:w="2240" w:type="dxa"/>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削减量</w:t>
            </w:r>
          </w:p>
        </w:tc>
        <w:tc>
          <w:tcPr>
            <w:tcW w:w="2240" w:type="dxa"/>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最终排放量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8" w:hRule="atLeast"/>
          <w:jc w:val="center"/>
        </w:trPr>
        <w:tc>
          <w:tcPr>
            <w:tcW w:w="2240" w:type="dxa"/>
            <w:tcMar>
              <w:left w:w="28" w:type="dxa"/>
              <w:right w:w="28" w:type="dxa"/>
            </w:tcMar>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烟粉尘</w:t>
            </w:r>
          </w:p>
        </w:tc>
        <w:tc>
          <w:tcPr>
            <w:tcW w:w="2240" w:type="dxa"/>
            <w:tcMar>
              <w:left w:w="28" w:type="dxa"/>
              <w:right w:w="28" w:type="dxa"/>
            </w:tcMar>
            <w:vAlign w:val="center"/>
          </w:tcPr>
          <w:p>
            <w:pPr>
              <w:widowControl/>
              <w:jc w:val="center"/>
              <w:rPr>
                <w:rFonts w:hint="default" w:ascii="Times New Roman" w:hAnsi="宋体"/>
                <w:color w:val="000000" w:themeColor="text1"/>
                <w:kern w:val="0"/>
                <w:sz w:val="18"/>
                <w:szCs w:val="18"/>
                <w:lang w:val="en-US"/>
                <w14:textFill>
                  <w14:solidFill>
                    <w14:schemeClr w14:val="tx1"/>
                  </w14:solidFill>
                </w14:textFill>
              </w:rPr>
            </w:pPr>
            <w:r>
              <w:rPr>
                <w:rFonts w:hint="default" w:ascii="Times New Roman" w:hAnsi="宋体"/>
                <w:color w:val="000000" w:themeColor="text1"/>
                <w:kern w:val="0"/>
                <w:sz w:val="18"/>
                <w:szCs w:val="18"/>
                <w:lang w:val="en-US"/>
                <w14:textFill>
                  <w14:solidFill>
                    <w14:schemeClr w14:val="tx1"/>
                  </w14:solidFill>
                </w14:textFill>
              </w:rPr>
              <w:t>11.631</w:t>
            </w:r>
          </w:p>
        </w:tc>
        <w:tc>
          <w:tcPr>
            <w:tcW w:w="2240" w:type="dxa"/>
            <w:tcMar>
              <w:left w:w="28" w:type="dxa"/>
              <w:right w:w="28" w:type="dxa"/>
            </w:tcMar>
            <w:vAlign w:val="center"/>
          </w:tcPr>
          <w:p>
            <w:pPr>
              <w:widowControl/>
              <w:jc w:val="center"/>
              <w:rPr>
                <w:rFonts w:hint="default" w:ascii="Times New Roman" w:hAnsi="宋体"/>
                <w:color w:val="000000" w:themeColor="text1"/>
                <w:kern w:val="0"/>
                <w:sz w:val="18"/>
                <w:szCs w:val="18"/>
                <w:lang w:val="en-US"/>
                <w14:textFill>
                  <w14:solidFill>
                    <w14:schemeClr w14:val="tx1"/>
                  </w14:solidFill>
                </w14:textFill>
              </w:rPr>
            </w:pPr>
            <w:r>
              <w:rPr>
                <w:rFonts w:hint="default" w:ascii="Times New Roman" w:hAnsi="宋体"/>
                <w:color w:val="000000" w:themeColor="text1"/>
                <w:kern w:val="0"/>
                <w:sz w:val="18"/>
                <w:szCs w:val="18"/>
                <w:lang w:val="en-US"/>
                <w14:textFill>
                  <w14:solidFill>
                    <w14:schemeClr w14:val="tx1"/>
                  </w14:solidFill>
                </w14:textFill>
              </w:rPr>
              <w:t>11.349</w:t>
            </w:r>
          </w:p>
        </w:tc>
        <w:tc>
          <w:tcPr>
            <w:tcW w:w="2240" w:type="dxa"/>
            <w:vAlign w:val="center"/>
          </w:tcPr>
          <w:p>
            <w:pPr>
              <w:widowControl/>
              <w:jc w:val="center"/>
              <w:rPr>
                <w:rFonts w:hint="default" w:ascii="Times New Roman" w:hAnsi="宋体"/>
                <w:color w:val="000000" w:themeColor="text1"/>
                <w:kern w:val="0"/>
                <w:sz w:val="18"/>
                <w:szCs w:val="18"/>
                <w:lang w:val="en-US"/>
                <w14:textFill>
                  <w14:solidFill>
                    <w14:schemeClr w14:val="tx1"/>
                  </w14:solidFill>
                </w14:textFill>
              </w:rPr>
            </w:pPr>
            <w:r>
              <w:rPr>
                <w:rFonts w:hint="default" w:ascii="Times New Roman" w:hAnsi="宋体"/>
                <w:color w:val="000000" w:themeColor="text1"/>
                <w:kern w:val="0"/>
                <w:sz w:val="18"/>
                <w:szCs w:val="18"/>
                <w:lang w:val="en-US"/>
                <w14:textFill>
                  <w14:solidFill>
                    <w14:schemeClr w14:val="tx1"/>
                  </w14:solidFill>
                </w14:textFill>
              </w:rPr>
              <w:t>0.282</w:t>
            </w:r>
          </w:p>
        </w:tc>
      </w:tr>
    </w:tbl>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796" w:name="_Toc30418"/>
      <w:r>
        <w:rPr>
          <w:rFonts w:hint="default" w:ascii="Times New Roman" w:hAnsi="Times New Roman" w:eastAsia="黑体"/>
          <w:b/>
          <w:color w:val="000000" w:themeColor="text1"/>
          <w:sz w:val="32"/>
          <w:szCs w:val="32"/>
          <w:lang w:val="en-US"/>
          <w14:textFill>
            <w14:solidFill>
              <w14:schemeClr w14:val="tx1"/>
            </w14:solidFill>
          </w14:textFill>
        </w:rPr>
        <w:t>9</w:t>
      </w:r>
      <w:r>
        <w:rPr>
          <w:rFonts w:ascii="Times New Roman" w:hAnsi="Times New Roman" w:eastAsia="黑体"/>
          <w:b/>
          <w:color w:val="000000" w:themeColor="text1"/>
          <w:sz w:val="32"/>
          <w:szCs w:val="32"/>
          <w14:textFill>
            <w14:solidFill>
              <w14:schemeClr w14:val="tx1"/>
            </w14:solidFill>
          </w14:textFill>
        </w:rPr>
        <w:t>.5</w:t>
      </w:r>
      <w:r>
        <w:rPr>
          <w:rFonts w:hint="eastAsia" w:ascii="黑体" w:hAnsi="黑体" w:eastAsia="黑体"/>
          <w:b/>
          <w:color w:val="000000" w:themeColor="text1"/>
          <w:sz w:val="32"/>
          <w:szCs w:val="32"/>
          <w14:textFill>
            <w14:solidFill>
              <w14:schemeClr w14:val="tx1"/>
            </w14:solidFill>
          </w14:textFill>
        </w:rPr>
        <w:t>总量指标来源</w:t>
      </w:r>
      <w:bookmarkEnd w:id="796"/>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本项目全部建成后，全厂污染物排放总量为：</w:t>
      </w:r>
      <w:r>
        <w:rPr>
          <w:rFonts w:hint="eastAsia" w:ascii="Times New Roman" w:hAnsiTheme="minorEastAsia" w:eastAsiaTheme="minorEastAsia"/>
          <w:color w:val="000000" w:themeColor="text1"/>
          <w:sz w:val="24"/>
          <w:szCs w:val="24"/>
          <w14:textFill>
            <w14:solidFill>
              <w14:schemeClr w14:val="tx1"/>
            </w14:solidFill>
          </w14:textFill>
        </w:rPr>
        <w:t>烟粉尘：</w:t>
      </w:r>
      <w:r>
        <w:rPr>
          <w:rFonts w:hint="eastAsia" w:ascii="Times New Roman" w:hAnsi="Times New Roman" w:eastAsiaTheme="minorEastAsia"/>
          <w:color w:val="000000" w:themeColor="text1"/>
          <w:sz w:val="24"/>
          <w:szCs w:val="24"/>
          <w14:textFill>
            <w14:solidFill>
              <w14:schemeClr w14:val="tx1"/>
            </w14:solidFill>
          </w14:textFill>
        </w:rPr>
        <w:t>0.</w:t>
      </w:r>
      <w:r>
        <w:rPr>
          <w:rFonts w:hint="default" w:ascii="Times New Roman" w:hAnsi="Times New Roman" w:eastAsiaTheme="minorEastAsia"/>
          <w:color w:val="000000" w:themeColor="text1"/>
          <w:sz w:val="24"/>
          <w:szCs w:val="24"/>
          <w:lang w:val="en-US"/>
          <w14:textFill>
            <w14:solidFill>
              <w14:schemeClr w14:val="tx1"/>
            </w14:solidFill>
          </w14:textFill>
        </w:rPr>
        <w:t>282</w:t>
      </w:r>
      <w:r>
        <w:rPr>
          <w:rFonts w:ascii="Times New Roman" w:hAnsi="Times New Roman" w:eastAsiaTheme="minorEastAsia"/>
          <w:bCs/>
          <w:color w:val="000000" w:themeColor="text1"/>
          <w:sz w:val="24"/>
          <w:szCs w:val="24"/>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t/a</w:t>
      </w:r>
    </w:p>
    <w:p>
      <w:pPr>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本项目所在区域上一年度PM</w:t>
      </w:r>
      <w:r>
        <w:rPr>
          <w:rFonts w:hint="eastAsia" w:ascii="Times New Roman" w:hAnsiTheme="minorEastAsia" w:eastAsiaTheme="minorEastAsia"/>
          <w:color w:val="000000" w:themeColor="text1"/>
          <w:sz w:val="24"/>
          <w:szCs w:val="24"/>
          <w:vertAlign w:val="subscript"/>
          <w14:textFill>
            <w14:solidFill>
              <w14:schemeClr w14:val="tx1"/>
            </w14:solidFill>
          </w14:textFill>
        </w:rPr>
        <w:t>2.5</w:t>
      </w:r>
      <w:r>
        <w:rPr>
          <w:rFonts w:hint="eastAsia" w:ascii="Times New Roman" w:hAnsiTheme="minorEastAsia" w:eastAsiaTheme="minorEastAsia"/>
          <w:color w:val="000000" w:themeColor="text1"/>
          <w:sz w:val="24"/>
          <w:szCs w:val="24"/>
          <w14:textFill>
            <w14:solidFill>
              <w14:schemeClr w14:val="tx1"/>
            </w14:solidFill>
          </w14:textFill>
        </w:rPr>
        <w:t>年平均浓度超标，实施二氧化硫、氮氧化物、烟粉尘三项污染物2倍削减替代。</w:t>
      </w:r>
    </w:p>
    <w:p>
      <w:pPr>
        <w:spacing w:line="520" w:lineRule="exact"/>
        <w:ind w:firstLine="480" w:firstLineChars="200"/>
        <w:rPr>
          <w:rFonts w:hAnsi="宋体"/>
          <w:color w:val="000000" w:themeColor="text1"/>
          <w:sz w:val="24"/>
          <w:szCs w:val="24"/>
          <w14:textFill>
            <w14:solidFill>
              <w14:schemeClr w14:val="tx1"/>
            </w14:solidFill>
          </w14:textFill>
        </w:rPr>
      </w:pPr>
    </w:p>
    <w:p>
      <w:pPr>
        <w:spacing w:line="520" w:lineRule="exact"/>
        <w:ind w:firstLine="480" w:firstLineChars="200"/>
        <w:rPr>
          <w:rFonts w:hAnsi="宋体"/>
          <w:color w:val="000000" w:themeColor="text1"/>
          <w:sz w:val="24"/>
          <w:szCs w:val="24"/>
          <w14:textFill>
            <w14:solidFill>
              <w14:schemeClr w14:val="tx1"/>
            </w14:solidFill>
          </w14:textFill>
        </w:rPr>
      </w:pPr>
    </w:p>
    <w:p>
      <w:pPr>
        <w:spacing w:line="520" w:lineRule="exact"/>
        <w:ind w:firstLine="480" w:firstLineChars="200"/>
        <w:rPr>
          <w:rFonts w:hAnsi="宋体"/>
          <w:color w:val="000000" w:themeColor="text1"/>
          <w:sz w:val="24"/>
          <w:szCs w:val="24"/>
          <w14:textFill>
            <w14:solidFill>
              <w14:schemeClr w14:val="tx1"/>
            </w14:solidFill>
          </w14:textFill>
        </w:rPr>
      </w:pPr>
    </w:p>
    <w:p>
      <w:pPr>
        <w:spacing w:line="520" w:lineRule="exact"/>
        <w:ind w:firstLine="480" w:firstLineChars="200"/>
        <w:rPr>
          <w:rFonts w:hAnsi="宋体"/>
          <w:color w:val="000000" w:themeColor="text1"/>
          <w:sz w:val="24"/>
          <w:szCs w:val="24"/>
          <w14:textFill>
            <w14:solidFill>
              <w14:schemeClr w14:val="tx1"/>
            </w14:solidFill>
          </w14:textFill>
        </w:rPr>
      </w:pPr>
    </w:p>
    <w:p>
      <w:pPr>
        <w:rPr>
          <w:rFonts w:ascii="黑体" w:hAnsi="黑体" w:eastAsia="黑体"/>
          <w:b/>
          <w:color w:val="000000" w:themeColor="text1"/>
          <w:sz w:val="44"/>
          <w:szCs w:val="44"/>
          <w14:textFill>
            <w14:solidFill>
              <w14:schemeClr w14:val="tx1"/>
            </w14:solidFill>
          </w14:textFill>
        </w:rPr>
      </w:pPr>
      <w:bookmarkStart w:id="797" w:name="_Toc267923664"/>
      <w:bookmarkStart w:id="798" w:name="_Toc11390"/>
      <w:bookmarkStart w:id="799" w:name="_Toc29787"/>
      <w:bookmarkStart w:id="800" w:name="_Toc325552441"/>
      <w:bookmarkStart w:id="801" w:name="_Toc22293188"/>
      <w:bookmarkStart w:id="802" w:name="_Toc112988347"/>
      <w:bookmarkStart w:id="803" w:name="_Toc61833246"/>
      <w:bookmarkStart w:id="804" w:name="_Toc9324"/>
      <w:bookmarkStart w:id="805" w:name="_Toc27622"/>
      <w:bookmarkStart w:id="806" w:name="_Toc113179422"/>
      <w:bookmarkStart w:id="807" w:name="_Toc22112209"/>
      <w:r>
        <w:rPr>
          <w:rFonts w:ascii="黑体" w:hAnsi="黑体" w:eastAsia="黑体"/>
          <w:b/>
          <w:color w:val="000000" w:themeColor="text1"/>
          <w:sz w:val="44"/>
          <w:szCs w:val="44"/>
          <w14:textFill>
            <w14:solidFill>
              <w14:schemeClr w14:val="tx1"/>
            </w14:solidFill>
          </w14:textFill>
        </w:rPr>
        <w:br w:type="page"/>
      </w:r>
    </w:p>
    <w:p>
      <w:pPr>
        <w:pStyle w:val="380"/>
        <w:adjustRightInd w:val="0"/>
        <w:snapToGrid w:val="0"/>
        <w:spacing w:after="360" w:afterLines="150"/>
        <w:ind w:firstLine="2650" w:firstLineChars="600"/>
        <w:jc w:val="left"/>
        <w:outlineLvl w:val="2"/>
        <w:rPr>
          <w:rFonts w:ascii="黑体" w:hAnsi="黑体" w:eastAsia="黑体"/>
          <w:b/>
          <w:color w:val="000000" w:themeColor="text1"/>
          <w:sz w:val="44"/>
          <w:szCs w:val="44"/>
          <w14:textFill>
            <w14:solidFill>
              <w14:schemeClr w14:val="tx1"/>
            </w14:solidFill>
          </w14:textFill>
        </w:rPr>
      </w:pPr>
      <w:bookmarkStart w:id="808" w:name="_Toc21346"/>
      <w:r>
        <w:rPr>
          <w:rFonts w:hint="default" w:ascii="黑体" w:hAnsi="黑体" w:eastAsia="黑体"/>
          <w:b/>
          <w:color w:val="000000" w:themeColor="text1"/>
          <w:sz w:val="44"/>
          <w:szCs w:val="44"/>
          <w:lang w:val="en-US"/>
          <w14:textFill>
            <w14:solidFill>
              <w14:schemeClr w14:val="tx1"/>
            </w14:solidFill>
          </w14:textFill>
        </w:rPr>
        <w:t>10</w:t>
      </w:r>
      <w:r>
        <w:rPr>
          <w:rFonts w:ascii="黑体" w:hAnsi="黑体" w:eastAsia="黑体"/>
          <w:b/>
          <w:color w:val="000000" w:themeColor="text1"/>
          <w:sz w:val="44"/>
          <w:szCs w:val="44"/>
          <w14:textFill>
            <w14:solidFill>
              <w14:schemeClr w14:val="tx1"/>
            </w14:solidFill>
          </w14:textFill>
        </w:rPr>
        <w:t>环境经济损益分析</w:t>
      </w:r>
      <w:bookmarkEnd w:id="797"/>
      <w:bookmarkEnd w:id="798"/>
      <w:bookmarkEnd w:id="799"/>
      <w:bookmarkEnd w:id="800"/>
      <w:bookmarkEnd w:id="801"/>
      <w:bookmarkEnd w:id="802"/>
      <w:bookmarkEnd w:id="803"/>
      <w:bookmarkEnd w:id="804"/>
      <w:bookmarkEnd w:id="805"/>
      <w:bookmarkEnd w:id="806"/>
      <w:bookmarkEnd w:id="807"/>
      <w:bookmarkEnd w:id="808"/>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09" w:name="_Toc8423"/>
      <w:bookmarkStart w:id="810" w:name="_Toc22293189"/>
      <w:bookmarkStart w:id="811" w:name="_Toc22112210"/>
      <w:bookmarkStart w:id="812" w:name="_Toc10528"/>
      <w:bookmarkStart w:id="813" w:name="_Toc32285"/>
      <w:bookmarkStart w:id="814" w:name="_Toc325552442"/>
      <w:bookmarkStart w:id="815" w:name="_Toc113179423"/>
      <w:bookmarkStart w:id="816" w:name="_Toc61833247"/>
      <w:bookmarkStart w:id="817" w:name="_Toc112988348"/>
      <w:bookmarkStart w:id="818" w:name="_Toc28982"/>
      <w:bookmarkStart w:id="819" w:name="_Toc267923665"/>
      <w:bookmarkStart w:id="820" w:name="_Toc2113"/>
      <w:r>
        <w:rPr>
          <w:rFonts w:hint="default" w:ascii="Times New Roman" w:hAnsi="Times New Roman" w:eastAsia="黑体"/>
          <w:b/>
          <w:color w:val="000000" w:themeColor="text1"/>
          <w:sz w:val="32"/>
          <w:szCs w:val="32"/>
          <w:lang w:val="en-US"/>
          <w14:textFill>
            <w14:solidFill>
              <w14:schemeClr w14:val="tx1"/>
            </w14:solidFill>
          </w14:textFill>
        </w:rPr>
        <w:t>10</w:t>
      </w:r>
      <w:r>
        <w:rPr>
          <w:rFonts w:ascii="Times New Roman" w:hAnsi="Times New Roman" w:eastAsia="黑体"/>
          <w:b/>
          <w:color w:val="000000" w:themeColor="text1"/>
          <w:sz w:val="32"/>
          <w:szCs w:val="32"/>
          <w14:textFill>
            <w14:solidFill>
              <w14:schemeClr w14:val="tx1"/>
            </w14:solidFill>
          </w14:textFill>
        </w:rPr>
        <w:t>.1</w:t>
      </w:r>
      <w:r>
        <w:rPr>
          <w:rFonts w:hint="eastAsia" w:ascii="黑体" w:hAnsi="黑体" w:eastAsia="黑体"/>
          <w:b/>
          <w:color w:val="000000" w:themeColor="text1"/>
          <w:sz w:val="32"/>
          <w:szCs w:val="32"/>
          <w14:textFill>
            <w14:solidFill>
              <w14:schemeClr w14:val="tx1"/>
            </w14:solidFill>
          </w14:textFill>
        </w:rPr>
        <w:t>环保费用估算</w:t>
      </w:r>
      <w:bookmarkEnd w:id="809"/>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环保费用包括环保设施投资费用和运行费用两部分。</w:t>
      </w:r>
    </w:p>
    <w:bookmarkEnd w:id="810"/>
    <w:bookmarkEnd w:id="811"/>
    <w:bookmarkEnd w:id="812"/>
    <w:bookmarkEnd w:id="813"/>
    <w:bookmarkEnd w:id="814"/>
    <w:bookmarkEnd w:id="815"/>
    <w:bookmarkEnd w:id="816"/>
    <w:bookmarkEnd w:id="817"/>
    <w:bookmarkEnd w:id="818"/>
    <w:bookmarkEnd w:id="819"/>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821" w:name="_Toc30736"/>
      <w:bookmarkStart w:id="822" w:name="_Toc10918"/>
      <w:r>
        <w:rPr>
          <w:rFonts w:hint="default" w:ascii="Times New Roman" w:hAnsi="Times New Roman" w:eastAsia="黑体"/>
          <w:b/>
          <w:color w:val="000000" w:themeColor="text1"/>
          <w:kern w:val="0"/>
          <w:sz w:val="28"/>
          <w:szCs w:val="28"/>
          <w:lang w:val="en-US"/>
          <w14:textFill>
            <w14:solidFill>
              <w14:schemeClr w14:val="tx1"/>
            </w14:solidFill>
          </w14:textFill>
        </w:rPr>
        <w:t>10</w:t>
      </w:r>
      <w:r>
        <w:rPr>
          <w:rFonts w:hint="eastAsia" w:ascii="Times New Roman" w:hAnsi="Times New Roman" w:eastAsia="黑体"/>
          <w:b/>
          <w:color w:val="000000" w:themeColor="text1"/>
          <w:kern w:val="0"/>
          <w:sz w:val="28"/>
          <w:szCs w:val="28"/>
          <w14:textFill>
            <w14:solidFill>
              <w14:schemeClr w14:val="tx1"/>
            </w14:solidFill>
          </w14:textFill>
        </w:rPr>
        <w:t>.1.1环保投资估算</w:t>
      </w:r>
      <w:bookmarkEnd w:id="820"/>
      <w:bookmarkEnd w:id="821"/>
      <w:bookmarkEnd w:id="822"/>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根据国家规定，建设项目必须实行</w:t>
      </w:r>
      <w:r>
        <w:rPr>
          <w:rFonts w:hint="eastAsia"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三同时</w:t>
      </w:r>
      <w:r>
        <w:rPr>
          <w:rFonts w:hint="eastAsia"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原则，即建设项目与环境保护设施必须同时设计、同时施工、同时运行。因此，公司在执行相关安全措施的同时，还必须执行国家环保政策，在建设项目实施时，配套</w:t>
      </w:r>
      <w:r>
        <w:rPr>
          <w:rFonts w:hint="eastAsia"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三废</w:t>
      </w:r>
      <w:r>
        <w:rPr>
          <w:rFonts w:hint="eastAsia"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污染物的处理、处置设施，实现废水、废气和噪声的达标排放。</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该项目环保工程措施主要有：废水和废气收集处理设施，噪声防治措施，固废收集处置与清运等，以及环境监测和风险防范措施，具体各污染防治措施与投资概算如表</w:t>
      </w:r>
      <w:r>
        <w:rPr>
          <w:rFonts w:hint="default" w:ascii="Times New Roman" w:hAnsi="Times New Roman" w:eastAsiaTheme="minorEastAsia"/>
          <w:color w:val="000000" w:themeColor="text1"/>
          <w:sz w:val="24"/>
          <w:lang w:val="en-US"/>
          <w14:textFill>
            <w14:solidFill>
              <w14:schemeClr w14:val="tx1"/>
            </w14:solidFill>
          </w14:textFill>
        </w:rPr>
        <w:t>10</w:t>
      </w:r>
      <w:r>
        <w:rPr>
          <w:rFonts w:hint="eastAsia" w:ascii="Times New Roman" w:hAnsi="Times New Roman" w:eastAsiaTheme="minorEastAsia"/>
          <w:color w:val="000000" w:themeColor="text1"/>
          <w:sz w:val="24"/>
          <w14:textFill>
            <w14:solidFill>
              <w14:schemeClr w14:val="tx1"/>
            </w14:solidFill>
          </w14:textFill>
        </w:rPr>
        <w:t>.1</w:t>
      </w:r>
      <w:r>
        <w:rPr>
          <w:rFonts w:ascii="Times New Roman" w:hAnsi="Times New Roman"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w:t>
      </w:r>
    </w:p>
    <w:p>
      <w:pPr>
        <w:adjustRightInd w:val="0"/>
        <w:snapToGrid w:val="0"/>
        <w:spacing w:before="120" w:beforeLines="50"/>
        <w:jc w:val="center"/>
        <w:rPr>
          <w:rFonts w:ascii="Times New Roman" w:hAnsiTheme="minorEastAsia" w:eastAsiaTheme="minorEastAsia"/>
          <w:b/>
          <w:color w:val="000000" w:themeColor="text1"/>
          <w:sz w:val="24"/>
          <w:szCs w:val="24"/>
          <w14:textFill>
            <w14:solidFill>
              <w14:schemeClr w14:val="tx1"/>
            </w14:solidFill>
          </w14:textFill>
        </w:rPr>
      </w:pPr>
      <w:r>
        <w:rPr>
          <w:rFonts w:ascii="Times New Roman" w:hAnsiTheme="minorEastAsia" w:eastAsiaTheme="minorEastAsia"/>
          <w:b/>
          <w:color w:val="000000" w:themeColor="text1"/>
          <w:sz w:val="24"/>
          <w:szCs w:val="24"/>
          <w14:textFill>
            <w14:solidFill>
              <w14:schemeClr w14:val="tx1"/>
            </w14:solidFill>
          </w14:textFill>
        </w:rPr>
        <w:t>表</w:t>
      </w:r>
      <w:r>
        <w:rPr>
          <w:rFonts w:hint="default" w:ascii="Times New Roman" w:hAnsi="Times New Roman" w:eastAsiaTheme="minorEastAsia"/>
          <w:b/>
          <w:color w:val="000000" w:themeColor="text1"/>
          <w:sz w:val="24"/>
          <w:szCs w:val="24"/>
          <w:lang w:val="en-US"/>
          <w14:textFill>
            <w14:solidFill>
              <w14:schemeClr w14:val="tx1"/>
            </w14:solidFill>
          </w14:textFill>
        </w:rPr>
        <w:t>10</w:t>
      </w:r>
      <w:r>
        <w:rPr>
          <w:rFonts w:hint="eastAsia" w:ascii="Times New Roman" w:hAnsi="Times New Roman" w:eastAsiaTheme="minorEastAsia"/>
          <w:b/>
          <w:color w:val="000000" w:themeColor="text1"/>
          <w:sz w:val="24"/>
          <w:szCs w:val="24"/>
          <w14:textFill>
            <w14:solidFill>
              <w14:schemeClr w14:val="tx1"/>
            </w14:solidFill>
          </w14:textFill>
        </w:rPr>
        <w:t>.1-1</w:t>
      </w:r>
      <w:r>
        <w:rPr>
          <w:rFonts w:ascii="Times New Roman" w:hAnsi="Times New Roman" w:eastAsiaTheme="minorEastAsia"/>
          <w:b/>
          <w:color w:val="000000" w:themeColor="text1"/>
          <w:sz w:val="24"/>
          <w:szCs w:val="24"/>
          <w14:textFill>
            <w14:solidFill>
              <w14:schemeClr w14:val="tx1"/>
            </w14:solidFill>
          </w14:textFill>
        </w:rPr>
        <w:t xml:space="preserve">  </w:t>
      </w:r>
      <w:r>
        <w:rPr>
          <w:rFonts w:ascii="Times New Roman" w:hAnsiTheme="minorEastAsia" w:eastAsiaTheme="minorEastAsia"/>
          <w:b/>
          <w:color w:val="000000" w:themeColor="text1"/>
          <w:sz w:val="24"/>
          <w:szCs w:val="24"/>
          <w14:textFill>
            <w14:solidFill>
              <w14:schemeClr w14:val="tx1"/>
            </w14:solidFill>
          </w14:textFill>
        </w:rPr>
        <w:t>环保工程措施投资及运行费用</w:t>
      </w:r>
    </w:p>
    <w:tbl>
      <w:tblPr>
        <w:tblStyle w:val="87"/>
        <w:tblW w:w="89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196"/>
        <w:gridCol w:w="6587"/>
        <w:gridCol w:w="11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60" w:hRule="atLeast"/>
          <w:jc w:val="center"/>
        </w:trPr>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项目</w:t>
            </w: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环境保护措施</w:t>
            </w:r>
          </w:p>
        </w:tc>
        <w:tc>
          <w:tcPr>
            <w:tcW w:w="1196"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环保投资</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586" w:hRule="atLeast"/>
          <w:jc w:val="center"/>
        </w:trPr>
        <w:tc>
          <w:tcPr>
            <w:tcW w:w="119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废气</w:t>
            </w: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储罐呼吸废气</w:t>
            </w:r>
            <w:r>
              <w:rPr>
                <w:rFonts w:ascii="Times New Roman" w:hAnsi="宋体"/>
                <w:color w:val="000000" w:themeColor="text1"/>
                <w:kern w:val="0"/>
                <w:sz w:val="18"/>
                <w:szCs w:val="18"/>
                <w14:textFill>
                  <w14:solidFill>
                    <w14:schemeClr w14:val="tx1"/>
                  </w14:solidFill>
                </w14:textFill>
              </w:rPr>
              <w:t>采用</w:t>
            </w:r>
            <w:r>
              <w:rPr>
                <w:rFonts w:hint="eastAsia" w:ascii="Times New Roman" w:hAnsi="宋体"/>
                <w:color w:val="000000" w:themeColor="text1"/>
                <w:kern w:val="0"/>
                <w:sz w:val="18"/>
                <w:szCs w:val="18"/>
                <w14:textFill>
                  <w14:solidFill>
                    <w14:schemeClr w14:val="tx1"/>
                  </w14:solidFill>
                </w14:textFill>
              </w:rPr>
              <w:t>密闭负压管道</w:t>
            </w:r>
            <w:r>
              <w:rPr>
                <w:rFonts w:ascii="Times New Roman" w:hAnsi="宋体"/>
                <w:color w:val="000000" w:themeColor="text1"/>
                <w:kern w:val="0"/>
                <w:sz w:val="18"/>
                <w:szCs w:val="18"/>
                <w14:textFill>
                  <w14:solidFill>
                    <w14:schemeClr w14:val="tx1"/>
                  </w14:solidFill>
                </w14:textFill>
              </w:rPr>
              <w:t>收集，经</w:t>
            </w:r>
            <w:r>
              <w:rPr>
                <w:rFonts w:hint="eastAsia" w:ascii="Times New Roman" w:hAnsi="宋体"/>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套</w:t>
            </w:r>
            <w:r>
              <w:rPr>
                <w:rFonts w:hint="eastAsia" w:ascii="Times New Roman" w:hAnsi="宋体"/>
                <w:color w:val="000000" w:themeColor="text1"/>
                <w:kern w:val="0"/>
                <w:sz w:val="18"/>
                <w:szCs w:val="18"/>
                <w14:textFill>
                  <w14:solidFill>
                    <w14:schemeClr w14:val="tx1"/>
                  </w14:solidFill>
                </w14:textFill>
              </w:rPr>
              <w:t>酸性尾气吸收系统（2级水洗+1级碱洗）</w:t>
            </w:r>
            <w:r>
              <w:rPr>
                <w:rFonts w:ascii="Times New Roman" w:hAnsi="宋体"/>
                <w:color w:val="000000" w:themeColor="text1"/>
                <w:kern w:val="0"/>
                <w:sz w:val="18"/>
                <w:szCs w:val="18"/>
                <w14:textFill>
                  <w14:solidFill>
                    <w14:schemeClr w14:val="tx1"/>
                  </w14:solidFill>
                </w14:textFill>
              </w:rPr>
              <w:t>处理后由</w:t>
            </w:r>
            <w:r>
              <w:rPr>
                <w:rFonts w:ascii="Times New Roman" w:hAnsi="Times New Roman"/>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根</w:t>
            </w:r>
            <w:r>
              <w:rPr>
                <w:rFonts w:hint="eastAsia" w:ascii="Times New Roman" w:hAnsi="Times New Roman"/>
                <w:color w:val="000000" w:themeColor="text1"/>
                <w:kern w:val="0"/>
                <w:sz w:val="18"/>
                <w:szCs w:val="18"/>
                <w14:textFill>
                  <w14:solidFill>
                    <w14:schemeClr w14:val="tx1"/>
                  </w14:solidFill>
                </w14:textFill>
              </w:rPr>
              <w:t>15</w:t>
            </w:r>
            <w:r>
              <w:rPr>
                <w:rFonts w:ascii="Times New Roman" w:hAnsi="Times New Roman"/>
                <w:color w:val="000000" w:themeColor="text1"/>
                <w:kern w:val="0"/>
                <w:sz w:val="18"/>
                <w:szCs w:val="18"/>
                <w14:textFill>
                  <w14:solidFill>
                    <w14:schemeClr w14:val="tx1"/>
                  </w14:solidFill>
                </w14:textFill>
              </w:rPr>
              <w:t>m</w:t>
            </w:r>
            <w:r>
              <w:rPr>
                <w:rFonts w:ascii="Times New Roman" w:hAnsi="宋体"/>
                <w:color w:val="000000" w:themeColor="text1"/>
                <w:kern w:val="0"/>
                <w:sz w:val="18"/>
                <w:szCs w:val="18"/>
                <w14:textFill>
                  <w14:solidFill>
                    <w14:schemeClr w14:val="tx1"/>
                  </w14:solidFill>
                </w14:textFill>
              </w:rPr>
              <w:t>高排气筒排放</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01"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投料粉尘采用负压管道收集，经1套中性尾气吸收系统（2级水洗+1级碱洗）</w:t>
            </w:r>
            <w:r>
              <w:rPr>
                <w:rFonts w:ascii="Times New Roman" w:hAnsi="宋体"/>
                <w:color w:val="000000" w:themeColor="text1"/>
                <w:kern w:val="0"/>
                <w:sz w:val="18"/>
                <w:szCs w:val="18"/>
                <w14:textFill>
                  <w14:solidFill>
                    <w14:schemeClr w14:val="tx1"/>
                  </w14:solidFill>
                </w14:textFill>
              </w:rPr>
              <w:t>处理后由</w:t>
            </w:r>
            <w:r>
              <w:rPr>
                <w:rFonts w:ascii="Times New Roman" w:hAnsi="Times New Roman"/>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根</w:t>
            </w:r>
            <w:r>
              <w:rPr>
                <w:rFonts w:hint="eastAsia" w:ascii="Times New Roman" w:hAnsi="Times New Roman"/>
                <w:color w:val="000000" w:themeColor="text1"/>
                <w:kern w:val="0"/>
                <w:sz w:val="18"/>
                <w:szCs w:val="18"/>
                <w14:textFill>
                  <w14:solidFill>
                    <w14:schemeClr w14:val="tx1"/>
                  </w14:solidFill>
                </w14:textFill>
              </w:rPr>
              <w:t>15</w:t>
            </w:r>
            <w:r>
              <w:rPr>
                <w:rFonts w:ascii="Times New Roman" w:hAnsi="Times New Roman"/>
                <w:color w:val="000000" w:themeColor="text1"/>
                <w:kern w:val="0"/>
                <w:sz w:val="18"/>
                <w:szCs w:val="18"/>
                <w14:textFill>
                  <w14:solidFill>
                    <w14:schemeClr w14:val="tx1"/>
                  </w14:solidFill>
                </w14:textFill>
              </w:rPr>
              <w:t>m</w:t>
            </w:r>
            <w:r>
              <w:rPr>
                <w:rFonts w:ascii="Times New Roman" w:hAnsi="宋体"/>
                <w:color w:val="000000" w:themeColor="text1"/>
                <w:kern w:val="0"/>
                <w:sz w:val="18"/>
                <w:szCs w:val="18"/>
                <w14:textFill>
                  <w14:solidFill>
                    <w14:schemeClr w14:val="tx1"/>
                  </w14:solidFill>
                </w14:textFill>
              </w:rPr>
              <w:t>高排气筒排放</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73"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烘干废气经1套布袋除尘器处理后由1根15m高排气筒排放</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503" w:hRule="atLeast"/>
          <w:jc w:val="center"/>
        </w:trPr>
        <w:tc>
          <w:tcPr>
            <w:tcW w:w="119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废水</w:t>
            </w: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生活污水经化粪池（处理能力5m</w:t>
            </w:r>
            <w:r>
              <w:rPr>
                <w:rFonts w:hint="eastAsia"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/d）处理后排入市政污水管网</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73"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尾气洗涤废液定期泵送至中和槽回用于生产，不外排</w:t>
            </w:r>
          </w:p>
        </w:tc>
        <w:tc>
          <w:tcPr>
            <w:tcW w:w="1196"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19"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vAlign w:val="center"/>
          </w:tcPr>
          <w:p>
            <w:pPr>
              <w:widowControl/>
              <w:ind w:firstLine="360" w:firstLineChars="200"/>
              <w:jc w:val="left"/>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离心洗涤废水</w:t>
            </w:r>
            <w:r>
              <w:rPr>
                <w:rFonts w:ascii="Times New Roman" w:hAnsi="Times New Roman"/>
                <w:color w:val="000000" w:themeColor="text1"/>
                <w:sz w:val="18"/>
                <w:szCs w:val="18"/>
                <w14:textFill>
                  <w14:solidFill>
                    <w14:schemeClr w14:val="tx1"/>
                  </w14:solidFill>
                </w14:textFill>
              </w:rPr>
              <w:t>经母液槽最终进入中和槽回用于生产，不外排</w:t>
            </w:r>
          </w:p>
        </w:tc>
        <w:tc>
          <w:tcPr>
            <w:tcW w:w="1196"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51"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蒸汽冷凝液</w:t>
            </w:r>
            <w:r>
              <w:rPr>
                <w:rFonts w:ascii="Times New Roman" w:hAnsi="Times New Roman"/>
                <w:color w:val="000000" w:themeColor="text1"/>
                <w:kern w:val="0"/>
                <w:sz w:val="18"/>
                <w:szCs w:val="18"/>
                <w14:textFill>
                  <w14:solidFill>
                    <w14:schemeClr w14:val="tx1"/>
                  </w14:solidFill>
                </w14:textFill>
              </w:rPr>
              <w:t>部分回用于厂区绿化洒水，多余部分作为清净下水经雨水管网排放</w:t>
            </w:r>
          </w:p>
        </w:tc>
        <w:tc>
          <w:tcPr>
            <w:tcW w:w="1196"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57"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污蒸汽冷凝液</w:t>
            </w:r>
            <w:r>
              <w:rPr>
                <w:rFonts w:ascii="Times New Roman" w:hAnsi="Times New Roman"/>
                <w:color w:val="000000" w:themeColor="text1"/>
                <w:kern w:val="0"/>
                <w:sz w:val="18"/>
                <w:szCs w:val="18"/>
                <w14:textFill>
                  <w14:solidFill>
                    <w14:schemeClr w14:val="tx1"/>
                  </w14:solidFill>
                </w14:textFill>
              </w:rPr>
              <w:t>部分回用于溶盐槽溶盐、离心洗涤、尾气吸收、循环冷却补水，多余部分作为清净下水经雨水管网排放</w:t>
            </w:r>
          </w:p>
        </w:tc>
        <w:tc>
          <w:tcPr>
            <w:tcW w:w="1196"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01"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循环冷却排水作为清净下水排放</w:t>
            </w:r>
          </w:p>
        </w:tc>
        <w:tc>
          <w:tcPr>
            <w:tcW w:w="1196" w:type="dxa"/>
            <w:shd w:val="clear" w:color="auto" w:fill="auto"/>
            <w:vAlign w:val="center"/>
          </w:tcPr>
          <w:p>
            <w:pPr>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389" w:hRule="atLeast"/>
          <w:jc w:val="center"/>
        </w:trPr>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噪声</w:t>
            </w: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选用低噪声设备；经厂房隔声、减震、消声处理；合理布置声源位置</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20" w:hRule="atLeast"/>
          <w:jc w:val="center"/>
        </w:trPr>
        <w:tc>
          <w:tcPr>
            <w:tcW w:w="119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固废</w:t>
            </w:r>
          </w:p>
        </w:tc>
        <w:tc>
          <w:tcPr>
            <w:tcW w:w="6587"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生活垃圾通过</w:t>
            </w:r>
            <w:r>
              <w:rPr>
                <w:rFonts w:ascii="Times New Roman" w:hAnsi="Times New Roman"/>
                <w:color w:val="000000" w:themeColor="text1"/>
                <w:sz w:val="18"/>
                <w:szCs w:val="18"/>
                <w14:textFill>
                  <w14:solidFill>
                    <w14:schemeClr w14:val="tx1"/>
                  </w14:solidFill>
                </w14:textFill>
              </w:rPr>
              <w:t>厂区设置垃圾收集箱，收集后环卫部门定期清理</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05"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废包装材料集中收集后交由物资部门回收处理</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05"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布袋除尘器收集粉尘集中收集后作为产品外售</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605"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shd w:val="clear" w:color="auto" w:fill="auto"/>
            <w:vAlign w:val="center"/>
          </w:tcPr>
          <w:p>
            <w:pPr>
              <w:snapToGrid w:val="0"/>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压滤废渣外售砖厂综合利用</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86"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设置1间5m</w:t>
            </w:r>
            <w:r>
              <w:rPr>
                <w:rFonts w:hint="eastAsia" w:ascii="Times New Roman" w:hAnsi="宋体"/>
                <w:color w:val="000000" w:themeColor="text1"/>
                <w:kern w:val="0"/>
                <w:sz w:val="18"/>
                <w:szCs w:val="18"/>
                <w:vertAlign w:val="superscript"/>
                <w14:textFill>
                  <w14:solidFill>
                    <w14:schemeClr w14:val="tx1"/>
                  </w14:solidFill>
                </w14:textFill>
              </w:rPr>
              <w:t>2</w:t>
            </w:r>
            <w:r>
              <w:rPr>
                <w:rFonts w:ascii="Times New Roman" w:hAnsi="宋体"/>
                <w:color w:val="000000" w:themeColor="text1"/>
                <w:kern w:val="0"/>
                <w:sz w:val="18"/>
                <w:szCs w:val="18"/>
                <w14:textFill>
                  <w14:solidFill>
                    <w14:schemeClr w14:val="tx1"/>
                  </w14:solidFill>
                </w14:textFill>
              </w:rPr>
              <w:t>危废</w:t>
            </w:r>
            <w:r>
              <w:rPr>
                <w:rFonts w:hint="eastAsia" w:ascii="Times New Roman" w:hAnsi="宋体"/>
                <w:color w:val="000000" w:themeColor="text1"/>
                <w:kern w:val="0"/>
                <w:sz w:val="18"/>
                <w:szCs w:val="18"/>
                <w14:textFill>
                  <w14:solidFill>
                    <w14:schemeClr w14:val="tx1"/>
                  </w14:solidFill>
                </w14:textFill>
              </w:rPr>
              <w:t>暂存间</w:t>
            </w:r>
            <w:r>
              <w:rPr>
                <w:rFonts w:ascii="Times New Roman" w:hAnsi="宋体"/>
                <w:color w:val="000000" w:themeColor="text1"/>
                <w:kern w:val="0"/>
                <w:sz w:val="18"/>
                <w:szCs w:val="18"/>
                <w14:textFill>
                  <w14:solidFill>
                    <w14:schemeClr w14:val="tx1"/>
                  </w14:solidFill>
                </w14:textFill>
              </w:rPr>
              <w:t>，地面做防腐防渗处理，设警示标牌、</w:t>
            </w:r>
            <w:r>
              <w:rPr>
                <w:rFonts w:hint="eastAsia" w:ascii="Times New Roman" w:hAnsi="宋体"/>
                <w:color w:val="000000" w:themeColor="text1"/>
                <w:kern w:val="0"/>
                <w:sz w:val="18"/>
                <w:szCs w:val="18"/>
                <w14:textFill>
                  <w14:solidFill>
                    <w14:schemeClr w14:val="tx1"/>
                  </w14:solidFill>
                </w14:textFill>
              </w:rPr>
              <w:t>设备维修过程中产生的废机油利用专用容积收集后暂存于危废暂存间，</w:t>
            </w:r>
            <w:r>
              <w:rPr>
                <w:rFonts w:ascii="Times New Roman" w:hAnsi="宋体"/>
                <w:color w:val="000000" w:themeColor="text1"/>
                <w:kern w:val="0"/>
                <w:sz w:val="18"/>
                <w:szCs w:val="18"/>
                <w14:textFill>
                  <w14:solidFill>
                    <w14:schemeClr w14:val="tx1"/>
                  </w14:solidFill>
                </w14:textFill>
              </w:rPr>
              <w:t>定期交由有资质单位</w:t>
            </w:r>
            <w:r>
              <w:rPr>
                <w:rFonts w:hint="eastAsia" w:ascii="Times New Roman" w:hAnsi="宋体"/>
                <w:color w:val="000000" w:themeColor="text1"/>
                <w:kern w:val="0"/>
                <w:sz w:val="18"/>
                <w:szCs w:val="18"/>
                <w14:textFill>
                  <w14:solidFill>
                    <w14:schemeClr w14:val="tx1"/>
                  </w14:solidFill>
                </w14:textFill>
              </w:rPr>
              <w:t>处置</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1919" w:hRule="atLeast"/>
          <w:jc w:val="center"/>
        </w:trPr>
        <w:tc>
          <w:tcPr>
            <w:tcW w:w="1196" w:type="dxa"/>
            <w:vMerge w:val="restart"/>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地下水</w:t>
            </w: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厂区进行分区防渗：</w:t>
            </w:r>
            <w:r>
              <w:rPr>
                <w:rFonts w:ascii="Times New Roman" w:hAnsi="宋体"/>
                <w:color w:val="000000" w:themeColor="text1"/>
                <w:kern w:val="0"/>
                <w:sz w:val="18"/>
                <w:szCs w:val="18"/>
                <w14:textFill>
                  <w14:solidFill>
                    <w14:schemeClr w14:val="tx1"/>
                  </w14:solidFill>
                </w14:textFill>
              </w:rPr>
              <w:fldChar w:fldCharType="begin"/>
            </w:r>
            <w:r>
              <w:rPr>
                <w:rFonts w:ascii="Times New Roman" w:hAnsi="宋体"/>
                <w:color w:val="000000" w:themeColor="text1"/>
                <w:kern w:val="0"/>
                <w:sz w:val="18"/>
                <w:szCs w:val="18"/>
                <w14:textFill>
                  <w14:solidFill>
                    <w14:schemeClr w14:val="tx1"/>
                  </w14:solidFill>
                </w14:textFill>
              </w:rPr>
              <w:instrText xml:space="preserve"> </w:instrText>
            </w:r>
            <w:r>
              <w:rPr>
                <w:rFonts w:hint="eastAsia" w:ascii="Times New Roman" w:hAnsi="宋体"/>
                <w:color w:val="000000" w:themeColor="text1"/>
                <w:kern w:val="0"/>
                <w:sz w:val="18"/>
                <w:szCs w:val="18"/>
                <w14:textFill>
                  <w14:solidFill>
                    <w14:schemeClr w14:val="tx1"/>
                  </w14:solidFill>
                </w14:textFill>
              </w:rPr>
              <w:instrText xml:space="preserve">= 1 \* GB3</w:instrText>
            </w:r>
            <w:r>
              <w:rPr>
                <w:rFonts w:ascii="Times New Roman" w:hAnsi="宋体"/>
                <w:color w:val="000000" w:themeColor="text1"/>
                <w:kern w:val="0"/>
                <w:sz w:val="18"/>
                <w:szCs w:val="18"/>
                <w14:textFill>
                  <w14:solidFill>
                    <w14:schemeClr w14:val="tx1"/>
                  </w14:solidFill>
                </w14:textFill>
              </w:rPr>
              <w:instrText xml:space="preserve"> </w:instrText>
            </w:r>
            <w:r>
              <w:rPr>
                <w:rFonts w:ascii="Times New Roman" w:hAnsi="宋体"/>
                <w:color w:val="000000" w:themeColor="text1"/>
                <w:kern w:val="0"/>
                <w:sz w:val="18"/>
                <w:szCs w:val="18"/>
                <w14:textFill>
                  <w14:solidFill>
                    <w14:schemeClr w14:val="tx1"/>
                  </w14:solidFill>
                </w14:textFill>
              </w:rPr>
              <w:fldChar w:fldCharType="separate"/>
            </w:r>
            <w:r>
              <w:rPr>
                <w:rFonts w:hint="eastAsia" w:ascii="Times New Roman" w:hAnsi="宋体"/>
                <w:color w:val="000000" w:themeColor="text1"/>
                <w:kern w:val="0"/>
                <w:sz w:val="18"/>
                <w:szCs w:val="18"/>
                <w14:textFill>
                  <w14:solidFill>
                    <w14:schemeClr w14:val="tx1"/>
                  </w14:solidFill>
                </w14:textFill>
              </w:rPr>
              <w:t>①</w:t>
            </w:r>
            <w:r>
              <w:rPr>
                <w:rFonts w:ascii="Times New Roman" w:hAnsi="宋体"/>
                <w:color w:val="000000" w:themeColor="text1"/>
                <w:kern w:val="0"/>
                <w:sz w:val="18"/>
                <w:szCs w:val="18"/>
                <w14:textFill>
                  <w14:solidFill>
                    <w14:schemeClr w14:val="tx1"/>
                  </w14:solidFill>
                </w14:textFill>
              </w:rPr>
              <w:fldChar w:fldCharType="end"/>
            </w:r>
            <w:r>
              <w:rPr>
                <w:rFonts w:ascii="Times New Roman" w:hAnsi="宋体"/>
                <w:color w:val="000000" w:themeColor="text1"/>
                <w:kern w:val="0"/>
                <w:sz w:val="18"/>
                <w:szCs w:val="18"/>
                <w14:textFill>
                  <w14:solidFill>
                    <w14:schemeClr w14:val="tx1"/>
                  </w14:solidFill>
                </w14:textFill>
              </w:rPr>
              <w:t>重点防渗区域：生产车间、罐区、导流沟、事故应急池、危险废物暂存间防渗层为至少</w:t>
            </w:r>
            <w:r>
              <w:rPr>
                <w:rFonts w:ascii="Times New Roman" w:hAnsi="Times New Roman"/>
                <w:color w:val="000000" w:themeColor="text1"/>
                <w:kern w:val="0"/>
                <w:sz w:val="18"/>
                <w:szCs w:val="18"/>
                <w14:textFill>
                  <w14:solidFill>
                    <w14:schemeClr w14:val="tx1"/>
                  </w14:solidFill>
                </w14:textFill>
              </w:rPr>
              <w:t>1m</w:t>
            </w:r>
            <w:r>
              <w:rPr>
                <w:rFonts w:ascii="Times New Roman" w:hAnsi="宋体"/>
                <w:color w:val="000000" w:themeColor="text1"/>
                <w:kern w:val="0"/>
                <w:sz w:val="18"/>
                <w:szCs w:val="18"/>
                <w14:textFill>
                  <w14:solidFill>
                    <w14:schemeClr w14:val="tx1"/>
                  </w14:solidFill>
                </w14:textFill>
              </w:rPr>
              <w:t>厚黏土层（渗透系数</w:t>
            </w:r>
            <w:r>
              <w:rPr>
                <w:rFonts w:ascii="Times New Roman" w:hAnsi="Times New Roman"/>
                <w:color w:val="000000" w:themeColor="text1"/>
                <w:kern w:val="0"/>
                <w:sz w:val="18"/>
                <w:szCs w:val="18"/>
                <w14:textFill>
                  <w14:solidFill>
                    <w14:schemeClr w14:val="tx1"/>
                  </w14:solidFill>
                </w14:textFill>
              </w:rPr>
              <w:t>≤10</w:t>
            </w:r>
            <w:r>
              <w:rPr>
                <w:rFonts w:ascii="Times New Roman" w:hAnsi="Times New Roman"/>
                <w:color w:val="000000" w:themeColor="text1"/>
                <w:kern w:val="0"/>
                <w:sz w:val="18"/>
                <w:szCs w:val="18"/>
                <w:vertAlign w:val="superscript"/>
                <w14:textFill>
                  <w14:solidFill>
                    <w14:schemeClr w14:val="tx1"/>
                  </w14:solidFill>
                </w14:textFill>
              </w:rPr>
              <w:t>-7</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w:t>
            </w:r>
            <w:r>
              <w:rPr>
                <w:rFonts w:ascii="Times New Roman" w:hAnsi="Times New Roman"/>
                <w:color w:val="000000" w:themeColor="text1"/>
                <w:kern w:val="0"/>
                <w:sz w:val="18"/>
                <w:szCs w:val="18"/>
                <w14:textFill>
                  <w14:solidFill>
                    <w14:schemeClr w14:val="tx1"/>
                  </w14:solidFill>
                </w14:textFill>
              </w:rPr>
              <w:t>2cm</w:t>
            </w:r>
            <w:r>
              <w:rPr>
                <w:rFonts w:ascii="Times New Roman" w:hAnsi="宋体"/>
                <w:color w:val="000000" w:themeColor="text1"/>
                <w:kern w:val="0"/>
                <w:sz w:val="18"/>
                <w:szCs w:val="18"/>
                <w14:textFill>
                  <w14:solidFill>
                    <w14:schemeClr w14:val="tx1"/>
                  </w14:solidFill>
                </w14:textFill>
              </w:rPr>
              <w:t>厚高密度聚乙烯，其渗透系数应小于</w:t>
            </w:r>
            <w:r>
              <w:rPr>
                <w:rFonts w:ascii="Times New Roman" w:hAnsi="Times New Roman"/>
                <w:color w:val="000000" w:themeColor="text1"/>
                <w:kern w:val="0"/>
                <w:sz w:val="18"/>
                <w:szCs w:val="18"/>
                <w14:textFill>
                  <w14:solidFill>
                    <w14:schemeClr w14:val="tx1"/>
                  </w14:solidFill>
                </w14:textFill>
              </w:rPr>
              <w:t xml:space="preserve"> 10</w:t>
            </w:r>
            <w:r>
              <w:rPr>
                <w:rFonts w:ascii="Times New Roman" w:hAnsi="Times New Roman"/>
                <w:color w:val="000000" w:themeColor="text1"/>
                <w:kern w:val="0"/>
                <w:sz w:val="18"/>
                <w:szCs w:val="18"/>
                <w:vertAlign w:val="superscript"/>
                <w14:textFill>
                  <w14:solidFill>
                    <w14:schemeClr w14:val="tx1"/>
                  </w14:solidFill>
                </w14:textFill>
              </w:rPr>
              <w:t>-10</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。或至少</w:t>
            </w:r>
            <w:r>
              <w:rPr>
                <w:rFonts w:ascii="Times New Roman" w:hAnsi="Times New Roman"/>
                <w:color w:val="000000" w:themeColor="text1"/>
                <w:kern w:val="0"/>
                <w:sz w:val="18"/>
                <w:szCs w:val="18"/>
                <w14:textFill>
                  <w14:solidFill>
                    <w14:schemeClr w14:val="tx1"/>
                  </w14:solidFill>
                </w14:textFill>
              </w:rPr>
              <w:t>2mm</w:t>
            </w:r>
            <w:r>
              <w:rPr>
                <w:rFonts w:ascii="Times New Roman" w:hAnsi="宋体"/>
                <w:color w:val="000000" w:themeColor="text1"/>
                <w:kern w:val="0"/>
                <w:sz w:val="18"/>
                <w:szCs w:val="18"/>
                <w14:textFill>
                  <w14:solidFill>
                    <w14:schemeClr w14:val="tx1"/>
                  </w14:solidFill>
                </w14:textFill>
              </w:rPr>
              <w:t>厚的其他人工材料，渗透系数应小于</w:t>
            </w:r>
            <w:r>
              <w:rPr>
                <w:rFonts w:ascii="Times New Roman" w:hAnsi="Times New Roman"/>
                <w:color w:val="000000" w:themeColor="text1"/>
                <w:kern w:val="0"/>
                <w:sz w:val="18"/>
                <w:szCs w:val="18"/>
                <w14:textFill>
                  <w14:solidFill>
                    <w14:schemeClr w14:val="tx1"/>
                  </w14:solidFill>
                </w14:textFill>
              </w:rPr>
              <w:t>10</w:t>
            </w:r>
            <w:r>
              <w:rPr>
                <w:rFonts w:ascii="Times New Roman" w:hAnsi="Times New Roman"/>
                <w:color w:val="000000" w:themeColor="text1"/>
                <w:kern w:val="0"/>
                <w:sz w:val="18"/>
                <w:szCs w:val="18"/>
                <w:vertAlign w:val="superscript"/>
                <w14:textFill>
                  <w14:solidFill>
                    <w14:schemeClr w14:val="tx1"/>
                  </w14:solidFill>
                </w14:textFill>
              </w:rPr>
              <w:t>-10</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fldChar w:fldCharType="begin"/>
            </w:r>
            <w:r>
              <w:rPr>
                <w:rFonts w:ascii="Times New Roman" w:hAnsi="Times New Roman"/>
                <w:color w:val="000000" w:themeColor="text1"/>
                <w:kern w:val="0"/>
                <w:sz w:val="18"/>
                <w:szCs w:val="18"/>
                <w14:textFill>
                  <w14:solidFill>
                    <w14:schemeClr w14:val="tx1"/>
                  </w14:solidFill>
                </w14:textFill>
              </w:rPr>
              <w:instrText xml:space="preserve"> </w:instrText>
            </w:r>
            <w:r>
              <w:rPr>
                <w:rFonts w:hint="eastAsia" w:ascii="Times New Roman" w:hAnsi="Times New Roman"/>
                <w:color w:val="000000" w:themeColor="text1"/>
                <w:kern w:val="0"/>
                <w:sz w:val="18"/>
                <w:szCs w:val="18"/>
                <w14:textFill>
                  <w14:solidFill>
                    <w14:schemeClr w14:val="tx1"/>
                  </w14:solidFill>
                </w14:textFill>
              </w:rPr>
              <w:instrText xml:space="preserve">= 2 \* GB3</w:instrText>
            </w:r>
            <w:r>
              <w:rPr>
                <w:rFonts w:ascii="Times New Roman" w:hAnsi="Times New Roman"/>
                <w:color w:val="000000" w:themeColor="text1"/>
                <w:kern w:val="0"/>
                <w:sz w:val="18"/>
                <w:szCs w:val="18"/>
                <w14:textFill>
                  <w14:solidFill>
                    <w14:schemeClr w14:val="tx1"/>
                  </w14:solidFill>
                </w14:textFill>
              </w:rPr>
              <w:instrText xml:space="preserve"> </w:instrText>
            </w:r>
            <w:r>
              <w:rPr>
                <w:rFonts w:ascii="Times New Roman" w:hAnsi="Times New Roman"/>
                <w:color w:val="000000" w:themeColor="text1"/>
                <w:kern w:val="0"/>
                <w:sz w:val="18"/>
                <w:szCs w:val="18"/>
                <w14:textFill>
                  <w14:solidFill>
                    <w14:schemeClr w14:val="tx1"/>
                  </w14:solidFill>
                </w14:textFill>
              </w:rPr>
              <w:fldChar w:fldCharType="separate"/>
            </w:r>
            <w:r>
              <w:rPr>
                <w:rFonts w:hint="eastAsia" w:ascii="Times New Roman" w:hAnsi="Times New Roman"/>
                <w:color w:val="000000" w:themeColor="text1"/>
                <w:kern w:val="0"/>
                <w:sz w:val="18"/>
                <w:szCs w:val="18"/>
                <w14:textFill>
                  <w14:solidFill>
                    <w14:schemeClr w14:val="tx1"/>
                  </w14:solidFill>
                </w14:textFill>
              </w:rPr>
              <w:t>②</w:t>
            </w:r>
            <w:r>
              <w:rPr>
                <w:rFonts w:ascii="Times New Roman" w:hAnsi="Times New Roman"/>
                <w:color w:val="000000" w:themeColor="text1"/>
                <w:kern w:val="0"/>
                <w:sz w:val="18"/>
                <w:szCs w:val="18"/>
                <w14:textFill>
                  <w14:solidFill>
                    <w14:schemeClr w14:val="tx1"/>
                  </w14:solidFill>
                </w14:textFill>
              </w:rPr>
              <w:fldChar w:fldCharType="end"/>
            </w:r>
            <w:r>
              <w:rPr>
                <w:rFonts w:ascii="Times New Roman" w:hAnsi="宋体"/>
                <w:color w:val="000000" w:themeColor="text1"/>
                <w:kern w:val="0"/>
                <w:sz w:val="18"/>
                <w:szCs w:val="18"/>
                <w14:textFill>
                  <w14:solidFill>
                    <w14:schemeClr w14:val="tx1"/>
                  </w14:solidFill>
                </w14:textFill>
              </w:rPr>
              <w:t>一般防渗</w:t>
            </w:r>
            <w:r>
              <w:rPr>
                <w:rFonts w:hint="eastAsia" w:ascii="Times New Roman" w:hAnsi="宋体"/>
                <w:color w:val="000000" w:themeColor="text1"/>
                <w:kern w:val="0"/>
                <w:sz w:val="18"/>
                <w:szCs w:val="18"/>
                <w14:textFill>
                  <w14:solidFill>
                    <w14:schemeClr w14:val="tx1"/>
                  </w14:solidFill>
                </w14:textFill>
              </w:rPr>
              <w:t>区域</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综合</w:t>
            </w:r>
            <w:r>
              <w:rPr>
                <w:rFonts w:ascii="Times New Roman" w:hAnsi="宋体"/>
                <w:color w:val="000000" w:themeColor="text1"/>
                <w:kern w:val="0"/>
                <w:sz w:val="18"/>
                <w:szCs w:val="18"/>
                <w14:textFill>
                  <w14:solidFill>
                    <w14:schemeClr w14:val="tx1"/>
                  </w14:solidFill>
                </w14:textFill>
              </w:rPr>
              <w:t>仓库等效黏土防渗层</w:t>
            </w:r>
            <w:r>
              <w:rPr>
                <w:rFonts w:ascii="Times New Roman" w:hAnsi="Times New Roman"/>
                <w:color w:val="000000" w:themeColor="text1"/>
                <w:kern w:val="0"/>
                <w:sz w:val="18"/>
                <w:szCs w:val="18"/>
                <w14:textFill>
                  <w14:solidFill>
                    <w14:schemeClr w14:val="tx1"/>
                  </w14:solidFill>
                </w14:textFill>
              </w:rPr>
              <w:t>Mb≥1.5m</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K≤1×10</w:t>
            </w:r>
            <w:r>
              <w:rPr>
                <w:rFonts w:ascii="Times New Roman" w:hAnsi="Times New Roman"/>
                <w:color w:val="000000" w:themeColor="text1"/>
                <w:kern w:val="0"/>
                <w:sz w:val="18"/>
                <w:szCs w:val="18"/>
                <w:vertAlign w:val="superscript"/>
                <w14:textFill>
                  <w14:solidFill>
                    <w14:schemeClr w14:val="tx1"/>
                  </w14:solidFill>
                </w14:textFill>
              </w:rPr>
              <w:t>-7</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或参照</w:t>
            </w:r>
            <w:r>
              <w:rPr>
                <w:rFonts w:ascii="Times New Roman" w:hAnsi="Times New Roman"/>
                <w:color w:val="000000" w:themeColor="text1"/>
                <w:kern w:val="0"/>
                <w:sz w:val="18"/>
                <w:szCs w:val="18"/>
                <w14:textFill>
                  <w14:solidFill>
                    <w14:schemeClr w14:val="tx1"/>
                  </w14:solidFill>
                </w14:textFill>
              </w:rPr>
              <w:t xml:space="preserve"> GB16889 </w:t>
            </w:r>
            <w:r>
              <w:rPr>
                <w:rFonts w:ascii="Times New Roman" w:hAnsi="宋体"/>
                <w:color w:val="000000" w:themeColor="text1"/>
                <w:kern w:val="0"/>
                <w:sz w:val="18"/>
                <w:szCs w:val="18"/>
                <w14:textFill>
                  <w14:solidFill>
                    <w14:schemeClr w14:val="tx1"/>
                  </w14:solidFill>
                </w14:textFill>
              </w:rPr>
              <w:t>执行防渗处理。</w:t>
            </w:r>
          </w:p>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fldChar w:fldCharType="begin"/>
            </w:r>
            <w:r>
              <w:rPr>
                <w:rFonts w:ascii="Times New Roman" w:hAnsi="宋体"/>
                <w:color w:val="000000" w:themeColor="text1"/>
                <w:kern w:val="0"/>
                <w:sz w:val="18"/>
                <w:szCs w:val="18"/>
                <w14:textFill>
                  <w14:solidFill>
                    <w14:schemeClr w14:val="tx1"/>
                  </w14:solidFill>
                </w14:textFill>
              </w:rPr>
              <w:instrText xml:space="preserve"> </w:instrText>
            </w:r>
            <w:r>
              <w:rPr>
                <w:rFonts w:hint="eastAsia" w:ascii="Times New Roman" w:hAnsi="宋体"/>
                <w:color w:val="000000" w:themeColor="text1"/>
                <w:kern w:val="0"/>
                <w:sz w:val="18"/>
                <w:szCs w:val="18"/>
                <w14:textFill>
                  <w14:solidFill>
                    <w14:schemeClr w14:val="tx1"/>
                  </w14:solidFill>
                </w14:textFill>
              </w:rPr>
              <w:instrText xml:space="preserve">= 3 \* GB3</w:instrText>
            </w:r>
            <w:r>
              <w:rPr>
                <w:rFonts w:ascii="Times New Roman" w:hAnsi="宋体"/>
                <w:color w:val="000000" w:themeColor="text1"/>
                <w:kern w:val="0"/>
                <w:sz w:val="18"/>
                <w:szCs w:val="18"/>
                <w14:textFill>
                  <w14:solidFill>
                    <w14:schemeClr w14:val="tx1"/>
                  </w14:solidFill>
                </w14:textFill>
              </w:rPr>
              <w:instrText xml:space="preserve"> </w:instrText>
            </w:r>
            <w:r>
              <w:rPr>
                <w:rFonts w:ascii="Times New Roman" w:hAnsi="宋体"/>
                <w:color w:val="000000" w:themeColor="text1"/>
                <w:kern w:val="0"/>
                <w:sz w:val="18"/>
                <w:szCs w:val="18"/>
                <w14:textFill>
                  <w14:solidFill>
                    <w14:schemeClr w14:val="tx1"/>
                  </w14:solidFill>
                </w14:textFill>
              </w:rPr>
              <w:fldChar w:fldCharType="separate"/>
            </w:r>
            <w:r>
              <w:rPr>
                <w:rFonts w:hint="eastAsia" w:ascii="Times New Roman" w:hAnsi="宋体"/>
                <w:color w:val="000000" w:themeColor="text1"/>
                <w:kern w:val="0"/>
                <w:sz w:val="18"/>
                <w:szCs w:val="18"/>
                <w14:textFill>
                  <w14:solidFill>
                    <w14:schemeClr w14:val="tx1"/>
                  </w14:solidFill>
                </w14:textFill>
              </w:rPr>
              <w:t>③</w:t>
            </w:r>
            <w:r>
              <w:rPr>
                <w:rFonts w:ascii="Times New Roman" w:hAnsi="宋体"/>
                <w:color w:val="000000" w:themeColor="text1"/>
                <w:kern w:val="0"/>
                <w:sz w:val="18"/>
                <w:szCs w:val="18"/>
                <w14:textFill>
                  <w14:solidFill>
                    <w14:schemeClr w14:val="tx1"/>
                  </w14:solidFill>
                </w14:textFill>
              </w:rPr>
              <w:fldChar w:fldCharType="end"/>
            </w:r>
            <w:r>
              <w:rPr>
                <w:rFonts w:hint="eastAsia" w:ascii="Times New Roman" w:hAnsi="宋体"/>
                <w:color w:val="000000" w:themeColor="text1"/>
                <w:kern w:val="0"/>
                <w:sz w:val="18"/>
                <w:szCs w:val="18"/>
                <w14:textFill>
                  <w14:solidFill>
                    <w14:schemeClr w14:val="tx1"/>
                  </w14:solidFill>
                </w14:textFill>
              </w:rPr>
              <w:t>简单防渗</w:t>
            </w:r>
            <w:r>
              <w:rPr>
                <w:rFonts w:ascii="Times New Roman" w:hAnsi="宋体"/>
                <w:color w:val="000000" w:themeColor="text1"/>
                <w:kern w:val="0"/>
                <w:sz w:val="18"/>
                <w:szCs w:val="18"/>
                <w14:textFill>
                  <w14:solidFill>
                    <w14:schemeClr w14:val="tx1"/>
                  </w14:solidFill>
                </w14:textFill>
              </w:rPr>
              <w:t>区域：</w:t>
            </w:r>
            <w:r>
              <w:rPr>
                <w:rFonts w:hint="eastAsia" w:ascii="Times New Roman" w:hAnsi="宋体"/>
                <w:color w:val="000000" w:themeColor="text1"/>
                <w:kern w:val="0"/>
                <w:sz w:val="18"/>
                <w:szCs w:val="18"/>
                <w14:textFill>
                  <w14:solidFill>
                    <w14:schemeClr w14:val="tx1"/>
                  </w14:solidFill>
                </w14:textFill>
              </w:rPr>
              <w:t>综合楼</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消防水池</w:t>
            </w:r>
            <w:r>
              <w:rPr>
                <w:rFonts w:ascii="Times New Roman" w:hAnsi="宋体"/>
                <w:color w:val="000000" w:themeColor="text1"/>
                <w:kern w:val="0"/>
                <w:sz w:val="18"/>
                <w:szCs w:val="18"/>
                <w14:textFill>
                  <w14:solidFill>
                    <w14:schemeClr w14:val="tx1"/>
                  </w14:solidFill>
                </w14:textFill>
              </w:rPr>
              <w:t>地面水泥硬化处理。</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971" w:hRule="atLeast"/>
          <w:jc w:val="center"/>
        </w:trPr>
        <w:tc>
          <w:tcPr>
            <w:tcW w:w="1196" w:type="dxa"/>
            <w:vMerge w:val="continue"/>
            <w:vAlign w:val="center"/>
          </w:tcPr>
          <w:p>
            <w:pPr>
              <w:widowControl/>
              <w:jc w:val="left"/>
              <w:rPr>
                <w:rFonts w:ascii="Times New Roman" w:hAnsi="Times New Roman"/>
                <w:color w:val="000000" w:themeColor="text1"/>
                <w:kern w:val="0"/>
                <w:sz w:val="18"/>
                <w:szCs w:val="18"/>
                <w14:textFill>
                  <w14:solidFill>
                    <w14:schemeClr w14:val="tx1"/>
                  </w14:solidFill>
                </w14:textFill>
              </w:rPr>
            </w:pPr>
          </w:p>
        </w:tc>
        <w:tc>
          <w:tcPr>
            <w:tcW w:w="658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厂区</w:t>
            </w:r>
            <w:r>
              <w:rPr>
                <w:rFonts w:ascii="Times New Roman" w:hAnsi="Times New Roman"/>
                <w:color w:val="000000" w:themeColor="text1"/>
                <w:kern w:val="0"/>
                <w:sz w:val="18"/>
                <w:szCs w:val="18"/>
                <w14:textFill>
                  <w14:solidFill>
                    <w14:schemeClr w14:val="tx1"/>
                  </w14:solidFill>
                </w14:textFill>
              </w:rPr>
              <w:t>布设地下水跟踪监测井3处：背景监测井一处（D1：厂区外西南侧），污染监控井两处（D2：罐区东北侧（场地）；D3：厂区外东北侧）</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793" w:hRule="atLeast"/>
          <w:jc w:val="center"/>
        </w:trPr>
        <w:tc>
          <w:tcPr>
            <w:tcW w:w="1196"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环境风险</w:t>
            </w:r>
          </w:p>
        </w:tc>
        <w:tc>
          <w:tcPr>
            <w:tcW w:w="6587"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建设</w:t>
            </w:r>
            <w:r>
              <w:rPr>
                <w:rFonts w:hint="eastAsia" w:ascii="Times New Roman" w:hAnsi="Times New Roman"/>
                <w:color w:val="000000" w:themeColor="text1"/>
                <w:kern w:val="0"/>
                <w:sz w:val="18"/>
                <w:szCs w:val="18"/>
                <w14:textFill>
                  <w14:solidFill>
                    <w14:schemeClr w14:val="tx1"/>
                  </w14:solidFill>
                </w14:textFill>
              </w:rPr>
              <w:t>450</w:t>
            </w:r>
            <w:r>
              <w:rPr>
                <w:rFonts w:ascii="Times New Roman" w:hAnsi="Times New Roman"/>
                <w:color w:val="000000" w:themeColor="text1"/>
                <w:kern w:val="0"/>
                <w:sz w:val="18"/>
                <w:szCs w:val="18"/>
                <w14:textFill>
                  <w14:solidFill>
                    <w14:schemeClr w14:val="tx1"/>
                  </w14:solidFill>
                </w14:textFill>
              </w:rPr>
              <w:t>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宋体"/>
                <w:color w:val="000000" w:themeColor="text1"/>
                <w:kern w:val="0"/>
                <w:sz w:val="18"/>
                <w:szCs w:val="18"/>
                <w14:textFill>
                  <w14:solidFill>
                    <w14:schemeClr w14:val="tx1"/>
                  </w14:solidFill>
                </w14:textFill>
              </w:rPr>
              <w:t>事故应急池一座；罐区设置事故罐，按安全相关要求设置围堰和导流收集槽。编制</w:t>
            </w:r>
            <w:r>
              <w:rPr>
                <w:rFonts w:hint="eastAsia" w:ascii="Times New Roman" w:hAnsi="宋体"/>
                <w:color w:val="000000" w:themeColor="text1"/>
                <w:kern w:val="0"/>
                <w:sz w:val="18"/>
                <w:szCs w:val="18"/>
                <w14:textFill>
                  <w14:solidFill>
                    <w14:schemeClr w14:val="tx1"/>
                  </w14:solidFill>
                </w14:textFill>
              </w:rPr>
              <w:t>突发环境</w:t>
            </w:r>
            <w:r>
              <w:rPr>
                <w:rFonts w:ascii="Times New Roman" w:hAnsi="宋体"/>
                <w:color w:val="000000" w:themeColor="text1"/>
                <w:kern w:val="0"/>
                <w:sz w:val="18"/>
                <w:szCs w:val="18"/>
                <w14:textFill>
                  <w14:solidFill>
                    <w14:schemeClr w14:val="tx1"/>
                  </w14:solidFill>
                </w14:textFill>
              </w:rPr>
              <w:t>环境应急预案。</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trHeight w:val="412" w:hRule="atLeast"/>
          <w:jc w:val="center"/>
        </w:trPr>
        <w:tc>
          <w:tcPr>
            <w:tcW w:w="1196"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合计</w:t>
            </w:r>
          </w:p>
        </w:tc>
        <w:tc>
          <w:tcPr>
            <w:tcW w:w="6587"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w:t>
            </w:r>
          </w:p>
        </w:tc>
        <w:tc>
          <w:tcPr>
            <w:tcW w:w="119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305</w:t>
            </w:r>
          </w:p>
        </w:tc>
      </w:tr>
    </w:tbl>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heme="minorEastAsia" w:eastAsiaTheme="minorEastAsia"/>
          <w:color w:val="000000" w:themeColor="text1"/>
          <w:sz w:val="24"/>
          <w14:textFill>
            <w14:solidFill>
              <w14:schemeClr w14:val="tx1"/>
            </w14:solidFill>
          </w14:textFill>
        </w:rPr>
        <w:t>从以上表可知，该项目总投资</w:t>
      </w:r>
      <w:r>
        <w:rPr>
          <w:rFonts w:hint="eastAsia" w:ascii="Times New Roman" w:hAnsi="Times New Roman" w:eastAsiaTheme="minorEastAsia"/>
          <w:color w:val="000000" w:themeColor="text1"/>
          <w:sz w:val="24"/>
          <w14:textFill>
            <w14:solidFill>
              <w14:schemeClr w14:val="tx1"/>
            </w14:solidFill>
          </w14:textFill>
        </w:rPr>
        <w:t>5500</w:t>
      </w:r>
      <w:r>
        <w:rPr>
          <w:rFonts w:ascii="Times New Roman" w:hAnsiTheme="minorEastAsia" w:eastAsiaTheme="minorEastAsia"/>
          <w:color w:val="000000" w:themeColor="text1"/>
          <w:sz w:val="24"/>
          <w14:textFill>
            <w14:solidFill>
              <w14:schemeClr w14:val="tx1"/>
            </w14:solidFill>
          </w14:textFill>
        </w:rPr>
        <w:t>万人民币，其中环保投资</w:t>
      </w:r>
      <w:r>
        <w:rPr>
          <w:rFonts w:hint="eastAsia" w:ascii="Times New Roman" w:hAnsi="Times New Roman" w:eastAsiaTheme="minorEastAsia"/>
          <w:color w:val="000000" w:themeColor="text1"/>
          <w:sz w:val="24"/>
          <w14:textFill>
            <w14:solidFill>
              <w14:schemeClr w14:val="tx1"/>
            </w14:solidFill>
          </w14:textFill>
        </w:rPr>
        <w:t>305</w:t>
      </w:r>
      <w:r>
        <w:rPr>
          <w:rFonts w:ascii="Times New Roman" w:hAnsiTheme="minorEastAsia" w:eastAsiaTheme="minorEastAsia"/>
          <w:color w:val="000000" w:themeColor="text1"/>
          <w:sz w:val="24"/>
          <w14:textFill>
            <w14:solidFill>
              <w14:schemeClr w14:val="tx1"/>
            </w14:solidFill>
          </w14:textFill>
        </w:rPr>
        <w:t>万元，约占总投资额的</w:t>
      </w:r>
      <w:r>
        <w:rPr>
          <w:rFonts w:hint="eastAsia" w:ascii="Times New Roman" w:hAnsi="Times New Roman" w:eastAsiaTheme="minorEastAsia"/>
          <w:color w:val="000000" w:themeColor="text1"/>
          <w:sz w:val="24"/>
          <w14:textFill>
            <w14:solidFill>
              <w14:schemeClr w14:val="tx1"/>
            </w14:solidFill>
          </w14:textFill>
        </w:rPr>
        <w:t>5.55</w:t>
      </w:r>
      <w:r>
        <w:rPr>
          <w:rFonts w:ascii="Times New Roman" w:hAnsi="Times New Roman" w:eastAsiaTheme="minorEastAsia"/>
          <w:color w:val="000000" w:themeColor="text1"/>
          <w:sz w:val="24"/>
          <w14:textFill>
            <w14:solidFill>
              <w14:schemeClr w14:val="tx1"/>
            </w14:solidFill>
          </w14:textFill>
        </w:rPr>
        <w:t>%</w:t>
      </w:r>
      <w:r>
        <w:rPr>
          <w:rFonts w:ascii="Times New Roman" w:hAnsiTheme="minorEastAsia" w:eastAsiaTheme="minorEastAsia"/>
          <w:color w:val="000000" w:themeColor="text1"/>
          <w:sz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项目按运行20年计，每年的环保固定资产投资为15.25</w:t>
      </w:r>
      <w:r>
        <w:rPr>
          <w:rFonts w:ascii="Times New Roman" w:hAnsiTheme="minorEastAsia" w:eastAsiaTheme="minorEastAsia"/>
          <w:color w:val="000000" w:themeColor="text1"/>
          <w:sz w:val="24"/>
          <w14:textFill>
            <w14:solidFill>
              <w14:schemeClr w14:val="tx1"/>
            </w14:solidFill>
          </w14:textFill>
        </w:rPr>
        <w:t>万元</w:t>
      </w:r>
      <w:r>
        <w:rPr>
          <w:rFonts w:hint="eastAsia" w:ascii="Times New Roman" w:hAnsiTheme="minorEastAsia" w:eastAsiaTheme="minorEastAsia"/>
          <w:color w:val="000000" w:themeColor="text1"/>
          <w:sz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运行费用主要是指为了保证治理措施设施正常运行、确保达到污染物控制水平所需的费用，它主要包括人工费、水电费、维护管理费和其他费用。由于运行费用较之环保设施投资费用具有较多的不确定因数，而难以预测，只能根据现有项目以及相关项目的实际发生费用进行统计分析。经估算全厂污染治理设施的运行费用为</w:t>
      </w:r>
      <w:r>
        <w:rPr>
          <w:rFonts w:hint="eastAsia" w:ascii="Times New Roman" w:hAnsiTheme="minorEastAsia" w:eastAsiaTheme="minorEastAsia"/>
          <w:color w:val="000000" w:themeColor="text1"/>
          <w:sz w:val="24"/>
          <w:szCs w:val="24"/>
          <w14:textFill>
            <w14:solidFill>
              <w14:schemeClr w14:val="tx1"/>
            </w14:solidFill>
          </w14:textFill>
        </w:rPr>
        <w:t>20</w:t>
      </w:r>
      <w:r>
        <w:rPr>
          <w:rFonts w:ascii="Times New Roman" w:hAnsiTheme="minorEastAsia" w:eastAsiaTheme="minorEastAsia"/>
          <w:color w:val="000000" w:themeColor="text1"/>
          <w:sz w:val="24"/>
          <w:szCs w:val="24"/>
          <w14:textFill>
            <w14:solidFill>
              <w14:schemeClr w14:val="tx1"/>
            </w14:solidFill>
          </w14:textFill>
        </w:rPr>
        <w:t>万</w:t>
      </w: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，监测费用为</w:t>
      </w:r>
      <w:r>
        <w:rPr>
          <w:rFonts w:hint="eastAsia" w:ascii="Times New Roman" w:hAnsi="Times New Roman" w:eastAsiaTheme="minorEastAsia"/>
          <w:color w:val="000000" w:themeColor="text1"/>
          <w:sz w:val="24"/>
          <w:szCs w:val="24"/>
          <w14:textFill>
            <w14:solidFill>
              <w14:schemeClr w14:val="tx1"/>
            </w14:solidFill>
          </w14:textFill>
        </w:rPr>
        <w:t>10</w:t>
      </w:r>
      <w:r>
        <w:rPr>
          <w:rFonts w:ascii="Times New Roman" w:hAnsiTheme="minorEastAsia" w:eastAsiaTheme="minorEastAsia"/>
          <w:color w:val="000000" w:themeColor="text1"/>
          <w:sz w:val="24"/>
          <w:szCs w:val="24"/>
          <w14:textFill>
            <w14:solidFill>
              <w14:schemeClr w14:val="tx1"/>
            </w14:solidFill>
          </w14:textFill>
        </w:rPr>
        <w:t>万</w:t>
      </w: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，合计共</w:t>
      </w:r>
      <w:r>
        <w:rPr>
          <w:rFonts w:hint="eastAsia" w:ascii="Times New Roman" w:hAnsi="Times New Roman" w:eastAsiaTheme="minorEastAsia"/>
          <w:color w:val="000000" w:themeColor="text1"/>
          <w:sz w:val="24"/>
          <w:szCs w:val="24"/>
          <w14:textFill>
            <w14:solidFill>
              <w14:schemeClr w14:val="tx1"/>
            </w14:solidFill>
          </w14:textFill>
        </w:rPr>
        <w:t>30</w:t>
      </w:r>
      <w:r>
        <w:rPr>
          <w:rFonts w:ascii="Times New Roman" w:hAnsiTheme="minorEastAsia" w:eastAsiaTheme="minorEastAsia"/>
          <w:color w:val="000000" w:themeColor="text1"/>
          <w:sz w:val="24"/>
          <w:szCs w:val="24"/>
          <w14:textFill>
            <w14:solidFill>
              <w14:schemeClr w14:val="tx1"/>
            </w14:solidFill>
          </w14:textFill>
        </w:rPr>
        <w:t>万</w:t>
      </w: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heme="minorEastAsia" w:eastAsiaTheme="minorEastAsia"/>
          <w:color w:val="000000" w:themeColor="text1"/>
          <w:sz w:val="24"/>
          <w:szCs w:val="24"/>
          <w14:textFill>
            <w14:solidFill>
              <w14:schemeClr w14:val="tx1"/>
            </w14:solidFill>
          </w14:textFill>
        </w:rPr>
        <w:t>。</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823" w:name="_Toc20157"/>
      <w:bookmarkStart w:id="824" w:name="_Toc8881"/>
      <w:r>
        <w:rPr>
          <w:rFonts w:hint="default" w:ascii="Times New Roman" w:hAnsi="Times New Roman" w:eastAsia="黑体"/>
          <w:b/>
          <w:color w:val="000000" w:themeColor="text1"/>
          <w:kern w:val="0"/>
          <w:sz w:val="28"/>
          <w:szCs w:val="28"/>
          <w:lang w:val="en-US"/>
          <w14:textFill>
            <w14:solidFill>
              <w14:schemeClr w14:val="tx1"/>
            </w14:solidFill>
          </w14:textFill>
        </w:rPr>
        <w:t>10</w:t>
      </w:r>
      <w:r>
        <w:rPr>
          <w:rFonts w:hint="eastAsia" w:ascii="Times New Roman" w:hAnsi="Times New Roman" w:eastAsia="黑体"/>
          <w:b/>
          <w:color w:val="000000" w:themeColor="text1"/>
          <w:kern w:val="0"/>
          <w:sz w:val="28"/>
          <w:szCs w:val="28"/>
          <w14:textFill>
            <w14:solidFill>
              <w14:schemeClr w14:val="tx1"/>
            </w14:solidFill>
          </w14:textFill>
        </w:rPr>
        <w:t>.1.2环保费用总计</w:t>
      </w:r>
      <w:bookmarkEnd w:id="823"/>
      <w:bookmarkEnd w:id="824"/>
    </w:p>
    <w:p>
      <w:pPr>
        <w:spacing w:line="520" w:lineRule="exact"/>
        <w:ind w:firstLine="480" w:firstLineChars="2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环保费用包括环保设施投资费用和运行费用两部分，环保总费用约</w:t>
      </w:r>
      <w:r>
        <w:rPr>
          <w:rFonts w:hint="eastAsia" w:ascii="Times New Roman" w:hAnsi="Times New Roman"/>
          <w:color w:val="000000" w:themeColor="text1"/>
          <w:sz w:val="24"/>
          <w:szCs w:val="24"/>
          <w14:textFill>
            <w14:solidFill>
              <w14:schemeClr w14:val="tx1"/>
            </w14:solidFill>
          </w14:textFill>
        </w:rPr>
        <w:t>45.25</w:t>
      </w:r>
      <w:r>
        <w:rPr>
          <w:rFonts w:ascii="Times New Roman" w:hAnsi="Times New Roman"/>
          <w:color w:val="000000" w:themeColor="text1"/>
          <w:sz w:val="24"/>
          <w:szCs w:val="24"/>
          <w14:textFill>
            <w14:solidFill>
              <w14:schemeClr w14:val="tx1"/>
            </w14:solidFill>
          </w14:textFill>
        </w:rPr>
        <w:t>万元/a。</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25" w:name="_Toc30248"/>
      <w:r>
        <w:rPr>
          <w:rFonts w:hint="default" w:ascii="Times New Roman" w:hAnsi="Times New Roman" w:eastAsia="黑体"/>
          <w:b/>
          <w:color w:val="000000" w:themeColor="text1"/>
          <w:sz w:val="32"/>
          <w:szCs w:val="32"/>
          <w:lang w:val="en-US"/>
          <w14:textFill>
            <w14:solidFill>
              <w14:schemeClr w14:val="tx1"/>
            </w14:solidFill>
          </w14:textFill>
        </w:rPr>
        <w:t>10</w:t>
      </w:r>
      <w:r>
        <w:rPr>
          <w:rFonts w:ascii="Times New Roman" w:hAnsi="Times New Roman" w:eastAsia="黑体"/>
          <w:b/>
          <w:color w:val="000000" w:themeColor="text1"/>
          <w:sz w:val="32"/>
          <w:szCs w:val="32"/>
          <w14:textFill>
            <w14:solidFill>
              <w14:schemeClr w14:val="tx1"/>
            </w14:solidFill>
          </w14:textFill>
        </w:rPr>
        <w:t>.2</w:t>
      </w:r>
      <w:r>
        <w:rPr>
          <w:rFonts w:hint="eastAsia" w:ascii="黑体" w:hAnsi="黑体" w:eastAsia="黑体"/>
          <w:b/>
          <w:color w:val="000000" w:themeColor="text1"/>
          <w:sz w:val="32"/>
          <w:szCs w:val="32"/>
          <w14:textFill>
            <w14:solidFill>
              <w14:schemeClr w14:val="tx1"/>
            </w14:solidFill>
          </w14:textFill>
        </w:rPr>
        <w:t>建设项目经济及社会效益分析</w:t>
      </w:r>
      <w:bookmarkEnd w:id="825"/>
    </w:p>
    <w:p>
      <w:pPr>
        <w:spacing w:line="520" w:lineRule="exact"/>
        <w:ind w:firstLine="480" w:firstLineChars="200"/>
        <w:rPr>
          <w:rFonts w:ascii="Times New Roman" w:hAnsiTheme="minorEastAsia"/>
          <w:color w:val="000000" w:themeColor="text1"/>
          <w:sz w:val="24"/>
          <w:szCs w:val="24"/>
          <w14:textFill>
            <w14:solidFill>
              <w14:schemeClr w14:val="tx1"/>
            </w14:solidFill>
          </w14:textFill>
        </w:rPr>
      </w:pPr>
      <w:r>
        <w:rPr>
          <w:rFonts w:hint="eastAsia" w:ascii="Times New Roman" w:hAnsiTheme="minorEastAsia"/>
          <w:color w:val="000000" w:themeColor="text1"/>
          <w:sz w:val="24"/>
          <w:szCs w:val="24"/>
          <w14:textFill>
            <w14:solidFill>
              <w14:schemeClr w14:val="tx1"/>
            </w14:solidFill>
          </w14:textFill>
        </w:rPr>
        <w:t>本项目主要经济技术指标如下表：</w:t>
      </w:r>
    </w:p>
    <w:p>
      <w:pPr>
        <w:spacing w:line="520" w:lineRule="exact"/>
        <w:jc w:val="center"/>
        <w:rPr>
          <w:rFonts w:ascii="Times New Roman" w:hAnsiTheme="minorEastAsia"/>
          <w:b/>
          <w:color w:val="000000" w:themeColor="text1"/>
          <w:sz w:val="24"/>
          <w:szCs w:val="24"/>
          <w14:textFill>
            <w14:solidFill>
              <w14:schemeClr w14:val="tx1"/>
            </w14:solidFill>
          </w14:textFill>
        </w:rPr>
      </w:pPr>
      <w:r>
        <w:rPr>
          <w:rFonts w:hint="eastAsia" w:ascii="Times New Roman" w:hAnsiTheme="minorEastAsia"/>
          <w:b/>
          <w:color w:val="000000" w:themeColor="text1"/>
          <w:sz w:val="24"/>
          <w:szCs w:val="24"/>
          <w14:textFill>
            <w14:solidFill>
              <w14:schemeClr w14:val="tx1"/>
            </w14:solidFill>
          </w14:textFill>
        </w:rPr>
        <w:t>表</w:t>
      </w:r>
      <w:r>
        <w:rPr>
          <w:rFonts w:hint="eastAsia" w:ascii="Times New Roman" w:hAnsiTheme="minorEastAsia"/>
          <w:b/>
          <w:color w:val="000000" w:themeColor="text1"/>
          <w:sz w:val="24"/>
          <w:szCs w:val="24"/>
          <w:lang w:val="en-US" w:eastAsia="zh-CN"/>
          <w14:textFill>
            <w14:solidFill>
              <w14:schemeClr w14:val="tx1"/>
            </w14:solidFill>
          </w14:textFill>
        </w:rPr>
        <w:t>10</w:t>
      </w:r>
      <w:r>
        <w:rPr>
          <w:rFonts w:hint="eastAsia" w:ascii="Times New Roman" w:hAnsiTheme="minorEastAsia"/>
          <w:b/>
          <w:color w:val="000000" w:themeColor="text1"/>
          <w:sz w:val="24"/>
          <w:szCs w:val="24"/>
          <w14:textFill>
            <w14:solidFill>
              <w14:schemeClr w14:val="tx1"/>
            </w14:solidFill>
          </w14:textFill>
        </w:rPr>
        <w:t>.2-1  项目主要经济技术指标</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2"/>
        <w:gridCol w:w="2639"/>
        <w:gridCol w:w="1894"/>
        <w:gridCol w:w="1895"/>
        <w:gridCol w:w="1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序号</w:t>
            </w:r>
          </w:p>
        </w:tc>
        <w:tc>
          <w:tcPr>
            <w:tcW w:w="2639"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指标名称</w:t>
            </w:r>
          </w:p>
        </w:tc>
        <w:tc>
          <w:tcPr>
            <w:tcW w:w="1894" w:type="dxa"/>
            <w:vAlign w:val="center"/>
          </w:tcPr>
          <w:p>
            <w:pPr>
              <w:jc w:val="center"/>
              <w:rPr>
                <w:rFonts w:ascii="Times New Roman" w:hAnsi="宋体"/>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数量</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单位</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w:t>
            </w:r>
          </w:p>
        </w:tc>
        <w:tc>
          <w:tcPr>
            <w:tcW w:w="2639"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项目总投资</w:t>
            </w:r>
          </w:p>
        </w:tc>
        <w:tc>
          <w:tcPr>
            <w:tcW w:w="1894"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5500</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万元</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2</w:t>
            </w:r>
          </w:p>
        </w:tc>
        <w:tc>
          <w:tcPr>
            <w:tcW w:w="2639"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其中固定资产投资</w:t>
            </w:r>
          </w:p>
        </w:tc>
        <w:tc>
          <w:tcPr>
            <w:tcW w:w="1894"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4829</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万元</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3</w:t>
            </w:r>
          </w:p>
        </w:tc>
        <w:tc>
          <w:tcPr>
            <w:tcW w:w="2639"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年平均利润总额</w:t>
            </w:r>
          </w:p>
        </w:tc>
        <w:tc>
          <w:tcPr>
            <w:tcW w:w="1894"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1767</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万元</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w:t>
            </w:r>
          </w:p>
        </w:tc>
        <w:tc>
          <w:tcPr>
            <w:tcW w:w="2639"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年平均税后利润</w:t>
            </w:r>
          </w:p>
        </w:tc>
        <w:tc>
          <w:tcPr>
            <w:tcW w:w="1894"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1325</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ascii="Times New Roman" w:hAnsi="宋体"/>
                <w:color w:val="000000" w:themeColor="text1"/>
                <w:sz w:val="18"/>
                <w:szCs w:val="18"/>
                <w14:textFill>
                  <w14:solidFill>
                    <w14:schemeClr w14:val="tx1"/>
                  </w14:solidFill>
                </w14:textFill>
              </w:rPr>
              <w:t>万元</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dxa"/>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5</w:t>
            </w:r>
          </w:p>
        </w:tc>
        <w:tc>
          <w:tcPr>
            <w:tcW w:w="2639"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投资回收期</w:t>
            </w:r>
          </w:p>
        </w:tc>
        <w:tc>
          <w:tcPr>
            <w:tcW w:w="1894"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4.2</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年</w:t>
            </w:r>
          </w:p>
        </w:tc>
        <w:tc>
          <w:tcPr>
            <w:tcW w:w="1895" w:type="dxa"/>
            <w:vAlign w:val="center"/>
          </w:tcPr>
          <w:p>
            <w:pPr>
              <w:jc w:val="center"/>
              <w:rPr>
                <w:rFonts w:ascii="Times New Roman" w:hAnsi="宋体"/>
                <w:color w:val="000000" w:themeColor="text1"/>
                <w:sz w:val="18"/>
                <w:szCs w:val="18"/>
                <w14:textFill>
                  <w14:solidFill>
                    <w14:schemeClr w14:val="tx1"/>
                  </w14:solidFill>
                </w14:textFill>
              </w:rPr>
            </w:pPr>
            <w:r>
              <w:rPr>
                <w:rFonts w:hint="eastAsia" w:ascii="Times New Roman" w:hAnsi="宋体"/>
                <w:color w:val="000000" w:themeColor="text1"/>
                <w:sz w:val="18"/>
                <w:szCs w:val="18"/>
                <w14:textFill>
                  <w14:solidFill>
                    <w14:schemeClr w14:val="tx1"/>
                  </w14:solidFill>
                </w14:textFill>
              </w:rPr>
              <w:t>/</w:t>
            </w:r>
          </w:p>
        </w:tc>
      </w:tr>
    </w:tbl>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26" w:name="_Toc5803"/>
      <w:r>
        <w:rPr>
          <w:rFonts w:hint="default" w:ascii="Times New Roman" w:hAnsi="Times New Roman" w:eastAsia="黑体"/>
          <w:b/>
          <w:color w:val="000000" w:themeColor="text1"/>
          <w:sz w:val="32"/>
          <w:szCs w:val="32"/>
          <w:lang w:val="en-US"/>
          <w14:textFill>
            <w14:solidFill>
              <w14:schemeClr w14:val="tx1"/>
            </w14:solidFill>
          </w14:textFill>
        </w:rPr>
        <w:t>10</w:t>
      </w:r>
      <w:r>
        <w:rPr>
          <w:rFonts w:ascii="Times New Roman" w:hAnsi="Times New Roman" w:eastAsia="黑体"/>
          <w:b/>
          <w:color w:val="000000" w:themeColor="text1"/>
          <w:sz w:val="32"/>
          <w:szCs w:val="32"/>
          <w14:textFill>
            <w14:solidFill>
              <w14:schemeClr w14:val="tx1"/>
            </w14:solidFill>
          </w14:textFill>
        </w:rPr>
        <w:t>.3</w:t>
      </w:r>
      <w:r>
        <w:rPr>
          <w:rFonts w:hint="eastAsia" w:ascii="黑体" w:hAnsi="黑体" w:eastAsia="黑体"/>
          <w:b/>
          <w:color w:val="000000" w:themeColor="text1"/>
          <w:sz w:val="32"/>
          <w:szCs w:val="32"/>
          <w14:textFill>
            <w14:solidFill>
              <w14:schemeClr w14:val="tx1"/>
            </w14:solidFill>
          </w14:textFill>
        </w:rPr>
        <w:t>环保效益分析</w:t>
      </w:r>
      <w:bookmarkEnd w:id="826"/>
    </w:p>
    <w:p>
      <w:pPr>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项目营运期间通过采取各类措施对废水、废气、噪声和固废等污染物进行治理，可有效减少</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三废</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产生和排放量。只要认真落实本环评中要求的环保措施，可使污染物排放降到最低水平；项目污染物均可实现达标排放，对环境影响很小，通过在厂区内进行植被绿化，项目具有较好的环境效益。</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（1）环保投资收益分析</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拟建项目环保设施投资的环境效益主要体现在对“三废”的综合利用和能源的回收利用，不但降低了单位产品的物耗，降低单位产品成本，而且减少了向环境中排放污染物的量以及减少排污收费或罚款等。</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（2）环境收益分析</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本项目环保措施实施后，可减少大量污染物的排放，具体削减情况如下表所示：</w:t>
      </w:r>
    </w:p>
    <w:p>
      <w:pPr>
        <w:spacing w:line="520" w:lineRule="exact"/>
        <w:jc w:val="center"/>
        <w:rPr>
          <w:rFonts w:ascii="Times New Roman" w:hAnsiTheme="minorEastAsia"/>
          <w:b/>
          <w:color w:val="000000" w:themeColor="text1"/>
          <w:sz w:val="24"/>
          <w:szCs w:val="24"/>
          <w14:textFill>
            <w14:solidFill>
              <w14:schemeClr w14:val="tx1"/>
            </w14:solidFill>
          </w14:textFill>
        </w:rPr>
      </w:pPr>
      <w:r>
        <w:rPr>
          <w:rFonts w:hint="eastAsia" w:ascii="Times New Roman" w:hAnsiTheme="minorEastAsia"/>
          <w:b/>
          <w:color w:val="000000" w:themeColor="text1"/>
          <w:sz w:val="24"/>
          <w:szCs w:val="24"/>
          <w14:textFill>
            <w14:solidFill>
              <w14:schemeClr w14:val="tx1"/>
            </w14:solidFill>
          </w14:textFill>
        </w:rPr>
        <w:t>表</w:t>
      </w:r>
      <w:r>
        <w:rPr>
          <w:rFonts w:hint="eastAsia" w:ascii="Times New Roman" w:hAnsiTheme="minorEastAsia"/>
          <w:b/>
          <w:color w:val="000000" w:themeColor="text1"/>
          <w:sz w:val="24"/>
          <w:szCs w:val="24"/>
          <w:lang w:val="en-US" w:eastAsia="zh-CN"/>
          <w14:textFill>
            <w14:solidFill>
              <w14:schemeClr w14:val="tx1"/>
            </w14:solidFill>
          </w14:textFill>
        </w:rPr>
        <w:t>10</w:t>
      </w:r>
      <w:r>
        <w:rPr>
          <w:rFonts w:hint="eastAsia" w:ascii="Times New Roman" w:hAnsiTheme="minorEastAsia"/>
          <w:b/>
          <w:color w:val="000000" w:themeColor="text1"/>
          <w:sz w:val="24"/>
          <w:szCs w:val="24"/>
          <w14:textFill>
            <w14:solidFill>
              <w14:schemeClr w14:val="tx1"/>
            </w14:solidFill>
          </w14:textFill>
        </w:rPr>
        <w:t>.3-1  项目污染物污染物削减情况一览表</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8"/>
        <w:gridCol w:w="2434"/>
        <w:gridCol w:w="2426"/>
        <w:gridCol w:w="21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22"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分类</w:t>
            </w:r>
          </w:p>
        </w:tc>
        <w:tc>
          <w:tcPr>
            <w:tcW w:w="2426"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污染物</w:t>
            </w:r>
          </w:p>
        </w:tc>
        <w:tc>
          <w:tcPr>
            <w:tcW w:w="214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削减量（</w:t>
            </w:r>
            <w:r>
              <w:rPr>
                <w:rFonts w:cs="Arial"/>
                <w:color w:val="000000" w:themeColor="text1"/>
                <w:kern w:val="0"/>
                <w:sz w:val="18"/>
                <w:szCs w:val="18"/>
                <w14:textFill>
                  <w14:solidFill>
                    <w14:schemeClr w14:val="tx1"/>
                  </w14:solidFill>
                </w14:textFill>
              </w:rPr>
              <w:t>t/a</w:t>
            </w: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废气</w:t>
            </w:r>
          </w:p>
        </w:tc>
        <w:tc>
          <w:tcPr>
            <w:tcW w:w="2434"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有组织排放</w:t>
            </w:r>
          </w:p>
        </w:tc>
        <w:tc>
          <w:tcPr>
            <w:tcW w:w="2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氟化物</w:t>
            </w:r>
          </w:p>
        </w:tc>
        <w:tc>
          <w:tcPr>
            <w:tcW w:w="214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0.075744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34"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HCl</w:t>
            </w:r>
          </w:p>
        </w:tc>
        <w:tc>
          <w:tcPr>
            <w:tcW w:w="214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0.00028674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34"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颗粒物</w:t>
            </w:r>
          </w:p>
        </w:tc>
        <w:tc>
          <w:tcPr>
            <w:tcW w:w="214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11.349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废水</w:t>
            </w:r>
          </w:p>
        </w:tc>
        <w:tc>
          <w:tcPr>
            <w:tcW w:w="2434"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生活污水</w:t>
            </w:r>
          </w:p>
        </w:tc>
        <w:tc>
          <w:tcPr>
            <w:tcW w:w="2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COD</w:t>
            </w:r>
          </w:p>
        </w:tc>
        <w:tc>
          <w:tcPr>
            <w:tcW w:w="2147" w:type="dxa"/>
            <w:shd w:val="clear" w:color="auto" w:fill="auto"/>
            <w:vAlign w:val="center"/>
          </w:tcPr>
          <w:p>
            <w:pPr>
              <w:widowControl/>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lang w:bidi="ar"/>
                <w14:textFill>
                  <w14:solidFill>
                    <w14:schemeClr w14:val="tx1"/>
                  </w14:solidFill>
                </w14:textFill>
              </w:rPr>
              <w:t>0.031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34"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26"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BOD</w:t>
            </w:r>
            <w:r>
              <w:rPr>
                <w:rFonts w:hint="eastAsia" w:ascii="Times New Roman" w:hAnsi="Times New Roman"/>
                <w:color w:val="000000" w:themeColor="text1"/>
                <w:kern w:val="0"/>
                <w:sz w:val="18"/>
                <w:szCs w:val="18"/>
                <w:vertAlign w:val="subscript"/>
                <w14:textFill>
                  <w14:solidFill>
                    <w14:schemeClr w14:val="tx1"/>
                  </w14:solidFill>
                </w14:textFill>
              </w:rPr>
              <w:t>5</w:t>
            </w:r>
          </w:p>
        </w:tc>
        <w:tc>
          <w:tcPr>
            <w:tcW w:w="2147" w:type="dxa"/>
            <w:shd w:val="clear" w:color="auto" w:fill="auto"/>
            <w:vAlign w:val="center"/>
          </w:tcPr>
          <w:p>
            <w:pPr>
              <w:widowControl/>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lang w:bidi="ar"/>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34"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2426"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SS</w:t>
            </w:r>
          </w:p>
        </w:tc>
        <w:tc>
          <w:tcPr>
            <w:tcW w:w="2147" w:type="dxa"/>
            <w:shd w:val="clear" w:color="auto" w:fill="auto"/>
            <w:vAlign w:val="center"/>
          </w:tcPr>
          <w:p>
            <w:pPr>
              <w:widowControl/>
              <w:jc w:val="center"/>
              <w:textAlignment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lang w:bidi="ar"/>
                <w14:textFill>
                  <w14:solidFill>
                    <w14:schemeClr w14:val="tx1"/>
                  </w14:solidFill>
                </w14:textFill>
              </w:rPr>
              <w:t>0.057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固体废物</w:t>
            </w:r>
          </w:p>
        </w:tc>
        <w:tc>
          <w:tcPr>
            <w:tcW w:w="4860"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一般固废（含废包装材料、压滤废渣、布袋除尘器收集粉尘）</w:t>
            </w:r>
          </w:p>
        </w:tc>
        <w:tc>
          <w:tcPr>
            <w:tcW w:w="214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9816.648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4860"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危险废物（废机油）</w:t>
            </w:r>
          </w:p>
        </w:tc>
        <w:tc>
          <w:tcPr>
            <w:tcW w:w="214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88"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4860" w:type="dxa"/>
            <w:gridSpan w:val="2"/>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生活垃圾</w:t>
            </w:r>
          </w:p>
        </w:tc>
        <w:tc>
          <w:tcPr>
            <w:tcW w:w="214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2.16</w:t>
            </w:r>
          </w:p>
        </w:tc>
      </w:tr>
    </w:tbl>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27" w:name="_Toc15191"/>
      <w:r>
        <w:rPr>
          <w:rFonts w:hint="default" w:ascii="Times New Roman" w:hAnsi="Times New Roman" w:eastAsia="黑体"/>
          <w:b/>
          <w:color w:val="000000" w:themeColor="text1"/>
          <w:sz w:val="32"/>
          <w:szCs w:val="32"/>
          <w:lang w:val="en-US"/>
          <w14:textFill>
            <w14:solidFill>
              <w14:schemeClr w14:val="tx1"/>
            </w14:solidFill>
          </w14:textFill>
        </w:rPr>
        <w:t>10</w:t>
      </w:r>
      <w:r>
        <w:rPr>
          <w:rFonts w:ascii="Times New Roman" w:hAnsi="Times New Roman" w:eastAsia="黑体"/>
          <w:b/>
          <w:color w:val="000000" w:themeColor="text1"/>
          <w:sz w:val="32"/>
          <w:szCs w:val="32"/>
          <w14:textFill>
            <w14:solidFill>
              <w14:schemeClr w14:val="tx1"/>
            </w14:solidFill>
          </w14:textFill>
        </w:rPr>
        <w:t>.4</w:t>
      </w:r>
      <w:r>
        <w:rPr>
          <w:rFonts w:hint="eastAsia" w:ascii="黑体" w:hAnsi="黑体" w:eastAsia="黑体"/>
          <w:b/>
          <w:color w:val="000000" w:themeColor="text1"/>
          <w:sz w:val="32"/>
          <w:szCs w:val="32"/>
          <w14:textFill>
            <w14:solidFill>
              <w14:schemeClr w14:val="tx1"/>
            </w14:solidFill>
          </w14:textFill>
        </w:rPr>
        <w:t>经济损益分析</w:t>
      </w:r>
      <w:bookmarkEnd w:id="827"/>
    </w:p>
    <w:p>
      <w:pPr>
        <w:spacing w:line="520" w:lineRule="exact"/>
        <w:ind w:firstLine="480" w:firstLineChars="200"/>
        <w:rPr>
          <w:rFonts w:ascii="Times New Roman" w:hAnsiTheme="minorEastAsia"/>
          <w:color w:val="000000" w:themeColor="text1"/>
          <w:sz w:val="24"/>
          <w:szCs w:val="24"/>
          <w14:textFill>
            <w14:solidFill>
              <w14:schemeClr w14:val="tx1"/>
            </w14:solidFill>
          </w14:textFill>
        </w:rPr>
      </w:pPr>
      <w:r>
        <w:rPr>
          <w:rFonts w:hint="eastAsia" w:ascii="Times New Roman" w:hAnsiTheme="minorEastAsia"/>
          <w:color w:val="000000" w:themeColor="text1"/>
          <w:sz w:val="24"/>
          <w:szCs w:val="24"/>
          <w14:textFill>
            <w14:solidFill>
              <w14:schemeClr w14:val="tx1"/>
            </w14:solidFill>
          </w14:textFill>
        </w:rPr>
        <w:t>根据前述分析</w:t>
      </w:r>
      <w:r>
        <w:rPr>
          <w:rFonts w:ascii="Times New Roman" w:hAnsiTheme="minorEastAsia"/>
          <w:color w:val="000000" w:themeColor="text1"/>
          <w:sz w:val="24"/>
          <w:szCs w:val="24"/>
          <w14:textFill>
            <w14:solidFill>
              <w14:schemeClr w14:val="tx1"/>
            </w14:solidFill>
          </w14:textFill>
        </w:rPr>
        <w:t>，</w:t>
      </w:r>
      <w:r>
        <w:rPr>
          <w:rFonts w:hint="eastAsia" w:ascii="Times New Roman" w:hAnsiTheme="minorEastAsia"/>
          <w:color w:val="000000" w:themeColor="text1"/>
          <w:sz w:val="24"/>
          <w:szCs w:val="24"/>
          <w14:textFill>
            <w14:solidFill>
              <w14:schemeClr w14:val="tx1"/>
            </w14:solidFill>
          </w14:textFill>
        </w:rPr>
        <w:t>项目建成后，每年税后利润可到1325万元，每年环保总费用为45.25万元，环保投资占收益的3.42%</w:t>
      </w:r>
      <w:r>
        <w:rPr>
          <w:rFonts w:ascii="Times New Roman" w:hAnsiTheme="minorEastAsia"/>
          <w:color w:val="000000" w:themeColor="text1"/>
          <w:sz w:val="24"/>
          <w:szCs w:val="24"/>
          <w14:textFill>
            <w14:solidFill>
              <w14:schemeClr w14:val="tx1"/>
            </w14:solidFill>
          </w14:textFill>
        </w:rPr>
        <w:t>，</w:t>
      </w:r>
      <w:r>
        <w:rPr>
          <w:rFonts w:hint="eastAsia" w:ascii="Times New Roman" w:hAnsiTheme="minorEastAsia"/>
          <w:color w:val="000000" w:themeColor="text1"/>
          <w:sz w:val="24"/>
          <w:szCs w:val="24"/>
          <w14:textFill>
            <w14:solidFill>
              <w14:schemeClr w14:val="tx1"/>
            </w14:solidFill>
          </w14:textFill>
        </w:rPr>
        <w:t>从项目盈利的经济角度分析，项目有能力保证环保设施的正常运行，</w:t>
      </w:r>
      <w:r>
        <w:rPr>
          <w:rFonts w:ascii="Times New Roman" w:hAnsiTheme="minorEastAsia"/>
          <w:color w:val="000000" w:themeColor="text1"/>
          <w:sz w:val="24"/>
          <w:szCs w:val="24"/>
          <w14:textFill>
            <w14:solidFill>
              <w14:schemeClr w14:val="tx1"/>
            </w14:solidFill>
          </w14:textFill>
        </w:rPr>
        <w:t>说明项目采取环保措施的方案在经济上是可行的。</w:t>
      </w:r>
    </w:p>
    <w:p>
      <w:pPr>
        <w:spacing w:line="520" w:lineRule="exact"/>
        <w:ind w:firstLine="480" w:firstLineChars="200"/>
        <w:rPr>
          <w:rFonts w:ascii="Times New Roman" w:hAnsiTheme="minorEastAsia"/>
          <w:color w:val="000000" w:themeColor="text1"/>
          <w:sz w:val="24"/>
          <w:szCs w:val="24"/>
          <w14:textFill>
            <w14:solidFill>
              <w14:schemeClr w14:val="tx1"/>
            </w14:solidFill>
          </w14:textFill>
        </w:rPr>
      </w:pPr>
    </w:p>
    <w:p>
      <w:pPr>
        <w:rPr>
          <w:rFonts w:ascii="黑体" w:hAnsi="黑体" w:eastAsia="黑体"/>
          <w:b/>
          <w:color w:val="000000" w:themeColor="text1"/>
          <w:sz w:val="44"/>
          <w:szCs w:val="44"/>
          <w14:textFill>
            <w14:solidFill>
              <w14:schemeClr w14:val="tx1"/>
            </w14:solidFill>
          </w14:textFill>
        </w:rPr>
      </w:pPr>
      <w:r>
        <w:rPr>
          <w:rFonts w:ascii="黑体" w:hAnsi="黑体" w:eastAsia="黑体"/>
          <w:b/>
          <w:color w:val="000000" w:themeColor="text1"/>
          <w:sz w:val="44"/>
          <w:szCs w:val="44"/>
          <w14:textFill>
            <w14:solidFill>
              <w14:schemeClr w14:val="tx1"/>
            </w14:solidFill>
          </w14:textFill>
        </w:rPr>
        <w:br w:type="page"/>
      </w:r>
    </w:p>
    <w:p>
      <w:pPr>
        <w:pStyle w:val="380"/>
        <w:adjustRightInd w:val="0"/>
        <w:snapToGrid w:val="0"/>
        <w:spacing w:after="360" w:afterLines="150"/>
        <w:ind w:firstLine="2209" w:firstLineChars="500"/>
        <w:jc w:val="left"/>
        <w:outlineLvl w:val="2"/>
        <w:rPr>
          <w:rFonts w:ascii="黑体" w:hAnsi="黑体" w:eastAsia="黑体"/>
          <w:b/>
          <w:color w:val="000000" w:themeColor="text1"/>
          <w:sz w:val="44"/>
          <w:szCs w:val="44"/>
          <w14:textFill>
            <w14:solidFill>
              <w14:schemeClr w14:val="tx1"/>
            </w14:solidFill>
          </w14:textFill>
        </w:rPr>
      </w:pPr>
      <w:bookmarkStart w:id="828" w:name="_Toc30181"/>
      <w:r>
        <w:rPr>
          <w:rFonts w:hint="default" w:ascii="黑体" w:hAnsi="黑体" w:eastAsia="黑体"/>
          <w:b/>
          <w:color w:val="000000" w:themeColor="text1"/>
          <w:sz w:val="44"/>
          <w:szCs w:val="44"/>
          <w:lang w:val="en-US"/>
          <w14:textFill>
            <w14:solidFill>
              <w14:schemeClr w14:val="tx1"/>
            </w14:solidFill>
          </w14:textFill>
        </w:rPr>
        <w:t>11</w:t>
      </w:r>
      <w:r>
        <w:rPr>
          <w:rFonts w:ascii="黑体" w:hAnsi="黑体" w:eastAsia="黑体"/>
          <w:b/>
          <w:color w:val="000000" w:themeColor="text1"/>
          <w:sz w:val="44"/>
          <w:szCs w:val="44"/>
          <w14:textFill>
            <w14:solidFill>
              <w14:schemeClr w14:val="tx1"/>
            </w14:solidFill>
          </w14:textFill>
        </w:rPr>
        <w:t>环境管理与监测计划</w:t>
      </w:r>
      <w:bookmarkEnd w:id="828"/>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bookmarkStart w:id="829" w:name="_Toc224374185"/>
      <w:bookmarkStart w:id="830" w:name="_Toc22112214"/>
      <w:bookmarkStart w:id="831" w:name="_Toc154804843"/>
      <w:bookmarkStart w:id="832" w:name="_Toc534252827"/>
      <w:bookmarkStart w:id="833" w:name="_Toc16846"/>
      <w:bookmarkStart w:id="834" w:name="_Toc7446"/>
      <w:bookmarkStart w:id="835" w:name="_Toc534252715"/>
      <w:bookmarkStart w:id="836" w:name="_Toc81365500"/>
      <w:bookmarkStart w:id="837" w:name="_Toc14879"/>
      <w:bookmarkStart w:id="838" w:name="_Toc22293193"/>
      <w:bookmarkStart w:id="839" w:name="_Toc534967790"/>
      <w:bookmarkStart w:id="840" w:name="_Toc534522204"/>
      <w:bookmarkStart w:id="841" w:name="_Toc22458030"/>
      <w:bookmarkStart w:id="842" w:name="_Toc99717875"/>
      <w:bookmarkStart w:id="843" w:name="_Toc54489288"/>
      <w:bookmarkStart w:id="844" w:name="_Toc14421"/>
      <w:bookmarkStart w:id="845" w:name="_Toc529619248"/>
      <w:bookmarkStart w:id="846" w:name="_Toc65471524"/>
      <w:bookmarkStart w:id="847" w:name="_Toc27755"/>
      <w:bookmarkStart w:id="848" w:name="_Toc81365502"/>
      <w:bookmarkStart w:id="849" w:name="_Toc26658"/>
      <w:bookmarkStart w:id="850" w:name="_Toc65471525"/>
      <w:bookmarkStart w:id="851" w:name="_Toc12996"/>
      <w:bookmarkStart w:id="852" w:name="_Toc447535242"/>
      <w:bookmarkStart w:id="853" w:name="_Toc54489289"/>
      <w:bookmarkStart w:id="854" w:name="_Toc270064840"/>
      <w:bookmarkStart w:id="855" w:name="_Toc99717877"/>
      <w:bookmarkStart w:id="856" w:name="_Toc395714565"/>
      <w:bookmarkStart w:id="857" w:name="_Toc168624651"/>
      <w:bookmarkStart w:id="858" w:name="_Toc288572226"/>
      <w:bookmarkStart w:id="859" w:name="_Toc23739"/>
      <w:bookmarkStart w:id="860" w:name="_Toc303177783"/>
      <w:bookmarkStart w:id="861" w:name="_Toc22458031"/>
      <w:bookmarkStart w:id="862" w:name="_Toc192604091"/>
      <w:r>
        <w:rPr>
          <w:rFonts w:ascii="Times New Roman" w:hAnsi="Times New Roman" w:cs="Times New Roman"/>
          <w:color w:val="000000" w:themeColor="text1"/>
          <w:sz w:val="24"/>
          <w:szCs w:val="24"/>
          <w14:textFill>
            <w14:solidFill>
              <w14:schemeClr w14:val="tx1"/>
            </w14:solidFill>
          </w14:textFill>
        </w:rPr>
        <w:t>制定严格的环境管理与环境监测计划，并以扎实的工作保证各项环保措施以及环境管理与环境监测计划在项目施工期和建成后的运行期得以认真落实，才能有效地控制和减轻污染，保护环境；只有通过规范和约束企业的环境行为，也才能使企业真正实现社会、经济和环境效益的协调发展，走可持续发展的道路，本评价提出如下的环境管理与环境监测的计划和建议。</w:t>
      </w:r>
    </w:p>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63" w:name="_Toc31609"/>
      <w:bookmarkStart w:id="864" w:name="_Toc10932"/>
      <w:bookmarkStart w:id="865" w:name="_Toc31703"/>
      <w:bookmarkStart w:id="866" w:name="_Toc23290"/>
      <w:r>
        <w:rPr>
          <w:rFonts w:hint="default" w:ascii="Times New Roman" w:hAnsi="Times New Roman" w:eastAsia="黑体"/>
          <w:b/>
          <w:color w:val="000000" w:themeColor="text1"/>
          <w:sz w:val="32"/>
          <w:szCs w:val="32"/>
          <w:lang w:val="en-US"/>
          <w14:textFill>
            <w14:solidFill>
              <w14:schemeClr w14:val="tx1"/>
            </w14:solidFill>
          </w14:textFill>
        </w:rPr>
        <w:t>11</w:t>
      </w:r>
      <w:r>
        <w:rPr>
          <w:rFonts w:ascii="Times New Roman" w:hAnsi="Times New Roman" w:eastAsia="黑体"/>
          <w:b/>
          <w:color w:val="000000" w:themeColor="text1"/>
          <w:sz w:val="32"/>
          <w:szCs w:val="32"/>
          <w14:textFill>
            <w14:solidFill>
              <w14:schemeClr w14:val="tx1"/>
            </w14:solidFill>
          </w14:textFill>
        </w:rPr>
        <w:t>.1</w:t>
      </w:r>
      <w:r>
        <w:rPr>
          <w:rFonts w:ascii="黑体" w:hAnsi="黑体" w:eastAsia="黑体"/>
          <w:b/>
          <w:color w:val="000000" w:themeColor="text1"/>
          <w:sz w:val="32"/>
          <w:szCs w:val="32"/>
          <w14:textFill>
            <w14:solidFill>
              <w14:schemeClr w14:val="tx1"/>
            </w14:solidFill>
          </w14:textFill>
        </w:rPr>
        <w:t>环境管理基本内容</w:t>
      </w:r>
      <w:bookmarkEnd w:id="863"/>
      <w:bookmarkEnd w:id="864"/>
      <w:bookmarkEnd w:id="865"/>
      <w:bookmarkEnd w:id="866"/>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根据国家有关法律、法规的要求，项目在运营期必须设置专门的环境管理人员和机构。根据本项目情况，可由公司安环部门安排</w:t>
      </w:r>
      <w:r>
        <w:rPr>
          <w:rFonts w:ascii="Times New Roman" w:hAnsi="Times New Roman" w:cs="Times New Roman"/>
          <w:color w:val="000000" w:themeColor="text1"/>
          <w:sz w:val="24"/>
          <w:szCs w:val="24"/>
          <w14:textFill>
            <w14:solidFill>
              <w14:schemeClr w14:val="tx1"/>
            </w14:solidFill>
          </w14:textFill>
        </w:rPr>
        <w:t>2</w:t>
      </w:r>
      <w:r>
        <w:rPr>
          <w:rFonts w:ascii="Times New Roman" w:cs="Times New Roman" w:hAnsiTheme="minorEastAsia"/>
          <w:color w:val="000000" w:themeColor="text1"/>
          <w:sz w:val="24"/>
          <w:szCs w:val="24"/>
          <w14:textFill>
            <w14:solidFill>
              <w14:schemeClr w14:val="tx1"/>
            </w14:solidFill>
          </w14:textFill>
        </w:rPr>
        <w:t>人从事环境管理与监督工作。</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（1）</w:t>
      </w:r>
      <w:r>
        <w:rPr>
          <w:rFonts w:ascii="Times New Roman" w:hAnsiTheme="minorEastAsia" w:eastAsiaTheme="minorEastAsia"/>
          <w:color w:val="000000" w:themeColor="text1"/>
          <w:sz w:val="24"/>
          <w14:textFill>
            <w14:solidFill>
              <w14:schemeClr w14:val="tx1"/>
            </w14:solidFill>
          </w14:textFill>
        </w:rPr>
        <w:t>环境管理机构职责</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本项目的相关环境管理机构由宜昌市</w:t>
      </w:r>
      <w:r>
        <w:rPr>
          <w:rFonts w:hint="eastAsia" w:ascii="Times New Roman" w:cs="Times New Roman" w:hAnsiTheme="minorEastAsia"/>
          <w:color w:val="000000" w:themeColor="text1"/>
          <w:sz w:val="24"/>
          <w:szCs w:val="24"/>
          <w14:textFill>
            <w14:solidFill>
              <w14:schemeClr w14:val="tx1"/>
            </w14:solidFill>
          </w14:textFill>
        </w:rPr>
        <w:t>生态</w:t>
      </w:r>
      <w:r>
        <w:rPr>
          <w:rFonts w:ascii="Times New Roman" w:cs="Times New Roman" w:hAnsiTheme="minorEastAsia"/>
          <w:color w:val="000000" w:themeColor="text1"/>
          <w:sz w:val="24"/>
          <w:szCs w:val="24"/>
          <w14:textFill>
            <w14:solidFill>
              <w14:schemeClr w14:val="tx1"/>
            </w14:solidFill>
          </w14:textFill>
        </w:rPr>
        <w:t>环境局、宜昌市</w:t>
      </w:r>
      <w:r>
        <w:rPr>
          <w:rFonts w:hint="eastAsia" w:ascii="Times New Roman" w:cs="Times New Roman" w:hAnsiTheme="minorEastAsia"/>
          <w:color w:val="000000" w:themeColor="text1"/>
          <w:sz w:val="24"/>
          <w:szCs w:val="24"/>
          <w14:textFill>
            <w14:solidFill>
              <w14:schemeClr w14:val="tx1"/>
            </w14:solidFill>
          </w14:textFill>
        </w:rPr>
        <w:t>生态</w:t>
      </w:r>
      <w:r>
        <w:rPr>
          <w:rFonts w:ascii="Times New Roman" w:cs="Times New Roman" w:hAnsiTheme="minorEastAsia"/>
          <w:color w:val="000000" w:themeColor="text1"/>
          <w:sz w:val="24"/>
          <w:szCs w:val="24"/>
          <w14:textFill>
            <w14:solidFill>
              <w14:schemeClr w14:val="tx1"/>
            </w14:solidFill>
          </w14:textFill>
        </w:rPr>
        <w:t>环境局</w:t>
      </w:r>
      <w:r>
        <w:rPr>
          <w:rFonts w:hint="eastAsia" w:ascii="Times New Roman" w:cs="Times New Roman" w:hAnsiTheme="minorEastAsia"/>
          <w:color w:val="000000" w:themeColor="text1"/>
          <w:sz w:val="24"/>
          <w:szCs w:val="24"/>
          <w14:textFill>
            <w14:solidFill>
              <w14:schemeClr w14:val="tx1"/>
            </w14:solidFill>
          </w14:textFill>
        </w:rPr>
        <w:t>宜都市分局</w:t>
      </w:r>
      <w:r>
        <w:rPr>
          <w:rFonts w:ascii="Times New Roman" w:cs="Times New Roman" w:hAnsiTheme="minorEastAsia"/>
          <w:color w:val="000000" w:themeColor="text1"/>
          <w:sz w:val="24"/>
          <w:szCs w:val="24"/>
          <w14:textFill>
            <w14:solidFill>
              <w14:schemeClr w14:val="tx1"/>
            </w14:solidFill>
          </w14:textFill>
        </w:rPr>
        <w:t>、环境监理、公司环境管理组织等构成，各相关环境管理机构的职责如下：</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t>①</w:t>
      </w:r>
      <w:r>
        <w:rPr>
          <w:rFonts w:hAnsi="宋体"/>
          <w:color w:val="000000" w:themeColor="text1"/>
          <w:sz w:val="24"/>
          <w:szCs w:val="24"/>
          <w14:textFill>
            <w14:solidFill>
              <w14:schemeClr w14:val="tx1"/>
            </w14:solidFill>
          </w14:textFill>
        </w:rPr>
        <w:t>宜昌市</w:t>
      </w:r>
      <w:r>
        <w:rPr>
          <w:rFonts w:hint="eastAsia" w:hAnsi="宋体"/>
          <w:color w:val="000000" w:themeColor="text1"/>
          <w:sz w:val="24"/>
          <w:szCs w:val="24"/>
          <w14:textFill>
            <w14:solidFill>
              <w14:schemeClr w14:val="tx1"/>
            </w14:solidFill>
          </w14:textFill>
        </w:rPr>
        <w:t>生态</w:t>
      </w:r>
      <w:r>
        <w:rPr>
          <w:rFonts w:hAnsi="宋体"/>
          <w:color w:val="000000" w:themeColor="text1"/>
          <w:sz w:val="24"/>
          <w:szCs w:val="24"/>
          <w14:textFill>
            <w14:solidFill>
              <w14:schemeClr w14:val="tx1"/>
            </w14:solidFill>
          </w14:textFill>
        </w:rPr>
        <w:t>环境局</w:t>
      </w:r>
      <w:r>
        <w:rPr>
          <w:rFonts w:ascii="Times New Roman" w:hAnsi="Times New Roman" w:cs="Times New Roman"/>
          <w:color w:val="000000" w:themeColor="text1"/>
          <w:sz w:val="24"/>
          <w:szCs w:val="24"/>
          <w14:textFill>
            <w14:solidFill>
              <w14:schemeClr w14:val="tx1"/>
            </w14:solidFill>
          </w14:textFill>
        </w:rPr>
        <w:t>、</w:t>
      </w:r>
      <w:r>
        <w:rPr>
          <w:rFonts w:ascii="Times New Roman" w:cs="Times New Roman" w:hAnsiTheme="minorEastAsia"/>
          <w:color w:val="000000" w:themeColor="text1"/>
          <w:sz w:val="24"/>
          <w:szCs w:val="24"/>
          <w14:textFill>
            <w14:solidFill>
              <w14:schemeClr w14:val="tx1"/>
            </w14:solidFill>
          </w14:textFill>
        </w:rPr>
        <w:t>宜昌市</w:t>
      </w:r>
      <w:r>
        <w:rPr>
          <w:rFonts w:hint="eastAsia" w:ascii="Times New Roman" w:cs="Times New Roman" w:hAnsiTheme="minorEastAsia"/>
          <w:color w:val="000000" w:themeColor="text1"/>
          <w:sz w:val="24"/>
          <w:szCs w:val="24"/>
          <w14:textFill>
            <w14:solidFill>
              <w14:schemeClr w14:val="tx1"/>
            </w14:solidFill>
          </w14:textFill>
        </w:rPr>
        <w:t>生态</w:t>
      </w:r>
      <w:r>
        <w:rPr>
          <w:rFonts w:ascii="Times New Roman" w:cs="Times New Roman" w:hAnsiTheme="minorEastAsia"/>
          <w:color w:val="000000" w:themeColor="text1"/>
          <w:sz w:val="24"/>
          <w:szCs w:val="24"/>
          <w14:textFill>
            <w14:solidFill>
              <w14:schemeClr w14:val="tx1"/>
            </w14:solidFill>
          </w14:textFill>
        </w:rPr>
        <w:t>环境局</w:t>
      </w:r>
      <w:r>
        <w:rPr>
          <w:rFonts w:hint="eastAsia" w:ascii="Times New Roman" w:cs="Times New Roman" w:hAnsiTheme="minorEastAsia"/>
          <w:color w:val="000000" w:themeColor="text1"/>
          <w:sz w:val="24"/>
          <w:szCs w:val="24"/>
          <w14:textFill>
            <w14:solidFill>
              <w14:schemeClr w14:val="tx1"/>
            </w14:solidFill>
          </w14:textFill>
        </w:rPr>
        <w:t>宜都市分局</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宜都市</w:t>
      </w:r>
      <w:r>
        <w:rPr>
          <w:rFonts w:ascii="Times New Roman" w:hAnsi="Times New Roman" w:cs="Times New Roman"/>
          <w:color w:val="000000" w:themeColor="text1"/>
          <w:sz w:val="24"/>
          <w:szCs w:val="24"/>
          <w14:textFill>
            <w14:solidFill>
              <w14:schemeClr w14:val="tx1"/>
            </w14:solidFill>
          </w14:textFill>
        </w:rPr>
        <w:t>环境监察</w:t>
      </w:r>
      <w:r>
        <w:rPr>
          <w:rFonts w:hint="eastAsia" w:ascii="Times New Roman" w:hAnsi="Times New Roman" w:cs="Times New Roman"/>
          <w:color w:val="000000" w:themeColor="text1"/>
          <w:sz w:val="24"/>
          <w:szCs w:val="24"/>
          <w14:textFill>
            <w14:solidFill>
              <w14:schemeClr w14:val="tx1"/>
            </w14:solidFill>
          </w14:textFill>
        </w:rPr>
        <w:t>大</w:t>
      </w:r>
      <w:r>
        <w:rPr>
          <w:rFonts w:ascii="Times New Roman" w:hAnsi="Times New Roman" w:cs="Times New Roman"/>
          <w:color w:val="000000" w:themeColor="text1"/>
          <w:sz w:val="24"/>
          <w:szCs w:val="24"/>
          <w14:textFill>
            <w14:solidFill>
              <w14:schemeClr w14:val="tx1"/>
            </w14:solidFill>
          </w14:textFill>
        </w:rPr>
        <w:t>队</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根据国内相关法律法规的要求，负责项目全过程的监管，对项目的环境保护提出要求，同时负责项目的</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cs="Times New Roman" w:hAnsiTheme="minorEastAsia"/>
          <w:color w:val="000000" w:themeColor="text1"/>
          <w:sz w:val="24"/>
          <w:szCs w:val="24"/>
          <w14:textFill>
            <w14:solidFill>
              <w14:schemeClr w14:val="tx1"/>
            </w14:solidFill>
          </w14:textFill>
        </w:rPr>
        <w:t>三同时</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cs="Times New Roman" w:hAnsiTheme="minorEastAsia"/>
          <w:color w:val="000000" w:themeColor="text1"/>
          <w:sz w:val="24"/>
          <w:szCs w:val="24"/>
          <w14:textFill>
            <w14:solidFill>
              <w14:schemeClr w14:val="tx1"/>
            </w14:solidFill>
          </w14:textFill>
        </w:rPr>
        <w:t>竣工验收；检查环境管理计划的实施、审核环境监测计划和环境监测报告。</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cs="Times New Roman" w:asciiTheme="minorEastAsia" w:hAnsiTheme="minorEastAsia"/>
          <w:color w:val="000000" w:themeColor="text1"/>
          <w:sz w:val="24"/>
          <w:szCs w:val="24"/>
          <w14:textFill>
            <w14:solidFill>
              <w14:schemeClr w14:val="tx1"/>
            </w14:solidFill>
          </w14:textFill>
        </w:rPr>
        <w:t>②</w:t>
      </w:r>
      <w:r>
        <w:rPr>
          <w:rFonts w:hint="eastAsia" w:ascii="Times New Roman" w:cs="Times New Roman" w:hAnsiTheme="minorEastAsia"/>
          <w:color w:val="000000" w:themeColor="text1"/>
          <w:sz w:val="24"/>
          <w:szCs w:val="24"/>
          <w14:textFill>
            <w14:solidFill>
              <w14:schemeClr w14:val="tx1"/>
            </w14:solidFill>
          </w14:textFill>
        </w:rPr>
        <w:t>宜都市吉洪化工有限公司</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保障环境管理部门的相关的环境管理措施得到落实，同时协助环境管理部门进行日常的环境监查。搞好所有环保设施与主体设备的协调管理，使污染防治设施的配备与主体设备相适应，并与主体设备同时运行及检修。</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cs="Times New Roman" w:asciiTheme="minorEastAsia" w:hAnsiTheme="minorEastAsia"/>
          <w:color w:val="000000" w:themeColor="text1"/>
          <w:sz w:val="24"/>
          <w:szCs w:val="24"/>
          <w14:textFill>
            <w14:solidFill>
              <w14:schemeClr w14:val="tx1"/>
            </w14:solidFill>
          </w14:textFill>
        </w:rPr>
        <w:t>③</w:t>
      </w:r>
      <w:r>
        <w:rPr>
          <w:rFonts w:ascii="Times New Roman" w:cs="Times New Roman" w:hAnsiTheme="minorEastAsia"/>
          <w:color w:val="000000" w:themeColor="text1"/>
          <w:sz w:val="24"/>
          <w:szCs w:val="24"/>
          <w14:textFill>
            <w14:solidFill>
              <w14:schemeClr w14:val="tx1"/>
            </w14:solidFill>
          </w14:textFill>
        </w:rPr>
        <w:t>公司环境保护管理组织</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工程运营期负责与当地环境监测部门联系，及时监测本工程外排的废水、废气及噪声情况，保证废气及噪声处理装置正常运行，监督使用环保装修材料，为公司提供一个安全、卫生的工作环境。污染防治设施出现故障时，应立即与各部门共同采取措施，严防污染扩大。</w:t>
      </w:r>
    </w:p>
    <w:p>
      <w:pPr>
        <w:adjustRightInd w:val="0"/>
        <w:snapToGrid w:val="0"/>
        <w:spacing w:line="520" w:lineRule="exact"/>
        <w:ind w:firstLine="480" w:firstLineChars="200"/>
        <w:jc w:val="left"/>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（2）</w:t>
      </w:r>
      <w:r>
        <w:rPr>
          <w:rFonts w:ascii="Times New Roman" w:hAnsiTheme="minorEastAsia" w:eastAsiaTheme="minorEastAsia"/>
          <w:color w:val="000000" w:themeColor="text1"/>
          <w:sz w:val="24"/>
          <w14:textFill>
            <w14:solidFill>
              <w14:schemeClr w14:val="tx1"/>
            </w14:solidFill>
          </w14:textFill>
        </w:rPr>
        <w:t>环境监测机构及其职责</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可委托有资质的检测单位承担本项目的环境监测工作，主要是根据环境评价中的使用期的环境监测计划进行监测。</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67" w:name="_Toc1959"/>
      <w:bookmarkStart w:id="868" w:name="_Toc23864"/>
      <w:bookmarkStart w:id="869" w:name="_Toc27389"/>
      <w:bookmarkStart w:id="870" w:name="_Toc562"/>
      <w:r>
        <w:rPr>
          <w:rFonts w:hint="default" w:ascii="Times New Roman" w:hAnsi="Times New Roman" w:eastAsia="黑体"/>
          <w:b/>
          <w:color w:val="000000" w:themeColor="text1"/>
          <w:sz w:val="32"/>
          <w:szCs w:val="32"/>
          <w:lang w:val="en-US"/>
          <w14:textFill>
            <w14:solidFill>
              <w14:schemeClr w14:val="tx1"/>
            </w14:solidFill>
          </w14:textFill>
        </w:rPr>
        <w:t>11</w:t>
      </w:r>
      <w:r>
        <w:rPr>
          <w:rFonts w:ascii="Times New Roman" w:hAnsi="Times New Roman" w:eastAsia="黑体"/>
          <w:b/>
          <w:color w:val="000000" w:themeColor="text1"/>
          <w:sz w:val="32"/>
          <w:szCs w:val="32"/>
          <w14:textFill>
            <w14:solidFill>
              <w14:schemeClr w14:val="tx1"/>
            </w14:solidFill>
          </w14:textFill>
        </w:rPr>
        <w:t>.2</w:t>
      </w:r>
      <w:r>
        <w:rPr>
          <w:rFonts w:ascii="黑体" w:hAnsi="黑体" w:eastAsia="黑体"/>
          <w:b/>
          <w:color w:val="000000" w:themeColor="text1"/>
          <w:sz w:val="32"/>
          <w:szCs w:val="32"/>
          <w14:textFill>
            <w14:solidFill>
              <w14:schemeClr w14:val="tx1"/>
            </w14:solidFill>
          </w14:textFill>
        </w:rPr>
        <w:t>环境管理计划</w:t>
      </w:r>
      <w:bookmarkEnd w:id="867"/>
      <w:bookmarkEnd w:id="868"/>
      <w:bookmarkEnd w:id="869"/>
      <w:bookmarkEnd w:id="870"/>
    </w:p>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871" w:name="_Toc16623"/>
      <w:bookmarkStart w:id="872" w:name="_Toc2836"/>
      <w:r>
        <w:rPr>
          <w:rFonts w:hint="default" w:ascii="Times New Roman" w:hAnsi="Times New Roman" w:eastAsia="黑体"/>
          <w:b/>
          <w:color w:val="000000" w:themeColor="text1"/>
          <w:kern w:val="0"/>
          <w:sz w:val="28"/>
          <w:szCs w:val="28"/>
          <w:lang w:val="en-US"/>
          <w14:textFill>
            <w14:solidFill>
              <w14:schemeClr w14:val="tx1"/>
            </w14:solidFill>
          </w14:textFill>
        </w:rPr>
        <w:t>11</w:t>
      </w:r>
      <w:r>
        <w:rPr>
          <w:rFonts w:ascii="Times New Roman" w:hAnsi="Times New Roman" w:eastAsia="黑体"/>
          <w:b/>
          <w:color w:val="000000" w:themeColor="text1"/>
          <w:kern w:val="0"/>
          <w:sz w:val="28"/>
          <w:szCs w:val="28"/>
          <w14:textFill>
            <w14:solidFill>
              <w14:schemeClr w14:val="tx1"/>
            </w14:solidFill>
          </w14:textFill>
        </w:rPr>
        <w:t>.2.1施工期环境管理计划</w:t>
      </w:r>
      <w:bookmarkEnd w:id="871"/>
      <w:bookmarkEnd w:id="872"/>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施工方应针对本项目的环境特点，采取相应的措施，确保施工作业对敏感目标的影响降至最低。</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cs="Times New Roman" w:hAnsiTheme="minorEastAsia"/>
          <w:color w:val="000000" w:themeColor="text1"/>
          <w:sz w:val="24"/>
          <w:szCs w:val="24"/>
          <w14:textFill>
            <w14:solidFill>
              <w14:schemeClr w14:val="tx1"/>
            </w14:solidFill>
          </w14:textFill>
        </w:rPr>
        <w:t>环境管理机构对施工期环境保护工作全面负责，履行施工期各阶段环境管理职责。施工方应针对本项目的环境特点，采取相应的措施，确保施工装修作业对敏感目标的影响降至最低。</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cs="Times New Roman" w:hAnsiTheme="minorEastAsia"/>
          <w:color w:val="000000" w:themeColor="text1"/>
          <w:sz w:val="24"/>
          <w:szCs w:val="24"/>
          <w14:textFill>
            <w14:solidFill>
              <w14:schemeClr w14:val="tx1"/>
            </w14:solidFill>
          </w14:textFill>
        </w:rPr>
        <w:t>环境管理机构对施工期环境保护工作全面负责，履行施工期的环境管理职责。</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cs="Times New Roman" w:hAnsiTheme="minorEastAsia"/>
          <w:color w:val="000000" w:themeColor="text1"/>
          <w:sz w:val="24"/>
          <w:szCs w:val="24"/>
          <w14:textFill>
            <w14:solidFill>
              <w14:schemeClr w14:val="tx1"/>
            </w14:solidFill>
          </w14:textFill>
        </w:rPr>
        <w:t>对施工队伍实行职责管理，要求其明施工，并做好监督、检查和教育工作。</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cs="Times New Roman" w:hAnsiTheme="minorEastAsia"/>
          <w:color w:val="000000" w:themeColor="text1"/>
          <w:sz w:val="24"/>
          <w:szCs w:val="24"/>
          <w14:textFill>
            <w14:solidFill>
              <w14:schemeClr w14:val="tx1"/>
            </w14:solidFill>
          </w14:textFill>
        </w:rPr>
        <w:t>按照环保主管部门的要求和本报告书中有关环境保护对策措施对施工程序和场地布置实施统一安排。</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cs="Times New Roman" w:hAnsiTheme="minorEastAsia"/>
          <w:color w:val="000000" w:themeColor="text1"/>
          <w:sz w:val="24"/>
          <w:szCs w:val="24"/>
          <w14:textFill>
            <w14:solidFill>
              <w14:schemeClr w14:val="tx1"/>
            </w14:solidFill>
          </w14:textFill>
        </w:rPr>
        <w:t>项目施工期环境保护管理及环境监理的主要内容见表</w:t>
      </w:r>
      <w:r>
        <w:rPr>
          <w:rFonts w:hint="default" w:ascii="Times New Roman" w:hAnsi="Times New Roman" w:cs="Times New Roman"/>
          <w:color w:val="000000" w:themeColor="text1"/>
          <w:sz w:val="24"/>
          <w:szCs w:val="24"/>
          <w:lang w:val="en-US"/>
          <w14:textFill>
            <w14:solidFill>
              <w14:schemeClr w14:val="tx1"/>
            </w14:solidFill>
          </w14:textFill>
        </w:rPr>
        <w:t>11</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-1</w:t>
      </w:r>
      <w:r>
        <w:rPr>
          <w:rFonts w:ascii="Times New Roman" w:cs="Times New Roman" w:hAnsiTheme="minorEastAsia"/>
          <w:color w:val="000000" w:themeColor="text1"/>
          <w:sz w:val="24"/>
          <w:szCs w:val="24"/>
          <w14:textFill>
            <w14:solidFill>
              <w14:schemeClr w14:val="tx1"/>
            </w14:solidFill>
          </w14:textFill>
        </w:rPr>
        <w:t>。</w:t>
      </w:r>
    </w:p>
    <w:p>
      <w:pPr>
        <w:adjustRightInd w:val="0"/>
        <w:snapToGrid w:val="0"/>
        <w:spacing w:line="520" w:lineRule="exact"/>
        <w:jc w:val="center"/>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表</w:t>
      </w:r>
      <w:r>
        <w:rPr>
          <w:rFonts w:hint="default" w:ascii="Times New Roman" w:hAnsi="Times New Roman" w:eastAsiaTheme="minorEastAsia"/>
          <w:b/>
          <w:bCs/>
          <w:color w:val="000000" w:themeColor="text1"/>
          <w:sz w:val="24"/>
          <w:szCs w:val="24"/>
          <w:lang w:val="en-US"/>
          <w14:textFill>
            <w14:solidFill>
              <w14:schemeClr w14:val="tx1"/>
            </w14:solidFill>
          </w14:textFill>
        </w:rPr>
        <w:t>11</w:t>
      </w:r>
      <w:r>
        <w:rPr>
          <w:rFonts w:ascii="Times New Roman" w:hAnsi="Times New Roman" w:eastAsiaTheme="minorEastAsia"/>
          <w:b/>
          <w:bCs/>
          <w:color w:val="000000" w:themeColor="text1"/>
          <w:sz w:val="24"/>
          <w:szCs w:val="24"/>
          <w14:textFill>
            <w14:solidFill>
              <w14:schemeClr w14:val="tx1"/>
            </w14:solidFill>
          </w14:textFill>
        </w:rPr>
        <w:t>.2-1   施工期环境保护管理及环境监理工作内容</w:t>
      </w:r>
    </w:p>
    <w:tbl>
      <w:tblPr>
        <w:tblStyle w:val="87"/>
        <w:tblW w:w="9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84"/>
        <w:gridCol w:w="3549"/>
        <w:gridCol w:w="1185"/>
        <w:gridCol w:w="33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984"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防治对象</w:t>
            </w: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防治措施</w:t>
            </w:r>
          </w:p>
        </w:tc>
        <w:tc>
          <w:tcPr>
            <w:tcW w:w="118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环境管理</w:t>
            </w:r>
          </w:p>
        </w:tc>
        <w:tc>
          <w:tcPr>
            <w:tcW w:w="33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环境监理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84"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施工扬尘</w:t>
            </w: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施工场地按有关规定进行围挡</w:t>
            </w:r>
          </w:p>
        </w:tc>
        <w:tc>
          <w:tcPr>
            <w:tcW w:w="1185"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施工单位环保措施上墙，落实到人，做好施工场地环境管理和保洁工作</w:t>
            </w:r>
          </w:p>
        </w:tc>
        <w:tc>
          <w:tcPr>
            <w:tcW w:w="3377"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建设行政管理部门及环境管理部门进行定期检查，如违反《湖北省大气污染防治条例》，应进行处罚并整改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84"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建筑垃圾及时清运</w:t>
            </w:r>
          </w:p>
        </w:tc>
        <w:tc>
          <w:tcPr>
            <w:tcW w:w="1185"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377"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84"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施工噪声</w:t>
            </w: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禁止在休息日、节假日全天，及工作日</w:t>
            </w:r>
            <w:r>
              <w:rPr>
                <w:rFonts w:ascii="Times New Roman" w:hAnsi="Times New Roman" w:eastAsiaTheme="minorEastAsia"/>
                <w:color w:val="000000" w:themeColor="text1"/>
                <w:sz w:val="18"/>
                <w:szCs w:val="18"/>
                <w14:textFill>
                  <w14:solidFill>
                    <w14:schemeClr w14:val="tx1"/>
                  </w14:solidFill>
                </w14:textFill>
              </w:rPr>
              <w:t>12</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00~14</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00</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22</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00~6</w:t>
            </w:r>
            <w:r>
              <w:rPr>
                <w:rFonts w:ascii="Times New Roman" w:hAnsiTheme="minorEastAsia" w:eastAsiaTheme="minorEastAsia"/>
                <w:color w:val="000000" w:themeColor="text1"/>
                <w:sz w:val="18"/>
                <w:szCs w:val="18"/>
                <w14:textFill>
                  <w14:solidFill>
                    <w14:schemeClr w14:val="tx1"/>
                  </w14:solidFill>
                </w14:textFill>
              </w:rPr>
              <w:t>：</w:t>
            </w:r>
            <w:r>
              <w:rPr>
                <w:rFonts w:ascii="Times New Roman" w:hAnsi="Times New Roman" w:eastAsiaTheme="minorEastAsia"/>
                <w:color w:val="000000" w:themeColor="text1"/>
                <w:sz w:val="18"/>
                <w:szCs w:val="18"/>
                <w14:textFill>
                  <w14:solidFill>
                    <w14:schemeClr w14:val="tx1"/>
                  </w14:solidFill>
                </w14:textFill>
              </w:rPr>
              <w:t>00</w:t>
            </w:r>
            <w:r>
              <w:rPr>
                <w:rFonts w:ascii="Times New Roman" w:hAnsiTheme="minorEastAsia" w:eastAsiaTheme="minorEastAsia"/>
                <w:color w:val="000000" w:themeColor="text1"/>
                <w:sz w:val="18"/>
                <w:szCs w:val="18"/>
                <w14:textFill>
                  <w14:solidFill>
                    <w14:schemeClr w14:val="tx1"/>
                  </w14:solidFill>
                </w14:textFill>
              </w:rPr>
              <w:t>进行产生噪声污染的施工作业</w:t>
            </w:r>
          </w:p>
        </w:tc>
        <w:tc>
          <w:tcPr>
            <w:tcW w:w="1185"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377" w:type="dxa"/>
            <w:vMerge w:val="restart"/>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环保监理部门对夜间施工噪声进行监督检查，违反《中华人民共和国噪声污染防治法》，应进行处罚并整改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84"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规范施工单位的作业程序</w:t>
            </w:r>
          </w:p>
        </w:tc>
        <w:tc>
          <w:tcPr>
            <w:tcW w:w="1185"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377"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84"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加强施工人员环保意识</w:t>
            </w:r>
          </w:p>
        </w:tc>
        <w:tc>
          <w:tcPr>
            <w:tcW w:w="1185"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377"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984"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施工废水</w:t>
            </w: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施工人员生活污水应集中排入城市污水管网</w:t>
            </w:r>
          </w:p>
        </w:tc>
        <w:tc>
          <w:tcPr>
            <w:tcW w:w="1185" w:type="dxa"/>
            <w:vMerge w:val="continue"/>
            <w:vAlign w:val="center"/>
          </w:tcPr>
          <w:p>
            <w:pPr>
              <w:jc w:val="center"/>
              <w:rPr>
                <w:rFonts w:ascii="Times New Roman" w:hAnsi="Times New Roman" w:eastAsiaTheme="minorEastAsia"/>
                <w:color w:val="000000" w:themeColor="text1"/>
                <w:sz w:val="18"/>
                <w:szCs w:val="18"/>
                <w14:textFill>
                  <w14:solidFill>
                    <w14:schemeClr w14:val="tx1"/>
                  </w14:solidFill>
                </w14:textFill>
              </w:rPr>
            </w:pPr>
          </w:p>
        </w:tc>
        <w:tc>
          <w:tcPr>
            <w:tcW w:w="33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按照《中华人民共和国水污染防治法》执行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984"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建筑及生活垃圾</w:t>
            </w:r>
          </w:p>
        </w:tc>
        <w:tc>
          <w:tcPr>
            <w:tcW w:w="3549"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建筑垃圾及时清运，不能长期堆存，作到日产日清，车辆用毡布遮盖，防止沿途散落</w:t>
            </w:r>
          </w:p>
        </w:tc>
        <w:tc>
          <w:tcPr>
            <w:tcW w:w="1185"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渣土清运至指定地点填埋</w:t>
            </w:r>
          </w:p>
        </w:tc>
        <w:tc>
          <w:tcPr>
            <w:tcW w:w="3377" w:type="dxa"/>
            <w:vAlign w:val="center"/>
          </w:tcPr>
          <w:p>
            <w:pPr>
              <w:jc w:val="center"/>
              <w:rPr>
                <w:rFonts w:ascii="Times New Roman" w:hAnsi="Times New Roman" w:eastAsiaTheme="minorEastAsia"/>
                <w:color w:val="000000" w:themeColor="text1"/>
                <w:sz w:val="18"/>
                <w:szCs w:val="18"/>
                <w14:textFill>
                  <w14:solidFill>
                    <w14:schemeClr w14:val="tx1"/>
                  </w14:solidFill>
                </w14:textFill>
              </w:rPr>
            </w:pPr>
            <w:r>
              <w:rPr>
                <w:rFonts w:ascii="Times New Roman" w:hAnsiTheme="minorEastAsia" w:eastAsiaTheme="minorEastAsia"/>
                <w:color w:val="000000" w:themeColor="text1"/>
                <w:sz w:val="18"/>
                <w:szCs w:val="18"/>
                <w14:textFill>
                  <w14:solidFill>
                    <w14:schemeClr w14:val="tx1"/>
                  </w14:solidFill>
                </w14:textFill>
              </w:rPr>
              <w:t>参照《宜昌市城市建筑垃圾管理实施办法》执行</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873" w:name="_Toc24827"/>
      <w:bookmarkStart w:id="874" w:name="_Toc12035"/>
      <w:r>
        <w:rPr>
          <w:rFonts w:hint="default" w:ascii="Times New Roman" w:hAnsi="Times New Roman" w:eastAsia="黑体"/>
          <w:b/>
          <w:color w:val="000000" w:themeColor="text1"/>
          <w:kern w:val="0"/>
          <w:sz w:val="28"/>
          <w:szCs w:val="28"/>
          <w:lang w:val="en-US"/>
          <w14:textFill>
            <w14:solidFill>
              <w14:schemeClr w14:val="tx1"/>
            </w14:solidFill>
          </w14:textFill>
        </w:rPr>
        <w:t>11</w:t>
      </w:r>
      <w:r>
        <w:rPr>
          <w:rFonts w:hint="eastAsia" w:ascii="Times New Roman" w:hAnsi="Times New Roman" w:eastAsia="黑体"/>
          <w:b/>
          <w:color w:val="000000" w:themeColor="text1"/>
          <w:kern w:val="0"/>
          <w:sz w:val="28"/>
          <w:szCs w:val="28"/>
          <w14:textFill>
            <w14:solidFill>
              <w14:schemeClr w14:val="tx1"/>
            </w14:solidFill>
          </w14:textFill>
        </w:rPr>
        <w:t>.2.2运营期环境管理计划</w:t>
      </w:r>
      <w:bookmarkEnd w:id="873"/>
      <w:bookmarkEnd w:id="874"/>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根据国家环保政策、标准及环境监测要求，制定该项目运行期环境管理规章制度、各种污染物排放指标。</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对厂区内的公建设施给水管网进行定期维护和检修，确保公建设施的正常运行及管网畅通。</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废水进行达标处理，确保处理系统的正常运行。</w:t>
      </w:r>
    </w:p>
    <w:p>
      <w:pPr>
        <w:pStyle w:val="2"/>
        <w:snapToGrid w:val="0"/>
        <w:spacing w:after="0" w:line="5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生活垃圾和工业固废的收集管理应由专人负责，分类收集。</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75" w:name="_Toc6372"/>
      <w:r>
        <w:rPr>
          <w:rFonts w:hint="default" w:ascii="Times New Roman" w:hAnsi="Times New Roman" w:eastAsia="黑体"/>
          <w:b/>
          <w:color w:val="000000" w:themeColor="text1"/>
          <w:sz w:val="32"/>
          <w:szCs w:val="32"/>
          <w:lang w:val="en-US"/>
          <w14:textFill>
            <w14:solidFill>
              <w14:schemeClr w14:val="tx1"/>
            </w14:solidFill>
          </w14:textFill>
        </w:rPr>
        <w:t>11</w:t>
      </w:r>
      <w:r>
        <w:rPr>
          <w:rFonts w:ascii="Times New Roman" w:hAnsi="Times New Roman" w:eastAsia="黑体"/>
          <w:b/>
          <w:color w:val="000000" w:themeColor="text1"/>
          <w:sz w:val="32"/>
          <w:szCs w:val="32"/>
          <w14:textFill>
            <w14:solidFill>
              <w14:schemeClr w14:val="tx1"/>
            </w14:solidFill>
          </w14:textFill>
        </w:rPr>
        <w:t>.3</w:t>
      </w:r>
      <w:r>
        <w:rPr>
          <w:rFonts w:ascii="黑体" w:hAnsi="黑体" w:eastAsia="黑体"/>
          <w:b/>
          <w:color w:val="000000" w:themeColor="text1"/>
          <w:sz w:val="32"/>
          <w:szCs w:val="32"/>
          <w14:textFill>
            <w14:solidFill>
              <w14:schemeClr w14:val="tx1"/>
            </w14:solidFill>
          </w14:textFill>
        </w:rPr>
        <w:t>环境监测计划</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75"/>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bookmarkStart w:id="876" w:name="_Toc447535243"/>
      <w:bookmarkStart w:id="877" w:name="_Toc23283"/>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878" w:name="_Toc8015"/>
      <w:bookmarkStart w:id="879" w:name="_Toc26084"/>
      <w:r>
        <w:rPr>
          <w:rFonts w:hint="default" w:ascii="Times New Roman" w:hAnsi="Times New Roman" w:eastAsia="黑体"/>
          <w:b/>
          <w:color w:val="000000" w:themeColor="text1"/>
          <w:kern w:val="0"/>
          <w:sz w:val="28"/>
          <w:szCs w:val="28"/>
          <w:lang w:val="en-US"/>
          <w14:textFill>
            <w14:solidFill>
              <w14:schemeClr w14:val="tx1"/>
            </w14:solidFill>
          </w14:textFill>
        </w:rPr>
        <w:t>11</w:t>
      </w:r>
      <w:r>
        <w:rPr>
          <w:rFonts w:ascii="Times New Roman" w:hAnsi="Times New Roman" w:eastAsia="黑体"/>
          <w:b/>
          <w:color w:val="000000" w:themeColor="text1"/>
          <w:kern w:val="0"/>
          <w:sz w:val="28"/>
          <w:szCs w:val="28"/>
          <w14:textFill>
            <w14:solidFill>
              <w14:schemeClr w14:val="tx1"/>
            </w14:solidFill>
          </w14:textFill>
        </w:rPr>
        <w:t>.3.1</w:t>
      </w:r>
      <w:r>
        <w:rPr>
          <w:rFonts w:hint="eastAsia" w:ascii="Times New Roman" w:hAnsi="Times New Roman" w:eastAsia="黑体"/>
          <w:b/>
          <w:color w:val="000000" w:themeColor="text1"/>
          <w:kern w:val="0"/>
          <w:sz w:val="28"/>
          <w:szCs w:val="28"/>
          <w14:textFill>
            <w14:solidFill>
              <w14:schemeClr w14:val="tx1"/>
            </w14:solidFill>
          </w14:textFill>
        </w:rPr>
        <w:t>环境监测职责</w:t>
      </w:r>
      <w:bookmarkEnd w:id="876"/>
      <w:bookmarkEnd w:id="877"/>
      <w:bookmarkEnd w:id="878"/>
      <w:bookmarkEnd w:id="879"/>
    </w:p>
    <w:p>
      <w:pPr>
        <w:adjustRightInd w:val="0"/>
        <w:snapToGrid w:val="0"/>
        <w:spacing w:line="520" w:lineRule="exact"/>
        <w:ind w:firstLine="480" w:firstLineChars="200"/>
        <w:rPr>
          <w:rFonts w:ascii="Times New Roman" w:hAnsi="Times New Roman" w:eastAsiaTheme="minorEastAsia"/>
          <w:snapToGrid w:val="0"/>
          <w:color w:val="000000" w:themeColor="text1"/>
          <w:kern w:val="0"/>
          <w:sz w:val="24"/>
          <w14:textFill>
            <w14:solidFill>
              <w14:schemeClr w14:val="tx1"/>
            </w14:solidFill>
          </w14:textFill>
        </w:rPr>
      </w:pPr>
      <w:r>
        <w:rPr>
          <w:rFonts w:hint="eastAsia" w:ascii="Times New Roman" w:hAnsiTheme="minorEastAsia" w:eastAsiaTheme="minorEastAsia"/>
          <w:snapToGrid w:val="0"/>
          <w:color w:val="000000" w:themeColor="text1"/>
          <w:kern w:val="0"/>
          <w:sz w:val="24"/>
          <w14:textFill>
            <w14:solidFill>
              <w14:schemeClr w14:val="tx1"/>
            </w14:solidFill>
          </w14:textFill>
        </w:rPr>
        <w:t>（1）</w:t>
      </w:r>
      <w:r>
        <w:rPr>
          <w:rFonts w:ascii="Times New Roman" w:hAnsiTheme="minorEastAsia" w:eastAsiaTheme="minorEastAsia"/>
          <w:snapToGrid w:val="0"/>
          <w:color w:val="000000" w:themeColor="text1"/>
          <w:kern w:val="0"/>
          <w:sz w:val="24"/>
          <w14:textFill>
            <w14:solidFill>
              <w14:schemeClr w14:val="tx1"/>
            </w14:solidFill>
          </w14:textFill>
        </w:rPr>
        <w:t>制订企业环境监测计划与实施细则，定时进行各项常规环保例行监测，随时掌握企业环境变化状况；配合当地环保部门作好企业周边环境工作，为企业和区域环境管理提供可靠的基础资料。</w:t>
      </w:r>
    </w:p>
    <w:p>
      <w:pPr>
        <w:adjustRightInd w:val="0"/>
        <w:snapToGrid w:val="0"/>
        <w:spacing w:line="520" w:lineRule="exact"/>
        <w:ind w:firstLine="480" w:firstLineChars="200"/>
        <w:rPr>
          <w:rFonts w:ascii="Times New Roman" w:hAnsi="Times New Roman" w:eastAsiaTheme="minorEastAsia"/>
          <w:snapToGrid w:val="0"/>
          <w:color w:val="000000" w:themeColor="text1"/>
          <w:kern w:val="0"/>
          <w:sz w:val="24"/>
          <w14:textFill>
            <w14:solidFill>
              <w14:schemeClr w14:val="tx1"/>
            </w14:solidFill>
          </w14:textFill>
        </w:rPr>
      </w:pPr>
      <w:r>
        <w:rPr>
          <w:rFonts w:hint="eastAsia" w:ascii="Times New Roman" w:hAnsiTheme="minorEastAsia" w:eastAsiaTheme="minorEastAsia"/>
          <w:snapToGrid w:val="0"/>
          <w:color w:val="000000" w:themeColor="text1"/>
          <w:kern w:val="0"/>
          <w:sz w:val="24"/>
          <w14:textFill>
            <w14:solidFill>
              <w14:schemeClr w14:val="tx1"/>
            </w14:solidFill>
          </w14:textFill>
        </w:rPr>
        <w:t>（2）</w:t>
      </w:r>
      <w:r>
        <w:rPr>
          <w:rFonts w:ascii="Times New Roman" w:hAnsiTheme="minorEastAsia" w:eastAsiaTheme="minorEastAsia"/>
          <w:snapToGrid w:val="0"/>
          <w:color w:val="000000" w:themeColor="text1"/>
          <w:kern w:val="0"/>
          <w:sz w:val="24"/>
          <w14:textFill>
            <w14:solidFill>
              <w14:schemeClr w14:val="tx1"/>
            </w14:solidFill>
          </w14:textFill>
        </w:rPr>
        <w:t>建立完整的企业环境信息档案，对监测数据等信息进行综合分析和评价，为企业保持良好的环境质量状况向决策者提出合理化建议。</w:t>
      </w:r>
    </w:p>
    <w:p>
      <w:pPr>
        <w:adjustRightInd w:val="0"/>
        <w:snapToGrid w:val="0"/>
        <w:spacing w:line="520" w:lineRule="exact"/>
        <w:ind w:firstLine="480" w:firstLineChars="200"/>
        <w:rPr>
          <w:rFonts w:ascii="Times New Roman" w:hAnsi="Times New Roman" w:eastAsiaTheme="minorEastAsia"/>
          <w:snapToGrid w:val="0"/>
          <w:color w:val="000000" w:themeColor="text1"/>
          <w:kern w:val="0"/>
          <w:sz w:val="24"/>
          <w14:textFill>
            <w14:solidFill>
              <w14:schemeClr w14:val="tx1"/>
            </w14:solidFill>
          </w14:textFill>
        </w:rPr>
      </w:pPr>
      <w:r>
        <w:rPr>
          <w:rFonts w:hint="eastAsia" w:ascii="Times New Roman" w:hAnsiTheme="minorEastAsia" w:eastAsiaTheme="minorEastAsia"/>
          <w:snapToGrid w:val="0"/>
          <w:color w:val="000000" w:themeColor="text1"/>
          <w:kern w:val="0"/>
          <w:sz w:val="24"/>
          <w14:textFill>
            <w14:solidFill>
              <w14:schemeClr w14:val="tx1"/>
            </w14:solidFill>
          </w14:textFill>
        </w:rPr>
        <w:t>（3）</w:t>
      </w:r>
      <w:r>
        <w:rPr>
          <w:rFonts w:ascii="Times New Roman" w:hAnsiTheme="minorEastAsia" w:eastAsiaTheme="minorEastAsia"/>
          <w:snapToGrid w:val="0"/>
          <w:color w:val="000000" w:themeColor="text1"/>
          <w:kern w:val="0"/>
          <w:sz w:val="24"/>
          <w14:textFill>
            <w14:solidFill>
              <w14:schemeClr w14:val="tx1"/>
            </w14:solidFill>
          </w14:textFill>
        </w:rPr>
        <w:t>负责企业的突发性污染事故监测和处理等。</w:t>
      </w:r>
    </w:p>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880" w:name="_Toc5894"/>
      <w:bookmarkStart w:id="881" w:name="_Toc14365"/>
      <w:bookmarkStart w:id="882" w:name="_Toc447535244"/>
      <w:bookmarkStart w:id="883" w:name="_Toc31725"/>
      <w:r>
        <w:rPr>
          <w:rFonts w:hint="default" w:ascii="Times New Roman" w:hAnsi="Times New Roman" w:eastAsia="黑体"/>
          <w:b/>
          <w:color w:val="000000" w:themeColor="text1"/>
          <w:kern w:val="0"/>
          <w:sz w:val="28"/>
          <w:szCs w:val="28"/>
          <w:lang w:val="en-US"/>
          <w14:textFill>
            <w14:solidFill>
              <w14:schemeClr w14:val="tx1"/>
            </w14:solidFill>
          </w14:textFill>
        </w:rPr>
        <w:t>11</w:t>
      </w:r>
      <w:r>
        <w:rPr>
          <w:rFonts w:hint="eastAsia" w:ascii="Times New Roman" w:hAnsi="Times New Roman" w:eastAsia="黑体"/>
          <w:b/>
          <w:color w:val="000000" w:themeColor="text1"/>
          <w:kern w:val="0"/>
          <w:sz w:val="28"/>
          <w:szCs w:val="28"/>
          <w14:textFill>
            <w14:solidFill>
              <w14:schemeClr w14:val="tx1"/>
            </w14:solidFill>
          </w14:textFill>
        </w:rPr>
        <w:t>.3.2环境监测机构及环境监测任务</w:t>
      </w:r>
      <w:bookmarkEnd w:id="880"/>
      <w:bookmarkEnd w:id="881"/>
      <w:bookmarkEnd w:id="882"/>
      <w:bookmarkEnd w:id="883"/>
    </w:p>
    <w:p>
      <w:pPr>
        <w:adjustRightInd w:val="0"/>
        <w:snapToGrid w:val="0"/>
        <w:spacing w:line="520" w:lineRule="exact"/>
        <w:ind w:firstLine="48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厂区环境质量监测工作可委托有资质的环境监测单位承担。</w:t>
      </w:r>
      <w:r>
        <w:rPr>
          <w:rFonts w:hint="eastAsia" w:ascii="Times New Roman" w:hAnsiTheme="minorEastAsia" w:eastAsiaTheme="minorEastAsia"/>
          <w:color w:val="000000" w:themeColor="text1"/>
          <w:sz w:val="24"/>
          <w:szCs w:val="24"/>
          <w14:textFill>
            <w14:solidFill>
              <w14:schemeClr w14:val="tx1"/>
            </w14:solidFill>
          </w14:textFill>
        </w:rPr>
        <w:t>根据《排污许可证申请与核发技术规范 无机化学工业》（HJ1035-2019）确定本项目环境监测计划</w:t>
      </w:r>
      <w:r>
        <w:rPr>
          <w:rFonts w:ascii="Times New Roman" w:hAnsiTheme="minorEastAsia" w:eastAsiaTheme="minorEastAsia"/>
          <w:color w:val="000000" w:themeColor="text1"/>
          <w:sz w:val="24"/>
          <w:szCs w:val="24"/>
          <w14:textFill>
            <w14:solidFill>
              <w14:schemeClr w14:val="tx1"/>
            </w14:solidFill>
          </w14:textFill>
        </w:rPr>
        <w:t>见表</w:t>
      </w:r>
      <w:r>
        <w:rPr>
          <w:rFonts w:hint="default" w:ascii="Times New Roman" w:hAnsi="Times New Roman" w:eastAsiaTheme="minorEastAsia"/>
          <w:color w:val="000000" w:themeColor="text1"/>
          <w:sz w:val="24"/>
          <w:szCs w:val="24"/>
          <w:lang w:val="en-US"/>
          <w14:textFill>
            <w14:solidFill>
              <w14:schemeClr w14:val="tx1"/>
            </w14:solidFill>
          </w14:textFill>
        </w:rPr>
        <w:t>11</w:t>
      </w:r>
      <w:r>
        <w:rPr>
          <w:rFonts w:hint="eastAsia" w:ascii="Times New Roman" w:hAnsi="Times New Roman" w:eastAsiaTheme="minorEastAsia"/>
          <w:color w:val="000000" w:themeColor="text1"/>
          <w:sz w:val="24"/>
          <w:szCs w:val="24"/>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w:t>
      </w:r>
    </w:p>
    <w:p>
      <w:pPr>
        <w:adjustRightInd w:val="0"/>
        <w:snapToGrid w:val="0"/>
        <w:spacing w:line="520" w:lineRule="exact"/>
        <w:jc w:val="center"/>
        <w:rPr>
          <w:rFonts w:ascii="Times New Roman" w:hAnsiTheme="minorEastAsia" w:eastAsiaTheme="minorEastAsia"/>
          <w:b/>
          <w:color w:val="000000" w:themeColor="text1"/>
          <w:spacing w:val="-6"/>
          <w:sz w:val="24"/>
          <w:szCs w:val="24"/>
          <w14:textFill>
            <w14:solidFill>
              <w14:schemeClr w14:val="tx1"/>
            </w14:solidFill>
          </w14:textFill>
        </w:rPr>
      </w:pPr>
      <w:r>
        <w:rPr>
          <w:rFonts w:ascii="Times New Roman" w:hAnsiTheme="minorEastAsia" w:eastAsiaTheme="minorEastAsia"/>
          <w:b/>
          <w:color w:val="000000" w:themeColor="text1"/>
          <w:spacing w:val="-6"/>
          <w:sz w:val="24"/>
          <w:szCs w:val="24"/>
          <w14:textFill>
            <w14:solidFill>
              <w14:schemeClr w14:val="tx1"/>
            </w14:solidFill>
          </w14:textFill>
        </w:rPr>
        <w:t>表</w:t>
      </w:r>
      <w:r>
        <w:rPr>
          <w:rFonts w:hint="default" w:ascii="Times New Roman" w:hAnsi="Times New Roman" w:eastAsiaTheme="minorEastAsia"/>
          <w:b/>
          <w:color w:val="000000" w:themeColor="text1"/>
          <w:spacing w:val="-6"/>
          <w:sz w:val="24"/>
          <w:szCs w:val="24"/>
          <w:lang w:val="en-US"/>
          <w14:textFill>
            <w14:solidFill>
              <w14:schemeClr w14:val="tx1"/>
            </w14:solidFill>
          </w14:textFill>
        </w:rPr>
        <w:t>11</w:t>
      </w:r>
      <w:r>
        <w:rPr>
          <w:rFonts w:hint="eastAsia" w:ascii="Times New Roman" w:hAnsi="Times New Roman" w:eastAsiaTheme="minorEastAsia"/>
          <w:b/>
          <w:color w:val="000000" w:themeColor="text1"/>
          <w:spacing w:val="-6"/>
          <w:sz w:val="24"/>
          <w:szCs w:val="24"/>
          <w14:textFill>
            <w14:solidFill>
              <w14:schemeClr w14:val="tx1"/>
            </w14:solidFill>
          </w14:textFill>
        </w:rPr>
        <w:t>.3</w:t>
      </w:r>
      <w:r>
        <w:rPr>
          <w:rFonts w:ascii="Times New Roman" w:hAnsi="Times New Roman" w:eastAsiaTheme="minorEastAsia"/>
          <w:b/>
          <w:color w:val="000000" w:themeColor="text1"/>
          <w:spacing w:val="-6"/>
          <w:sz w:val="24"/>
          <w:szCs w:val="24"/>
          <w14:textFill>
            <w14:solidFill>
              <w14:schemeClr w14:val="tx1"/>
            </w14:solidFill>
          </w14:textFill>
        </w:rPr>
        <w:t>-</w:t>
      </w:r>
      <w:r>
        <w:rPr>
          <w:rFonts w:hint="eastAsia" w:ascii="Times New Roman" w:hAnsi="Times New Roman" w:eastAsiaTheme="minorEastAsia"/>
          <w:b/>
          <w:color w:val="000000" w:themeColor="text1"/>
          <w:spacing w:val="-6"/>
          <w:sz w:val="24"/>
          <w:szCs w:val="24"/>
          <w14:textFill>
            <w14:solidFill>
              <w14:schemeClr w14:val="tx1"/>
            </w14:solidFill>
          </w14:textFill>
        </w:rPr>
        <w:t>1</w:t>
      </w:r>
      <w:r>
        <w:rPr>
          <w:rFonts w:ascii="Times New Roman" w:hAnsi="Times New Roman" w:eastAsiaTheme="minorEastAsia"/>
          <w:b/>
          <w:color w:val="000000" w:themeColor="text1"/>
          <w:spacing w:val="-6"/>
          <w:sz w:val="24"/>
          <w:szCs w:val="24"/>
          <w14:textFill>
            <w14:solidFill>
              <w14:schemeClr w14:val="tx1"/>
            </w14:solidFill>
          </w14:textFill>
        </w:rPr>
        <w:t xml:space="preserve">   </w:t>
      </w:r>
      <w:r>
        <w:rPr>
          <w:rFonts w:hint="eastAsia" w:ascii="Times New Roman" w:hAnsiTheme="minorEastAsia" w:eastAsiaTheme="minorEastAsia"/>
          <w:b/>
          <w:color w:val="000000" w:themeColor="text1"/>
          <w:spacing w:val="-6"/>
          <w:sz w:val="24"/>
          <w:szCs w:val="24"/>
          <w14:textFill>
            <w14:solidFill>
              <w14:schemeClr w14:val="tx1"/>
            </w14:solidFill>
          </w14:textFill>
        </w:rPr>
        <w:t>项目环境监测计划一览表</w:t>
      </w:r>
    </w:p>
    <w:tbl>
      <w:tblPr>
        <w:tblStyle w:val="87"/>
        <w:tblW w:w="898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230"/>
        <w:gridCol w:w="1575"/>
        <w:gridCol w:w="953"/>
        <w:gridCol w:w="1223"/>
        <w:gridCol w:w="28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117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污染源名称</w:t>
            </w: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监测项目</w:t>
            </w:r>
          </w:p>
        </w:tc>
        <w:tc>
          <w:tcPr>
            <w:tcW w:w="157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监测点位置</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监测点数</w:t>
            </w:r>
          </w:p>
        </w:tc>
        <w:tc>
          <w:tcPr>
            <w:tcW w:w="122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监测频率</w:t>
            </w:r>
          </w:p>
        </w:tc>
        <w:tc>
          <w:tcPr>
            <w:tcW w:w="282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控制指标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1177" w:type="dxa"/>
            <w:vMerge w:val="restart"/>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废气</w:t>
            </w: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氟化物、HCl</w:t>
            </w:r>
          </w:p>
        </w:tc>
        <w:tc>
          <w:tcPr>
            <w:tcW w:w="157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呼吸废气排放口DA001</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1个点</w:t>
            </w:r>
          </w:p>
        </w:tc>
        <w:tc>
          <w:tcPr>
            <w:tcW w:w="1223" w:type="dxa"/>
            <w:tcBorders>
              <w:tl2br w:val="nil"/>
              <w:tr2bl w:val="nil"/>
            </w:tcBorders>
            <w:vAlign w:val="center"/>
          </w:tcPr>
          <w:p>
            <w:pPr>
              <w:jc w:val="center"/>
              <w:rPr>
                <w:rFonts w:ascii="Times New Roman" w:hAnsi="Times New Roman"/>
                <w:color w:val="000000" w:themeColor="text1"/>
                <w:kern w:val="24"/>
                <w:sz w:val="18"/>
                <w:szCs w:val="18"/>
                <w14:textFill>
                  <w14:solidFill>
                    <w14:schemeClr w14:val="tx1"/>
                  </w14:solidFill>
                </w14:textFill>
              </w:rPr>
            </w:pPr>
            <w:r>
              <w:rPr>
                <w:rFonts w:ascii="Times New Roman" w:hAnsi="Times New Roman"/>
                <w:color w:val="000000" w:themeColor="text1"/>
                <w:kern w:val="24"/>
                <w:sz w:val="18"/>
                <w:szCs w:val="18"/>
                <w14:textFill>
                  <w14:solidFill>
                    <w14:schemeClr w14:val="tx1"/>
                  </w14:solidFill>
                </w14:textFill>
              </w:rPr>
              <w:t>1次/</w:t>
            </w:r>
            <w:r>
              <w:rPr>
                <w:rFonts w:hint="eastAsia" w:ascii="Times New Roman" w:hAnsi="Times New Roman"/>
                <w:color w:val="000000" w:themeColor="text1"/>
                <w:kern w:val="24"/>
                <w:sz w:val="18"/>
                <w:szCs w:val="18"/>
                <w14:textFill>
                  <w14:solidFill>
                    <w14:schemeClr w14:val="tx1"/>
                  </w14:solidFill>
                </w14:textFill>
              </w:rPr>
              <w:t>季度</w:t>
            </w:r>
          </w:p>
        </w:tc>
        <w:tc>
          <w:tcPr>
            <w:tcW w:w="2826" w:type="dxa"/>
            <w:vMerge w:val="restart"/>
            <w:tcBorders>
              <w:tl2br w:val="nil"/>
              <w:tr2bl w:val="nil"/>
            </w:tcBorders>
            <w:vAlign w:val="center"/>
          </w:tcPr>
          <w:p>
            <w:pPr>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《无机化学工业污染物排放标准》（GB31573-2015）表</w:t>
            </w:r>
            <w:r>
              <w:rPr>
                <w:rFonts w:hint="eastAsia" w:ascii="Times New Roman" w:hAnsi="Times New Roman"/>
                <w:color w:val="000000" w:themeColor="text1"/>
                <w:sz w:val="18"/>
                <w:szCs w:val="18"/>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jc w:val="center"/>
        </w:trPr>
        <w:tc>
          <w:tcPr>
            <w:tcW w:w="1177"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颗粒物</w:t>
            </w:r>
          </w:p>
        </w:tc>
        <w:tc>
          <w:tcPr>
            <w:tcW w:w="1575" w:type="dxa"/>
            <w:tcBorders>
              <w:tl2br w:val="nil"/>
              <w:tr2bl w:val="nil"/>
            </w:tcBorders>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投料废气排放口</w:t>
            </w:r>
            <w:r>
              <w:rPr>
                <w:rFonts w:hint="eastAsia" w:ascii="Times New Roman" w:hAnsi="Times New Roman"/>
                <w:color w:val="000000" w:themeColor="text1"/>
                <w:sz w:val="18"/>
                <w:szCs w:val="18"/>
                <w14:textFill>
                  <w14:solidFill>
                    <w14:schemeClr w14:val="tx1"/>
                  </w14:solidFill>
                </w14:textFill>
              </w:rPr>
              <w:t>DA002</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1个点</w:t>
            </w:r>
          </w:p>
        </w:tc>
        <w:tc>
          <w:tcPr>
            <w:tcW w:w="1223" w:type="dxa"/>
            <w:tcBorders>
              <w:tl2br w:val="nil"/>
              <w:tr2bl w:val="nil"/>
            </w:tcBorders>
            <w:vAlign w:val="center"/>
          </w:tcPr>
          <w:p>
            <w:pPr>
              <w:jc w:val="center"/>
              <w:rPr>
                <w:rFonts w:ascii="Times New Roman" w:hAnsi="Times New Roman"/>
                <w:color w:val="000000" w:themeColor="text1"/>
                <w:kern w:val="24"/>
                <w:sz w:val="18"/>
                <w:szCs w:val="18"/>
                <w14:textFill>
                  <w14:solidFill>
                    <w14:schemeClr w14:val="tx1"/>
                  </w14:solidFill>
                </w14:textFill>
              </w:rPr>
            </w:pPr>
            <w:r>
              <w:rPr>
                <w:rFonts w:ascii="Times New Roman" w:hAnsi="Times New Roman"/>
                <w:color w:val="000000" w:themeColor="text1"/>
                <w:kern w:val="24"/>
                <w:sz w:val="18"/>
                <w:szCs w:val="18"/>
                <w14:textFill>
                  <w14:solidFill>
                    <w14:schemeClr w14:val="tx1"/>
                  </w14:solidFill>
                </w14:textFill>
              </w:rPr>
              <w:t>1次/</w:t>
            </w:r>
            <w:r>
              <w:rPr>
                <w:rFonts w:hint="eastAsia" w:ascii="Times New Roman" w:hAnsi="Times New Roman"/>
                <w:color w:val="000000" w:themeColor="text1"/>
                <w:kern w:val="24"/>
                <w:sz w:val="18"/>
                <w:szCs w:val="18"/>
                <w14:textFill>
                  <w14:solidFill>
                    <w14:schemeClr w14:val="tx1"/>
                  </w14:solidFill>
                </w14:textFill>
              </w:rPr>
              <w:t>季度</w:t>
            </w:r>
          </w:p>
        </w:tc>
        <w:tc>
          <w:tcPr>
            <w:tcW w:w="2826"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1177"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颗粒物</w:t>
            </w:r>
          </w:p>
        </w:tc>
        <w:tc>
          <w:tcPr>
            <w:tcW w:w="157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烘干废气排放口</w:t>
            </w:r>
            <w:r>
              <w:rPr>
                <w:rFonts w:hint="eastAsia" w:ascii="Times New Roman" w:hAnsi="Times New Roman"/>
                <w:color w:val="000000" w:themeColor="text1"/>
                <w:sz w:val="18"/>
                <w:szCs w:val="18"/>
                <w14:textFill>
                  <w14:solidFill>
                    <w14:schemeClr w14:val="tx1"/>
                  </w14:solidFill>
                </w14:textFill>
              </w:rPr>
              <w:t>DA003</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1个点</w:t>
            </w:r>
          </w:p>
        </w:tc>
        <w:tc>
          <w:tcPr>
            <w:tcW w:w="1223" w:type="dxa"/>
            <w:tcBorders>
              <w:tl2br w:val="nil"/>
              <w:tr2bl w:val="nil"/>
            </w:tcBorders>
            <w:vAlign w:val="center"/>
          </w:tcPr>
          <w:p>
            <w:pPr>
              <w:jc w:val="center"/>
              <w:rPr>
                <w:rFonts w:ascii="Times New Roman" w:hAnsi="Times New Roman"/>
                <w:color w:val="000000" w:themeColor="text1"/>
                <w:kern w:val="24"/>
                <w:sz w:val="18"/>
                <w:szCs w:val="18"/>
                <w14:textFill>
                  <w14:solidFill>
                    <w14:schemeClr w14:val="tx1"/>
                  </w14:solidFill>
                </w14:textFill>
              </w:rPr>
            </w:pPr>
            <w:r>
              <w:rPr>
                <w:rFonts w:ascii="Times New Roman" w:hAnsi="Times New Roman"/>
                <w:color w:val="000000" w:themeColor="text1"/>
                <w:kern w:val="24"/>
                <w:sz w:val="18"/>
                <w:szCs w:val="18"/>
                <w14:textFill>
                  <w14:solidFill>
                    <w14:schemeClr w14:val="tx1"/>
                  </w14:solidFill>
                </w14:textFill>
              </w:rPr>
              <w:t>1次/</w:t>
            </w:r>
            <w:r>
              <w:rPr>
                <w:rFonts w:hint="eastAsia" w:ascii="Times New Roman" w:hAnsi="Times New Roman"/>
                <w:color w:val="000000" w:themeColor="text1"/>
                <w:kern w:val="24"/>
                <w:sz w:val="18"/>
                <w:szCs w:val="18"/>
                <w14:textFill>
                  <w14:solidFill>
                    <w14:schemeClr w14:val="tx1"/>
                  </w14:solidFill>
                </w14:textFill>
              </w:rPr>
              <w:t>季度</w:t>
            </w:r>
          </w:p>
        </w:tc>
        <w:tc>
          <w:tcPr>
            <w:tcW w:w="2826"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1177" w:type="dxa"/>
            <w:vMerge w:val="continue"/>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lang w:val="en-GB"/>
                <w14:textFill>
                  <w14:solidFill>
                    <w14:schemeClr w14:val="tx1"/>
                  </w14:solidFill>
                </w14:textFill>
              </w:rPr>
              <w:t>无组织颗粒物</w:t>
            </w:r>
          </w:p>
        </w:tc>
        <w:tc>
          <w:tcPr>
            <w:tcW w:w="157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厂界上风向及下风向边界</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4个点</w:t>
            </w:r>
          </w:p>
        </w:tc>
        <w:tc>
          <w:tcPr>
            <w:tcW w:w="1223" w:type="dxa"/>
            <w:tcBorders>
              <w:tl2br w:val="nil"/>
              <w:tr2bl w:val="nil"/>
            </w:tcBorders>
            <w:vAlign w:val="center"/>
          </w:tcPr>
          <w:p>
            <w:pPr>
              <w:jc w:val="center"/>
              <w:rPr>
                <w:rFonts w:ascii="Times New Roman" w:hAnsi="Times New Roman"/>
                <w:color w:val="000000" w:themeColor="text1"/>
                <w:kern w:val="24"/>
                <w:sz w:val="18"/>
                <w:szCs w:val="18"/>
                <w14:textFill>
                  <w14:solidFill>
                    <w14:schemeClr w14:val="tx1"/>
                  </w14:solidFill>
                </w14:textFill>
              </w:rPr>
            </w:pPr>
            <w:r>
              <w:rPr>
                <w:rFonts w:ascii="Times New Roman" w:hAnsi="Times New Roman"/>
                <w:color w:val="000000" w:themeColor="text1"/>
                <w:kern w:val="24"/>
                <w:sz w:val="18"/>
                <w:szCs w:val="18"/>
                <w14:textFill>
                  <w14:solidFill>
                    <w14:schemeClr w14:val="tx1"/>
                  </w14:solidFill>
                </w14:textFill>
              </w:rPr>
              <w:t>1次/</w:t>
            </w:r>
            <w:r>
              <w:rPr>
                <w:rFonts w:hint="eastAsia" w:ascii="Times New Roman" w:hAnsi="Times New Roman"/>
                <w:color w:val="000000" w:themeColor="text1"/>
                <w:kern w:val="24"/>
                <w:sz w:val="18"/>
                <w:szCs w:val="18"/>
                <w14:textFill>
                  <w14:solidFill>
                    <w14:schemeClr w14:val="tx1"/>
                  </w14:solidFill>
                </w14:textFill>
              </w:rPr>
              <w:t>半年</w:t>
            </w:r>
          </w:p>
        </w:tc>
        <w:tc>
          <w:tcPr>
            <w:tcW w:w="282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《大气污染物综合排放标准》（GB16297-1996）</w:t>
            </w:r>
            <w:r>
              <w:rPr>
                <w:rFonts w:hint="eastAsia" w:ascii="Times New Roman" w:hAnsi="Times New Roman"/>
                <w:color w:val="000000" w:themeColor="text1"/>
                <w:sz w:val="18"/>
                <w:szCs w:val="18"/>
                <w14:textFill>
                  <w14:solidFill>
                    <w14:schemeClr w14:val="tx1"/>
                  </w14:solidFill>
                </w14:textFill>
              </w:rPr>
              <w:t>表2</w:t>
            </w:r>
            <w:r>
              <w:rPr>
                <w:rFonts w:ascii="Times New Roman" w:hAnsi="Times New Roman"/>
                <w:color w:val="000000" w:themeColor="text1"/>
                <w:sz w:val="18"/>
                <w:szCs w:val="18"/>
                <w14:textFill>
                  <w14:solidFill>
                    <w14:schemeClr w14:val="tx1"/>
                  </w14:solidFill>
                </w14:textFill>
              </w:rPr>
              <w:t>中无组织排放监控浓度限值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8" w:hRule="atLeast"/>
          <w:jc w:val="center"/>
        </w:trPr>
        <w:tc>
          <w:tcPr>
            <w:tcW w:w="117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废水</w:t>
            </w: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COD、SS、BOD</w:t>
            </w:r>
            <w:r>
              <w:rPr>
                <w:rFonts w:ascii="Times New Roman" w:hAnsi="Times New Roman"/>
                <w:color w:val="000000" w:themeColor="text1"/>
                <w:sz w:val="18"/>
                <w:szCs w:val="18"/>
                <w:vertAlign w:val="subscript"/>
                <w14:textFill>
                  <w14:solidFill>
                    <w14:schemeClr w14:val="tx1"/>
                  </w14:solidFill>
                </w14:textFill>
              </w:rPr>
              <w:t>5</w:t>
            </w:r>
            <w:r>
              <w:rPr>
                <w:rFonts w:ascii="Times New Roman" w:hAnsi="Times New Roman"/>
                <w:color w:val="000000" w:themeColor="text1"/>
                <w:sz w:val="18"/>
                <w:szCs w:val="18"/>
                <w14:textFill>
                  <w14:solidFill>
                    <w14:schemeClr w14:val="tx1"/>
                  </w14:solidFill>
                </w14:textFill>
              </w:rPr>
              <w:t>、NH</w:t>
            </w:r>
            <w:r>
              <w:rPr>
                <w:rFonts w:ascii="Times New Roman" w:hAnsi="Times New Roman"/>
                <w:color w:val="000000" w:themeColor="text1"/>
                <w:sz w:val="18"/>
                <w:szCs w:val="18"/>
                <w:vertAlign w:val="sub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-N、总磷</w:t>
            </w:r>
          </w:p>
        </w:tc>
        <w:tc>
          <w:tcPr>
            <w:tcW w:w="157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化粪池出口</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1个点</w:t>
            </w:r>
          </w:p>
        </w:tc>
        <w:tc>
          <w:tcPr>
            <w:tcW w:w="1223" w:type="dxa"/>
            <w:tcBorders>
              <w:tl2br w:val="nil"/>
              <w:tr2bl w:val="nil"/>
            </w:tcBorders>
            <w:vAlign w:val="center"/>
          </w:tcPr>
          <w:p>
            <w:pPr>
              <w:jc w:val="center"/>
              <w:rPr>
                <w:rFonts w:ascii="Times New Roman" w:hAnsi="Times New Roman"/>
                <w:color w:val="000000" w:themeColor="text1"/>
                <w:kern w:val="24"/>
                <w:sz w:val="18"/>
                <w:szCs w:val="18"/>
                <w14:textFill>
                  <w14:solidFill>
                    <w14:schemeClr w14:val="tx1"/>
                  </w14:solidFill>
                </w14:textFill>
              </w:rPr>
            </w:pPr>
            <w:r>
              <w:rPr>
                <w:rFonts w:ascii="Times New Roman" w:hAnsi="Times New Roman"/>
                <w:color w:val="000000" w:themeColor="text1"/>
                <w:kern w:val="24"/>
                <w:sz w:val="18"/>
                <w:szCs w:val="18"/>
                <w14:textFill>
                  <w14:solidFill>
                    <w14:schemeClr w14:val="tx1"/>
                  </w14:solidFill>
                </w14:textFill>
              </w:rPr>
              <w:t>1次/半年</w:t>
            </w:r>
          </w:p>
        </w:tc>
        <w:tc>
          <w:tcPr>
            <w:tcW w:w="2826" w:type="dxa"/>
            <w:tcBorders>
              <w:tl2br w:val="nil"/>
              <w:tr2bl w:val="nil"/>
            </w:tcBorders>
            <w:vAlign w:val="center"/>
          </w:tcPr>
          <w:p>
            <w:pPr>
              <w:pStyle w:val="2038"/>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《污水综合排放标准》</w:t>
            </w:r>
          </w:p>
          <w:p>
            <w:pPr>
              <w:jc w:val="center"/>
              <w:rPr>
                <w:rFonts w:ascii="Times New Roman" w:hAnsi="Times New Roman"/>
                <w:color w:val="000000" w:themeColor="text1"/>
                <w:kern w:val="24"/>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(GB8978-1996)中三级标准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117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厂界</w:t>
            </w:r>
          </w:p>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噪声</w:t>
            </w: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Leq(A)</w:t>
            </w:r>
          </w:p>
        </w:tc>
        <w:tc>
          <w:tcPr>
            <w:tcW w:w="157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场界四周</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4个点</w:t>
            </w:r>
          </w:p>
        </w:tc>
        <w:tc>
          <w:tcPr>
            <w:tcW w:w="122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kern w:val="24"/>
                <w:sz w:val="18"/>
                <w:szCs w:val="18"/>
                <w14:textFill>
                  <w14:solidFill>
                    <w14:schemeClr w14:val="tx1"/>
                  </w14:solidFill>
                </w14:textFill>
              </w:rPr>
              <w:t>1次/季度</w:t>
            </w:r>
          </w:p>
        </w:tc>
        <w:tc>
          <w:tcPr>
            <w:tcW w:w="282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《工业企业厂界环境噪声排放标准》（GB12348-2008）3类标准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1177"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地下水</w:t>
            </w:r>
          </w:p>
        </w:tc>
        <w:tc>
          <w:tcPr>
            <w:tcW w:w="1230"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pH、</w:t>
            </w:r>
            <w:r>
              <w:rPr>
                <w:rFonts w:hint="eastAsia" w:ascii="Times New Roman" w:hAnsi="Times New Roman"/>
                <w:color w:val="000000" w:themeColor="text1"/>
                <w:sz w:val="18"/>
                <w:szCs w:val="18"/>
                <w14:textFill>
                  <w14:solidFill>
                    <w14:schemeClr w14:val="tx1"/>
                  </w14:solidFill>
                </w14:textFill>
              </w:rPr>
              <w:t>氟化物</w:t>
            </w:r>
          </w:p>
        </w:tc>
        <w:tc>
          <w:tcPr>
            <w:tcW w:w="1575"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厂区内</w:t>
            </w:r>
          </w:p>
        </w:tc>
        <w:tc>
          <w:tcPr>
            <w:tcW w:w="953"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1个点</w:t>
            </w:r>
          </w:p>
        </w:tc>
        <w:tc>
          <w:tcPr>
            <w:tcW w:w="1223" w:type="dxa"/>
            <w:tcBorders>
              <w:tl2br w:val="nil"/>
              <w:tr2bl w:val="nil"/>
            </w:tcBorders>
            <w:vAlign w:val="center"/>
          </w:tcPr>
          <w:p>
            <w:pPr>
              <w:jc w:val="center"/>
              <w:rPr>
                <w:rFonts w:ascii="Times New Roman" w:hAnsi="Times New Roman"/>
                <w:color w:val="000000" w:themeColor="text1"/>
                <w:kern w:val="24"/>
                <w:sz w:val="18"/>
                <w:szCs w:val="18"/>
                <w14:textFill>
                  <w14:solidFill>
                    <w14:schemeClr w14:val="tx1"/>
                  </w14:solidFill>
                </w14:textFill>
              </w:rPr>
            </w:pPr>
            <w:r>
              <w:rPr>
                <w:rFonts w:ascii="Times New Roman" w:hAnsi="Times New Roman"/>
                <w:color w:val="000000" w:themeColor="text1"/>
                <w:kern w:val="24"/>
                <w:sz w:val="18"/>
                <w:szCs w:val="18"/>
                <w14:textFill>
                  <w14:solidFill>
                    <w14:schemeClr w14:val="tx1"/>
                  </w14:solidFill>
                </w14:textFill>
              </w:rPr>
              <w:t>1次/年</w:t>
            </w:r>
          </w:p>
        </w:tc>
        <w:tc>
          <w:tcPr>
            <w:tcW w:w="2826" w:type="dxa"/>
            <w:tcBorders>
              <w:tl2br w:val="nil"/>
              <w:tr2bl w:val="nil"/>
            </w:tcBorders>
            <w:vAlign w:val="center"/>
          </w:tcPr>
          <w:p>
            <w:pPr>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《地下水质量标准》（GB/T14848-2017）Ⅲ类标准</w:t>
            </w:r>
          </w:p>
        </w:tc>
      </w:tr>
    </w:tbl>
    <w:p>
      <w:pPr>
        <w:pStyle w:val="380"/>
        <w:adjustRightInd w:val="0"/>
        <w:snapToGrid w:val="0"/>
        <w:spacing w:before="48" w:beforeLines="20" w:after="48" w:afterLines="20" w:line="520" w:lineRule="exact"/>
        <w:ind w:firstLine="0" w:firstLineChars="0"/>
        <w:jc w:val="left"/>
        <w:outlineLvl w:val="2"/>
        <w:rPr>
          <w:rFonts w:ascii="Times New Roman" w:hAnsi="Times New Roman" w:eastAsia="黑体"/>
          <w:b/>
          <w:color w:val="000000" w:themeColor="text1"/>
          <w:kern w:val="0"/>
          <w:sz w:val="28"/>
          <w:szCs w:val="28"/>
          <w14:textFill>
            <w14:solidFill>
              <w14:schemeClr w14:val="tx1"/>
            </w14:solidFill>
          </w14:textFill>
        </w:rPr>
      </w:pPr>
      <w:bookmarkStart w:id="884" w:name="_Toc1538"/>
      <w:bookmarkStart w:id="885" w:name="_Toc11239"/>
      <w:r>
        <w:rPr>
          <w:rFonts w:hint="default" w:ascii="Times New Roman" w:hAnsi="Times New Roman" w:eastAsia="黑体"/>
          <w:b/>
          <w:color w:val="000000" w:themeColor="text1"/>
          <w:kern w:val="0"/>
          <w:sz w:val="28"/>
          <w:szCs w:val="28"/>
          <w:lang w:val="en-US"/>
          <w14:textFill>
            <w14:solidFill>
              <w14:schemeClr w14:val="tx1"/>
            </w14:solidFill>
          </w14:textFill>
        </w:rPr>
        <w:t>11</w:t>
      </w:r>
      <w:r>
        <w:rPr>
          <w:rFonts w:hint="eastAsia" w:ascii="Times New Roman" w:hAnsi="Times New Roman" w:eastAsia="黑体"/>
          <w:b/>
          <w:color w:val="000000" w:themeColor="text1"/>
          <w:kern w:val="0"/>
          <w:sz w:val="28"/>
          <w:szCs w:val="28"/>
          <w14:textFill>
            <w14:solidFill>
              <w14:schemeClr w14:val="tx1"/>
            </w14:solidFill>
          </w14:textFill>
        </w:rPr>
        <w:t>.3.3 排污许可管理要求</w:t>
      </w:r>
      <w:bookmarkEnd w:id="884"/>
      <w:bookmarkEnd w:id="885"/>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根据《关于做好环境影响评价制度与排污许可制衔接相关工作的通知》（环办环评[2017]84号），提出：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pPr>
        <w:adjustRightInd w:val="0"/>
        <w:snapToGrid w:val="0"/>
        <w:spacing w:line="520" w:lineRule="exact"/>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建设项目发生实际排污行为之前，排污单位应当按照国家环境保护相关法律法规以及排污许可证申请与核发技术规范要求申请排污许可证，不得无证排污或不按证排污。排污许可证执行报告、台账记录以及自行监测执行情况等应作为开展建设项目环境影响后评价的重要依据。</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886" w:name="_Toc2194"/>
      <w:bookmarkStart w:id="887" w:name="_Toc33697276"/>
      <w:bookmarkStart w:id="888" w:name="_Toc13763"/>
      <w:bookmarkStart w:id="889" w:name="_Toc18982"/>
      <w:bookmarkStart w:id="890" w:name="_Toc244314104"/>
      <w:bookmarkStart w:id="891" w:name="_Toc243738879"/>
      <w:bookmarkStart w:id="892" w:name="_Toc157850454"/>
      <w:bookmarkStart w:id="893" w:name="_Toc264015583"/>
      <w:bookmarkStart w:id="894" w:name="_Toc303177765"/>
      <w:bookmarkStart w:id="895" w:name="_Toc395714566"/>
      <w:bookmarkStart w:id="896" w:name="_Toc161400563"/>
      <w:bookmarkStart w:id="897" w:name="_Toc156729286"/>
      <w:bookmarkStart w:id="898" w:name="_Toc161646441"/>
      <w:bookmarkStart w:id="899" w:name="_Toc13833"/>
      <w:bookmarkStart w:id="900" w:name="_Toc447535246"/>
      <w:bookmarkStart w:id="901" w:name="_Toc32236"/>
      <w:bookmarkStart w:id="902" w:name="_Toc156746169"/>
      <w:bookmarkStart w:id="903" w:name="_Toc288572204"/>
      <w:bookmarkStart w:id="904" w:name="_Toc161397136"/>
      <w:r>
        <w:rPr>
          <w:rFonts w:hint="default" w:ascii="Times New Roman" w:hAnsi="Times New Roman" w:eastAsia="黑体"/>
          <w:b/>
          <w:color w:val="000000" w:themeColor="text1"/>
          <w:sz w:val="32"/>
          <w:szCs w:val="32"/>
          <w:lang w:val="en-US"/>
          <w14:textFill>
            <w14:solidFill>
              <w14:schemeClr w14:val="tx1"/>
            </w14:solidFill>
          </w14:textFill>
        </w:rPr>
        <w:t>11</w:t>
      </w:r>
      <w:r>
        <w:rPr>
          <w:rFonts w:ascii="Times New Roman" w:hAnsi="Times New Roman" w:eastAsia="黑体"/>
          <w:b/>
          <w:color w:val="000000" w:themeColor="text1"/>
          <w:sz w:val="32"/>
          <w:szCs w:val="32"/>
          <w14:textFill>
            <w14:solidFill>
              <w14:schemeClr w14:val="tx1"/>
            </w14:solidFill>
          </w14:textFill>
        </w:rPr>
        <w:t>.4</w:t>
      </w:r>
      <w:r>
        <w:rPr>
          <w:rFonts w:ascii="黑体" w:hAnsi="黑体" w:eastAsia="黑体"/>
          <w:b/>
          <w:color w:val="000000" w:themeColor="text1"/>
          <w:sz w:val="32"/>
          <w:szCs w:val="32"/>
          <w14:textFill>
            <w14:solidFill>
              <w14:schemeClr w14:val="tx1"/>
            </w14:solidFill>
          </w14:textFill>
        </w:rPr>
        <w:t>排污口规范化</w:t>
      </w:r>
      <w:bookmarkEnd w:id="886"/>
      <w:bookmarkEnd w:id="887"/>
      <w:bookmarkEnd w:id="888"/>
      <w:r>
        <w:rPr>
          <w:rFonts w:ascii="黑体" w:hAnsi="黑体" w:eastAsia="黑体"/>
          <w:b/>
          <w:color w:val="000000" w:themeColor="text1"/>
          <w:sz w:val="32"/>
          <w:szCs w:val="32"/>
          <w14:textFill>
            <w14:solidFill>
              <w14:schemeClr w14:val="tx1"/>
            </w14:solidFill>
          </w14:textFill>
        </w:rPr>
        <w:t>设置</w:t>
      </w:r>
      <w:bookmarkEnd w:id="889"/>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根据</w:t>
      </w:r>
      <w:r>
        <w:rPr>
          <w:rFonts w:hint="eastAsia" w:ascii="Times New Roman" w:hAnsiTheme="minorEastAsia" w:eastAsiaTheme="minorEastAsia"/>
          <w:color w:val="000000" w:themeColor="text1"/>
          <w:sz w:val="24"/>
          <w:szCs w:val="24"/>
          <w14:textFill>
            <w14:solidFill>
              <w14:schemeClr w14:val="tx1"/>
            </w14:solidFill>
          </w14:textFill>
        </w:rPr>
        <w:t>《排污口规范化整治技术要求(试行)》（</w:t>
      </w:r>
      <w:r>
        <w:rPr>
          <w:rFonts w:ascii="Times New Roman" w:hAnsiTheme="minorEastAsia" w:eastAsiaTheme="minorEastAsia"/>
          <w:color w:val="000000" w:themeColor="text1"/>
          <w:sz w:val="24"/>
          <w:szCs w:val="24"/>
          <w14:textFill>
            <w14:solidFill>
              <w14:schemeClr w14:val="tx1"/>
            </w14:solidFill>
          </w14:textFill>
        </w:rPr>
        <w:t>环监（</w:t>
      </w:r>
      <w:r>
        <w:rPr>
          <w:rFonts w:ascii="Times New Roman" w:hAnsi="Times New Roman" w:eastAsiaTheme="minorEastAsia"/>
          <w:color w:val="000000" w:themeColor="text1"/>
          <w:sz w:val="24"/>
          <w:szCs w:val="24"/>
          <w14:textFill>
            <w14:solidFill>
              <w14:schemeClr w14:val="tx1"/>
            </w14:solidFill>
          </w14:textFill>
        </w:rPr>
        <w:t>1996</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470</w:t>
      </w:r>
      <w:r>
        <w:rPr>
          <w:rFonts w:ascii="Times New Roman" w:hAnsiTheme="minorEastAsia" w:eastAsiaTheme="minorEastAsia"/>
          <w:color w:val="000000" w:themeColor="text1"/>
          <w:sz w:val="24"/>
          <w:szCs w:val="24"/>
          <w14:textFill>
            <w14:solidFill>
              <w14:schemeClr w14:val="tx1"/>
            </w14:solidFill>
          </w14:textFill>
        </w:rPr>
        <w:t>号</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文件的要求，企业应实行排放口规范化管理，本次评价就建设项目排放口提出如下建议：</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、废气</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有组织排放废气</w:t>
      </w:r>
      <w:r>
        <w:rPr>
          <w:rFonts w:hint="eastAsia"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对其排气筒数量、高度进行编号并设置标志。</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排气筒应设置便于人工采样、监测的采样口，采样口的设置应符合《污染源监测技术规范》要求。</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、废水</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按照清污分流、雨污分流的原则，只设</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污水</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和</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清下水</w:t>
      </w:r>
      <w:r>
        <w:rPr>
          <w:rFonts w:ascii="Times New Roman" w:hAnsi="Times New Roman"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排污口各一个，</w:t>
      </w:r>
      <w:r>
        <w:rPr>
          <w:rFonts w:hint="eastAsia" w:ascii="Times New Roman" w:hAnsiTheme="minorEastAsia" w:eastAsiaTheme="minorEastAsia"/>
          <w:color w:val="000000" w:themeColor="text1"/>
          <w:sz w:val="24"/>
          <w:szCs w:val="24"/>
          <w14:textFill>
            <w14:solidFill>
              <w14:schemeClr w14:val="tx1"/>
            </w14:solidFill>
          </w14:textFill>
        </w:rPr>
        <w:t>污水排污口安装三角堰、矩形堰、测流槽等测流装置或其他计量装置</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、固体废物</w:t>
      </w:r>
    </w:p>
    <w:p>
      <w:pPr>
        <w:pStyle w:val="371"/>
        <w:spacing w:line="520" w:lineRule="exact"/>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cs="Times New Roman" w:hAnsiTheme="minorEastAsia"/>
          <w:color w:val="000000" w:themeColor="text1"/>
          <w:sz w:val="24"/>
          <w:szCs w:val="24"/>
          <w14:textFill>
            <w14:solidFill>
              <w14:schemeClr w14:val="tx1"/>
            </w14:solidFill>
          </w14:textFill>
        </w:rPr>
        <w:t>一般固体废弃物设置专用贮存、堆放场地</w:t>
      </w:r>
      <w:r>
        <w:rPr>
          <w:rFonts w:hint="eastAsia" w:ascii="Times New Roman" w:cs="Times New Roman" w:hAnsiTheme="minorEastAsia"/>
          <w:color w:val="000000" w:themeColor="text1"/>
          <w:sz w:val="24"/>
          <w:szCs w:val="24"/>
          <w14:textFill>
            <w14:solidFill>
              <w14:schemeClr w14:val="tx1"/>
            </w14:solidFill>
          </w14:textFill>
        </w:rPr>
        <w:t>满足</w:t>
      </w:r>
      <w:r>
        <w:rPr>
          <w:rFonts w:ascii="Times New Roman" w:cs="Times New Roman" w:hAnsiTheme="minorEastAsia"/>
          <w:color w:val="000000" w:themeColor="text1"/>
          <w:sz w:val="24"/>
          <w:szCs w:val="24"/>
          <w14:textFill>
            <w14:solidFill>
              <w14:schemeClr w14:val="tx1"/>
            </w14:solidFill>
          </w14:textFill>
        </w:rPr>
        <w:t>。</w:t>
      </w:r>
      <w:r>
        <w:rPr>
          <w:rFonts w:hint="eastAsia" w:ascii="Times New Roman" w:cs="Times New Roman" w:hAnsiTheme="minorEastAsia"/>
          <w:color w:val="000000" w:themeColor="text1"/>
          <w:sz w:val="24"/>
          <w:szCs w:val="24"/>
          <w14:textFill>
            <w14:solidFill>
              <w14:schemeClr w14:val="tx1"/>
            </w14:solidFill>
          </w14:textFill>
        </w:rPr>
        <w:t>一般固废存放场所应满足《一般工业固体废物贮存和填埋污染控制标准》（GB18599-2020）相关规定</w:t>
      </w:r>
      <w:r>
        <w:rPr>
          <w:rFonts w:hint="eastAsia" w:ascii="Times New Roman" w:hAnsi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危险废物暂存库应满足《危险废物贮存污染控制标准》（</w:t>
      </w:r>
      <w:r>
        <w:rPr>
          <w:rFonts w:ascii="Times New Roman" w:hAnsi="Times New Roman" w:eastAsiaTheme="minorEastAsia"/>
          <w:color w:val="000000" w:themeColor="text1"/>
          <w:sz w:val="24"/>
          <w:szCs w:val="24"/>
          <w14:textFill>
            <w14:solidFill>
              <w14:schemeClr w14:val="tx1"/>
            </w14:solidFill>
          </w14:textFill>
        </w:rPr>
        <w:t>GB18597-2001</w:t>
      </w:r>
      <w:r>
        <w:rPr>
          <w:rFonts w:ascii="Times New Roman" w:hAnsiTheme="minorEastAsia" w:eastAsiaTheme="minorEastAsia"/>
          <w:color w:val="000000" w:themeColor="text1"/>
          <w:sz w:val="24"/>
          <w:szCs w:val="24"/>
          <w14:textFill>
            <w14:solidFill>
              <w14:schemeClr w14:val="tx1"/>
            </w14:solidFill>
          </w14:textFill>
        </w:rPr>
        <w:t>）的要求，并进行标识。应按照《宜昌市危险废物管理办法》的要求进行危险废物的日常规范化管理，达到一定数量后交给有资质的单位处理。</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（3）</w:t>
      </w:r>
      <w:r>
        <w:rPr>
          <w:rFonts w:hint="eastAsia" w:ascii="Times New Roman" w:hAnsiTheme="minorEastAsia" w:eastAsiaTheme="minorEastAsia"/>
          <w:color w:val="000000" w:themeColor="text1"/>
          <w:kern w:val="0"/>
          <w:sz w:val="24"/>
          <w:szCs w:val="24"/>
          <w14:textFill>
            <w14:solidFill>
              <w14:schemeClr w14:val="tx1"/>
            </w14:solidFill>
          </w14:textFill>
        </w:rPr>
        <w:t>建设单位应</w:t>
      </w:r>
      <w:r>
        <w:rPr>
          <w:rFonts w:ascii="Times New Roman" w:hAnsiTheme="minorEastAsia" w:eastAsiaTheme="minorEastAsia"/>
          <w:color w:val="000000" w:themeColor="text1"/>
          <w:kern w:val="0"/>
          <w:sz w:val="24"/>
          <w:szCs w:val="24"/>
          <w14:textFill>
            <w14:solidFill>
              <w14:schemeClr w14:val="tx1"/>
            </w14:solidFill>
          </w14:textFill>
        </w:rPr>
        <w:t>在厂内设置垃圾箱，同时要求将生活垃圾及时清运、处置，不外排。</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4</w:t>
      </w:r>
      <w:r>
        <w:rPr>
          <w:rFonts w:ascii="Times New Roman" w:hAnsiTheme="minorEastAsia" w:eastAsiaTheme="minorEastAsia"/>
          <w:color w:val="000000" w:themeColor="text1"/>
          <w:sz w:val="24"/>
          <w:szCs w:val="24"/>
          <w14:textFill>
            <w14:solidFill>
              <w14:schemeClr w14:val="tx1"/>
            </w14:solidFill>
          </w14:textFill>
        </w:rPr>
        <w:t>、噪声</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企业厂界噪声测点应在厂界外</w:t>
      </w:r>
      <w:r>
        <w:rPr>
          <w:rFonts w:ascii="Times New Roman" w:hAnsi="Times New Roman" w:eastAsiaTheme="minorEastAsia"/>
          <w:color w:val="000000" w:themeColor="text1"/>
          <w:sz w:val="24"/>
          <w:szCs w:val="24"/>
          <w14:textFill>
            <w14:solidFill>
              <w14:schemeClr w14:val="tx1"/>
            </w14:solidFill>
          </w14:textFill>
        </w:rPr>
        <w:t xml:space="preserve"> 1 m</w:t>
      </w:r>
      <w:r>
        <w:rPr>
          <w:rFonts w:ascii="Times New Roman" w:hAnsiTheme="minorEastAsia" w:eastAsiaTheme="minorEastAsia"/>
          <w:color w:val="000000" w:themeColor="text1"/>
          <w:sz w:val="24"/>
          <w:szCs w:val="24"/>
          <w14:textFill>
            <w14:solidFill>
              <w14:schemeClr w14:val="tx1"/>
            </w14:solidFill>
          </w14:textFill>
        </w:rPr>
        <w:t>，高度</w:t>
      </w:r>
      <w:r>
        <w:rPr>
          <w:rFonts w:ascii="Times New Roman" w:hAnsi="Times New Roman" w:eastAsiaTheme="minorEastAsia"/>
          <w:color w:val="000000" w:themeColor="text1"/>
          <w:sz w:val="24"/>
          <w:szCs w:val="24"/>
          <w14:textFill>
            <w14:solidFill>
              <w14:schemeClr w14:val="tx1"/>
            </w14:solidFill>
          </w14:textFill>
        </w:rPr>
        <w:t xml:space="preserve"> 1.2 m </w:t>
      </w:r>
      <w:r>
        <w:rPr>
          <w:rFonts w:ascii="Times New Roman" w:hAnsiTheme="minorEastAsia" w:eastAsiaTheme="minorEastAsia"/>
          <w:color w:val="000000" w:themeColor="text1"/>
          <w:sz w:val="24"/>
          <w:szCs w:val="24"/>
          <w14:textFill>
            <w14:solidFill>
              <w14:schemeClr w14:val="tx1"/>
            </w14:solidFill>
          </w14:textFill>
        </w:rPr>
        <w:t>以上的噪声敏感处。</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在固定噪声源厂界噪声敏感且对外界影响最大处设该噪声源监测点。</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5、环保标识标牌</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按照国家标准《环境保护图形标志》(GB15562.1-1995)(GB15562.2-1995)的规定，设置与排放口相适应的环境保护图形标志牌。</w:t>
      </w:r>
    </w:p>
    <w:p>
      <w:pPr>
        <w:numPr>
          <w:ilvl w:val="0"/>
          <w:numId w:val="37"/>
        </w:num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公司排污口建档管理</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本工程</w:t>
      </w:r>
      <w:r>
        <w:rPr>
          <w:rFonts w:ascii="Times New Roman" w:hAnsiTheme="minorEastAsia" w:eastAsiaTheme="minorEastAsia"/>
          <w:color w:val="000000" w:themeColor="text1"/>
          <w:sz w:val="24"/>
          <w:szCs w:val="24"/>
          <w14:textFill>
            <w14:solidFill>
              <w14:schemeClr w14:val="tx1"/>
            </w14:solidFill>
          </w14:textFill>
        </w:rPr>
        <w:t>使用国家环保局统一印制的《中华人民共和国规范化排污口标志登记证》，并按要求填写有关内容，项目建成后，应将主要污染物种类、数量、浓度、排放去向、立标情况及设施运行情况记录于档案。</w:t>
      </w:r>
    </w:p>
    <w:p>
      <w:pPr>
        <w:pStyle w:val="380"/>
        <w:adjustRightInd w:val="0"/>
        <w:snapToGrid w:val="0"/>
        <w:spacing w:before="120" w:beforeLines="50" w:after="48" w:afterLines="20" w:line="520" w:lineRule="exact"/>
        <w:ind w:firstLine="0" w:firstLineChars="0"/>
        <w:jc w:val="left"/>
        <w:outlineLvl w:val="2"/>
        <w:rPr>
          <w:rFonts w:ascii="Times New Roman" w:hAnsiTheme="minorEastAsia" w:eastAsiaTheme="minorEastAsia"/>
          <w:color w:val="000000" w:themeColor="text1"/>
          <w:sz w:val="24"/>
          <w:szCs w:val="24"/>
          <w14:textFill>
            <w14:solidFill>
              <w14:schemeClr w14:val="tx1"/>
            </w14:solidFill>
          </w14:textFill>
        </w:rPr>
      </w:pPr>
      <w:bookmarkStart w:id="905" w:name="_Toc29849"/>
      <w:bookmarkStart w:id="906" w:name="_Toc6034"/>
      <w:r>
        <w:rPr>
          <w:rFonts w:hint="default" w:ascii="Times New Roman" w:hAnsi="Times New Roman" w:eastAsia="黑体"/>
          <w:b/>
          <w:color w:val="000000" w:themeColor="text1"/>
          <w:sz w:val="32"/>
          <w:szCs w:val="32"/>
          <w:lang w:val="en-US"/>
          <w14:textFill>
            <w14:solidFill>
              <w14:schemeClr w14:val="tx1"/>
            </w14:solidFill>
          </w14:textFill>
        </w:rPr>
        <w:t>11</w:t>
      </w:r>
      <w:r>
        <w:rPr>
          <w:rFonts w:ascii="Times New Roman" w:hAnsi="Times New Roman" w:eastAsia="黑体"/>
          <w:b/>
          <w:color w:val="000000" w:themeColor="text1"/>
          <w:sz w:val="32"/>
          <w:szCs w:val="32"/>
          <w14:textFill>
            <w14:solidFill>
              <w14:schemeClr w14:val="tx1"/>
            </w14:solidFill>
          </w14:textFill>
        </w:rPr>
        <w:t>.5</w:t>
      </w:r>
      <w:r>
        <w:rPr>
          <w:rFonts w:ascii="黑体" w:hAnsi="黑体" w:eastAsia="黑体"/>
          <w:b/>
          <w:color w:val="000000" w:themeColor="text1"/>
          <w:sz w:val="32"/>
          <w:szCs w:val="32"/>
          <w14:textFill>
            <w14:solidFill>
              <w14:schemeClr w14:val="tx1"/>
            </w14:solidFill>
          </w14:textFill>
        </w:rPr>
        <w:t>竣工“三同时”验收</w:t>
      </w:r>
      <w:bookmarkEnd w:id="890"/>
      <w:bookmarkEnd w:id="891"/>
      <w:r>
        <w:rPr>
          <w:rFonts w:ascii="黑体" w:hAnsi="黑体" w:eastAsia="黑体"/>
          <w:b/>
          <w:color w:val="000000" w:themeColor="text1"/>
          <w:sz w:val="32"/>
          <w:szCs w:val="32"/>
          <w14:textFill>
            <w14:solidFill>
              <w14:schemeClr w14:val="tx1"/>
            </w14:solidFill>
          </w14:textFill>
        </w:rPr>
        <w:t>一览表</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pPr>
        <w:pStyle w:val="24"/>
        <w:spacing w:before="0" w:line="520" w:lineRule="exact"/>
        <w:jc w:val="center"/>
        <w:rPr>
          <w:rFonts w:ascii="Times New Roman" w:hAnsiTheme="minorEastAsia" w:eastAsiaTheme="minorEastAsia"/>
          <w:b/>
          <w:color w:val="000000" w:themeColor="text1"/>
          <w:szCs w:val="24"/>
          <w14:textFill>
            <w14:solidFill>
              <w14:schemeClr w14:val="tx1"/>
            </w14:solidFill>
          </w14:textFill>
        </w:rPr>
      </w:pPr>
      <w:r>
        <w:rPr>
          <w:rFonts w:ascii="Times New Roman" w:cs="Times New Roman" w:hAnsiTheme="minorEastAsia" w:eastAsiaTheme="minorEastAsia"/>
          <w:b/>
          <w:color w:val="000000" w:themeColor="text1"/>
          <w:szCs w:val="24"/>
          <w14:textFill>
            <w14:solidFill>
              <w14:schemeClr w14:val="tx1"/>
            </w14:solidFill>
          </w14:textFill>
        </w:rPr>
        <w:t>表</w:t>
      </w:r>
      <w:r>
        <w:rPr>
          <w:rFonts w:hint="default" w:ascii="Times New Roman" w:hAnsi="Times New Roman" w:cs="Times New Roman" w:eastAsiaTheme="minorEastAsia"/>
          <w:b/>
          <w:color w:val="000000" w:themeColor="text1"/>
          <w:szCs w:val="24"/>
          <w:lang w:val="en-US"/>
          <w14:textFill>
            <w14:solidFill>
              <w14:schemeClr w14:val="tx1"/>
            </w14:solidFill>
          </w14:textFill>
        </w:rPr>
        <w:t>11</w:t>
      </w:r>
      <w:r>
        <w:rPr>
          <w:rFonts w:hint="eastAsia" w:ascii="Times New Roman" w:hAnsi="Times New Roman" w:cs="Times New Roman" w:eastAsiaTheme="minorEastAsia"/>
          <w:b/>
          <w:color w:val="000000" w:themeColor="text1"/>
          <w:szCs w:val="24"/>
          <w14:textFill>
            <w14:solidFill>
              <w14:schemeClr w14:val="tx1"/>
            </w14:solidFill>
          </w14:textFill>
        </w:rPr>
        <w:t>.5</w:t>
      </w:r>
      <w:r>
        <w:rPr>
          <w:rFonts w:ascii="Times New Roman" w:hAnsi="Times New Roman" w:cs="Times New Roman" w:eastAsiaTheme="minorEastAsia"/>
          <w:b/>
          <w:color w:val="000000" w:themeColor="text1"/>
          <w:szCs w:val="24"/>
          <w14:textFill>
            <w14:solidFill>
              <w14:schemeClr w14:val="tx1"/>
            </w14:solidFill>
          </w14:textFill>
        </w:rPr>
        <w:t xml:space="preserve">-1  </w:t>
      </w:r>
      <w:r>
        <w:rPr>
          <w:rFonts w:hint="eastAsia" w:ascii="Times New Roman" w:hAnsi="Times New Roman" w:cs="Times New Roman" w:eastAsiaTheme="minorEastAsia"/>
          <w:b/>
          <w:color w:val="000000" w:themeColor="text1"/>
          <w:szCs w:val="24"/>
          <w14:textFill>
            <w14:solidFill>
              <w14:schemeClr w14:val="tx1"/>
            </w14:solidFill>
          </w14:textFill>
        </w:rPr>
        <w:t>项目</w:t>
      </w:r>
      <w:r>
        <w:rPr>
          <w:rFonts w:ascii="Times New Roman" w:hAnsiTheme="minorEastAsia" w:eastAsiaTheme="minorEastAsia"/>
          <w:b/>
          <w:color w:val="000000" w:themeColor="text1"/>
          <w:szCs w:val="24"/>
          <w14:textFill>
            <w14:solidFill>
              <w14:schemeClr w14:val="tx1"/>
            </w14:solidFill>
          </w14:textFill>
        </w:rPr>
        <w:t>环保</w:t>
      </w:r>
      <w:r>
        <w:rPr>
          <w:rFonts w:ascii="Times New Roman" w:hAnsi="Times New Roman" w:eastAsiaTheme="minorEastAsia"/>
          <w:b/>
          <w:color w:val="000000" w:themeColor="text1"/>
          <w:szCs w:val="24"/>
          <w14:textFill>
            <w14:solidFill>
              <w14:schemeClr w14:val="tx1"/>
            </w14:solidFill>
          </w14:textFill>
        </w:rPr>
        <w:t>“</w:t>
      </w:r>
      <w:r>
        <w:rPr>
          <w:rFonts w:ascii="Times New Roman" w:hAnsiTheme="minorEastAsia" w:eastAsiaTheme="minorEastAsia"/>
          <w:b/>
          <w:color w:val="000000" w:themeColor="text1"/>
          <w:szCs w:val="24"/>
          <w14:textFill>
            <w14:solidFill>
              <w14:schemeClr w14:val="tx1"/>
            </w14:solidFill>
          </w14:textFill>
        </w:rPr>
        <w:t>三同时</w:t>
      </w:r>
      <w:r>
        <w:rPr>
          <w:rFonts w:ascii="Times New Roman" w:hAnsi="Times New Roman" w:eastAsiaTheme="minorEastAsia"/>
          <w:b/>
          <w:color w:val="000000" w:themeColor="text1"/>
          <w:szCs w:val="24"/>
          <w14:textFill>
            <w14:solidFill>
              <w14:schemeClr w14:val="tx1"/>
            </w14:solidFill>
          </w14:textFill>
        </w:rPr>
        <w:t>”</w:t>
      </w:r>
      <w:r>
        <w:rPr>
          <w:rFonts w:ascii="Times New Roman" w:hAnsiTheme="minorEastAsia" w:eastAsiaTheme="minorEastAsia"/>
          <w:b/>
          <w:color w:val="000000" w:themeColor="text1"/>
          <w:szCs w:val="24"/>
          <w14:textFill>
            <w14:solidFill>
              <w14:schemeClr w14:val="tx1"/>
            </w14:solidFill>
          </w14:textFill>
        </w:rPr>
        <w:t>验收内容</w:t>
      </w:r>
      <w:r>
        <w:rPr>
          <w:rFonts w:hint="eastAsia" w:ascii="Times New Roman" w:hAnsiTheme="minorEastAsia" w:eastAsiaTheme="minorEastAsia"/>
          <w:b/>
          <w:color w:val="000000" w:themeColor="text1"/>
          <w:szCs w:val="24"/>
          <w14:textFill>
            <w14:solidFill>
              <w14:schemeClr w14:val="tx1"/>
            </w14:solidFill>
          </w14:textFill>
        </w:rPr>
        <w:t>一览</w:t>
      </w:r>
      <w:r>
        <w:rPr>
          <w:rFonts w:ascii="Times New Roman" w:hAnsiTheme="minorEastAsia" w:eastAsiaTheme="minorEastAsia"/>
          <w:b/>
          <w:color w:val="000000" w:themeColor="text1"/>
          <w:szCs w:val="24"/>
          <w14:textFill>
            <w14:solidFill>
              <w14:schemeClr w14:val="tx1"/>
            </w14:solidFill>
          </w14:textFill>
        </w:rPr>
        <w:t>表</w:t>
      </w:r>
    </w:p>
    <w:tbl>
      <w:tblPr>
        <w:tblStyle w:val="87"/>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582"/>
        <w:gridCol w:w="1560"/>
        <w:gridCol w:w="3969"/>
        <w:gridCol w:w="992"/>
        <w:gridCol w:w="19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项目</w:t>
            </w:r>
          </w:p>
        </w:tc>
        <w:tc>
          <w:tcPr>
            <w:tcW w:w="15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污染源</w:t>
            </w:r>
          </w:p>
        </w:tc>
        <w:tc>
          <w:tcPr>
            <w:tcW w:w="396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环境保护措施</w:t>
            </w:r>
          </w:p>
        </w:tc>
        <w:tc>
          <w:tcPr>
            <w:tcW w:w="99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验收内容</w:t>
            </w:r>
          </w:p>
        </w:tc>
        <w:tc>
          <w:tcPr>
            <w:tcW w:w="199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验收标准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废气</w:t>
            </w: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呼吸废气</w:t>
            </w:r>
          </w:p>
        </w:tc>
        <w:tc>
          <w:tcPr>
            <w:tcW w:w="396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采用</w:t>
            </w:r>
            <w:r>
              <w:rPr>
                <w:rFonts w:hint="eastAsia" w:ascii="Times New Roman" w:hAnsi="宋体"/>
                <w:color w:val="000000" w:themeColor="text1"/>
                <w:kern w:val="0"/>
                <w:sz w:val="18"/>
                <w:szCs w:val="18"/>
                <w14:textFill>
                  <w14:solidFill>
                    <w14:schemeClr w14:val="tx1"/>
                  </w14:solidFill>
                </w14:textFill>
              </w:rPr>
              <w:t>密闭负压管道</w:t>
            </w:r>
            <w:r>
              <w:rPr>
                <w:rFonts w:ascii="Times New Roman" w:hAnsi="宋体"/>
                <w:color w:val="000000" w:themeColor="text1"/>
                <w:kern w:val="0"/>
                <w:sz w:val="18"/>
                <w:szCs w:val="18"/>
                <w14:textFill>
                  <w14:solidFill>
                    <w14:schemeClr w14:val="tx1"/>
                  </w14:solidFill>
                </w14:textFill>
              </w:rPr>
              <w:t>收集，经</w:t>
            </w:r>
            <w:r>
              <w:rPr>
                <w:rFonts w:hint="eastAsia" w:ascii="Times New Roman" w:hAnsi="宋体"/>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套</w:t>
            </w:r>
            <w:r>
              <w:rPr>
                <w:rFonts w:hint="eastAsia" w:ascii="Times New Roman" w:hAnsi="宋体"/>
                <w:color w:val="000000" w:themeColor="text1"/>
                <w:kern w:val="0"/>
                <w:sz w:val="18"/>
                <w:szCs w:val="18"/>
                <w14:textFill>
                  <w14:solidFill>
                    <w14:schemeClr w14:val="tx1"/>
                  </w14:solidFill>
                </w14:textFill>
              </w:rPr>
              <w:t>酸性尾气吸收系统（2级水洗+1级碱洗）</w:t>
            </w:r>
            <w:r>
              <w:rPr>
                <w:rFonts w:ascii="Times New Roman" w:hAnsi="宋体"/>
                <w:color w:val="000000" w:themeColor="text1"/>
                <w:kern w:val="0"/>
                <w:sz w:val="18"/>
                <w:szCs w:val="18"/>
                <w14:textFill>
                  <w14:solidFill>
                    <w14:schemeClr w14:val="tx1"/>
                  </w14:solidFill>
                </w14:textFill>
              </w:rPr>
              <w:t>处理后由</w:t>
            </w:r>
            <w:r>
              <w:rPr>
                <w:rFonts w:ascii="Times New Roman" w:hAnsi="Times New Roman"/>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根</w:t>
            </w:r>
            <w:r>
              <w:rPr>
                <w:rFonts w:hint="eastAsia" w:ascii="Times New Roman" w:hAnsi="Times New Roman"/>
                <w:color w:val="000000" w:themeColor="text1"/>
                <w:kern w:val="0"/>
                <w:sz w:val="18"/>
                <w:szCs w:val="18"/>
                <w14:textFill>
                  <w14:solidFill>
                    <w14:schemeClr w14:val="tx1"/>
                  </w14:solidFill>
                </w14:textFill>
              </w:rPr>
              <w:t>15</w:t>
            </w:r>
            <w:r>
              <w:rPr>
                <w:rFonts w:ascii="Times New Roman" w:hAnsi="Times New Roman"/>
                <w:color w:val="000000" w:themeColor="text1"/>
                <w:kern w:val="0"/>
                <w:sz w:val="18"/>
                <w:szCs w:val="18"/>
                <w14:textFill>
                  <w14:solidFill>
                    <w14:schemeClr w14:val="tx1"/>
                  </w14:solidFill>
                </w14:textFill>
              </w:rPr>
              <w:t>m</w:t>
            </w:r>
            <w:r>
              <w:rPr>
                <w:rFonts w:ascii="Times New Roman" w:hAnsi="宋体"/>
                <w:color w:val="000000" w:themeColor="text1"/>
                <w:kern w:val="0"/>
                <w:sz w:val="18"/>
                <w:szCs w:val="18"/>
                <w14:textFill>
                  <w14:solidFill>
                    <w14:schemeClr w14:val="tx1"/>
                  </w14:solidFill>
                </w14:textFill>
              </w:rPr>
              <w:t>高排气筒</w:t>
            </w:r>
            <w:r>
              <w:rPr>
                <w:rFonts w:hint="eastAsia" w:ascii="Times New Roman" w:hAnsi="宋体"/>
                <w:color w:val="000000" w:themeColor="text1"/>
                <w:kern w:val="0"/>
                <w:sz w:val="18"/>
                <w:szCs w:val="18"/>
                <w14:textFill>
                  <w14:solidFill>
                    <w14:schemeClr w14:val="tx1"/>
                  </w14:solidFill>
                </w14:textFill>
              </w:rPr>
              <w:t>DA001</w:t>
            </w:r>
            <w:r>
              <w:rPr>
                <w:rFonts w:ascii="Times New Roman" w:hAnsi="宋体"/>
                <w:color w:val="000000" w:themeColor="text1"/>
                <w:kern w:val="0"/>
                <w:sz w:val="18"/>
                <w:szCs w:val="18"/>
                <w14:textFill>
                  <w14:solidFill>
                    <w14:schemeClr w14:val="tx1"/>
                  </w14:solidFill>
                </w14:textFill>
              </w:rPr>
              <w:t>排放</w:t>
            </w:r>
          </w:p>
        </w:tc>
        <w:tc>
          <w:tcPr>
            <w:tcW w:w="992"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环保设施建成，废气污染物达标排放，排气筒设置了标准采样孔和取样平台</w:t>
            </w:r>
          </w:p>
        </w:tc>
        <w:tc>
          <w:tcPr>
            <w:tcW w:w="1997"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满足《无机化学工业污染物排放标准》（GB31573-2015）表</w:t>
            </w:r>
            <w:r>
              <w:rPr>
                <w:rFonts w:hint="eastAsia" w:ascii="Times New Roman" w:hAnsi="Times New Roman"/>
                <w:color w:val="000000" w:themeColor="text1"/>
                <w:kern w:val="0"/>
                <w:sz w:val="18"/>
                <w:szCs w:val="18"/>
                <w:lang w:val="en-US" w:eastAsia="zh-CN"/>
                <w14:textFill>
                  <w14:solidFill>
                    <w14:schemeClr w14:val="tx1"/>
                  </w14:solidFill>
                </w14:textFill>
              </w:rPr>
              <w:t>4</w:t>
            </w:r>
            <w:r>
              <w:rPr>
                <w:rFonts w:hint="eastAsia" w:ascii="Times New Roman" w:hAnsi="Times New Roman"/>
                <w:color w:val="000000" w:themeColor="text1"/>
                <w:kern w:val="0"/>
                <w:sz w:val="18"/>
                <w:szCs w:val="18"/>
                <w14:textFill>
                  <w14:solidFill>
                    <w14:schemeClr w14:val="tx1"/>
                  </w14:solidFill>
                </w14:textFill>
              </w:rPr>
              <w:t>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投料粉尘</w:t>
            </w:r>
          </w:p>
        </w:tc>
        <w:tc>
          <w:tcPr>
            <w:tcW w:w="396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采用负压管道收集，经1套中型尾气吸收系统（2级水洗+1级碱洗）</w:t>
            </w:r>
            <w:r>
              <w:rPr>
                <w:rFonts w:ascii="Times New Roman" w:hAnsi="宋体"/>
                <w:color w:val="000000" w:themeColor="text1"/>
                <w:kern w:val="0"/>
                <w:sz w:val="18"/>
                <w:szCs w:val="18"/>
                <w14:textFill>
                  <w14:solidFill>
                    <w14:schemeClr w14:val="tx1"/>
                  </w14:solidFill>
                </w14:textFill>
              </w:rPr>
              <w:t>处理后由</w:t>
            </w:r>
            <w:r>
              <w:rPr>
                <w:rFonts w:ascii="Times New Roman" w:hAnsi="Times New Roman"/>
                <w:color w:val="000000" w:themeColor="text1"/>
                <w:kern w:val="0"/>
                <w:sz w:val="18"/>
                <w:szCs w:val="18"/>
                <w14:textFill>
                  <w14:solidFill>
                    <w14:schemeClr w14:val="tx1"/>
                  </w14:solidFill>
                </w14:textFill>
              </w:rPr>
              <w:t>1</w:t>
            </w:r>
            <w:r>
              <w:rPr>
                <w:rFonts w:ascii="Times New Roman" w:hAnsi="宋体"/>
                <w:color w:val="000000" w:themeColor="text1"/>
                <w:kern w:val="0"/>
                <w:sz w:val="18"/>
                <w:szCs w:val="18"/>
                <w14:textFill>
                  <w14:solidFill>
                    <w14:schemeClr w14:val="tx1"/>
                  </w14:solidFill>
                </w14:textFill>
              </w:rPr>
              <w:t>根</w:t>
            </w:r>
            <w:r>
              <w:rPr>
                <w:rFonts w:hint="eastAsia" w:ascii="Times New Roman" w:hAnsi="Times New Roman"/>
                <w:color w:val="000000" w:themeColor="text1"/>
                <w:kern w:val="0"/>
                <w:sz w:val="18"/>
                <w:szCs w:val="18"/>
                <w14:textFill>
                  <w14:solidFill>
                    <w14:schemeClr w14:val="tx1"/>
                  </w14:solidFill>
                </w14:textFill>
              </w:rPr>
              <w:t>15</w:t>
            </w:r>
            <w:r>
              <w:rPr>
                <w:rFonts w:ascii="Times New Roman" w:hAnsi="Times New Roman"/>
                <w:color w:val="000000" w:themeColor="text1"/>
                <w:kern w:val="0"/>
                <w:sz w:val="18"/>
                <w:szCs w:val="18"/>
                <w14:textFill>
                  <w14:solidFill>
                    <w14:schemeClr w14:val="tx1"/>
                  </w14:solidFill>
                </w14:textFill>
              </w:rPr>
              <w:t>m</w:t>
            </w:r>
            <w:r>
              <w:rPr>
                <w:rFonts w:ascii="Times New Roman" w:hAnsi="宋体"/>
                <w:color w:val="000000" w:themeColor="text1"/>
                <w:kern w:val="0"/>
                <w:sz w:val="18"/>
                <w:szCs w:val="18"/>
                <w14:textFill>
                  <w14:solidFill>
                    <w14:schemeClr w14:val="tx1"/>
                  </w14:solidFill>
                </w14:textFill>
              </w:rPr>
              <w:t>高排气筒</w:t>
            </w:r>
            <w:r>
              <w:rPr>
                <w:rFonts w:hint="eastAsia" w:ascii="Times New Roman" w:hAnsi="宋体"/>
                <w:color w:val="000000" w:themeColor="text1"/>
                <w:kern w:val="0"/>
                <w:sz w:val="18"/>
                <w:szCs w:val="18"/>
                <w14:textFill>
                  <w14:solidFill>
                    <w14:schemeClr w14:val="tx1"/>
                  </w14:solidFill>
                </w14:textFill>
              </w:rPr>
              <w:t>DA002</w:t>
            </w:r>
            <w:r>
              <w:rPr>
                <w:rFonts w:ascii="Times New Roman" w:hAnsi="宋体"/>
                <w:color w:val="000000" w:themeColor="text1"/>
                <w:kern w:val="0"/>
                <w:sz w:val="18"/>
                <w:szCs w:val="18"/>
                <w14:textFill>
                  <w14:solidFill>
                    <w14:schemeClr w14:val="tx1"/>
                  </w14:solidFill>
                </w14:textFill>
              </w:rPr>
              <w:t>排放</w:t>
            </w:r>
          </w:p>
        </w:tc>
        <w:tc>
          <w:tcPr>
            <w:tcW w:w="99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997"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 烘干废气</w:t>
            </w:r>
          </w:p>
        </w:tc>
        <w:tc>
          <w:tcPr>
            <w:tcW w:w="396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Times New Roman" w:hAnsi="宋体"/>
                <w:color w:val="000000" w:themeColor="text1"/>
                <w:kern w:val="0"/>
                <w:sz w:val="18"/>
                <w:szCs w:val="18"/>
                <w14:textFill>
                  <w14:solidFill>
                    <w14:schemeClr w14:val="tx1"/>
                  </w14:solidFill>
                </w14:textFill>
              </w:rPr>
              <w:t>经1套布袋除尘器处理后由1根15m高排气筒DA003排放</w:t>
            </w:r>
          </w:p>
        </w:tc>
        <w:tc>
          <w:tcPr>
            <w:tcW w:w="99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997"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投料过程中未收集粉尘</w:t>
            </w:r>
          </w:p>
        </w:tc>
        <w:tc>
          <w:tcPr>
            <w:tcW w:w="3969" w:type="dxa"/>
            <w:shd w:val="clear" w:color="auto" w:fill="auto"/>
            <w:vAlign w:val="center"/>
          </w:tcPr>
          <w:p>
            <w:pPr>
              <w:widowControl/>
              <w:ind w:firstLine="900" w:firstLineChars="5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车间通风、加强管理</w:t>
            </w:r>
          </w:p>
        </w:tc>
        <w:tc>
          <w:tcPr>
            <w:tcW w:w="99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设置车间通风设施</w:t>
            </w:r>
          </w:p>
        </w:tc>
        <w:tc>
          <w:tcPr>
            <w:tcW w:w="199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《大气污染物综合排放标准》（GB16297-1996）表2中无组织排放监控浓度限值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废水</w:t>
            </w: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生活污水</w:t>
            </w:r>
          </w:p>
        </w:tc>
        <w:tc>
          <w:tcPr>
            <w:tcW w:w="396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经化粪池（处理能力5m</w:t>
            </w:r>
            <w:r>
              <w:rPr>
                <w:rFonts w:hint="eastAsia" w:ascii="Times New Roman" w:hAnsi="Times New Roman"/>
                <w:color w:val="000000" w:themeColor="text1"/>
                <w:kern w:val="0"/>
                <w:sz w:val="18"/>
                <w:szCs w:val="18"/>
                <w:vertAlign w:val="superscript"/>
                <w14:textFill>
                  <w14:solidFill>
                    <w14:schemeClr w14:val="tx1"/>
                  </w14:solidFill>
                </w14:textFill>
              </w:rPr>
              <w:t>3</w:t>
            </w:r>
            <w:r>
              <w:rPr>
                <w:rFonts w:hint="eastAsia" w:ascii="Times New Roman" w:hAnsi="Times New Roman"/>
                <w:color w:val="000000" w:themeColor="text1"/>
                <w:kern w:val="0"/>
                <w:sz w:val="18"/>
                <w:szCs w:val="18"/>
                <w14:textFill>
                  <w14:solidFill>
                    <w14:schemeClr w14:val="tx1"/>
                  </w14:solidFill>
                </w14:textFill>
              </w:rPr>
              <w:t>/d）处理后排入市政污水管网</w:t>
            </w:r>
          </w:p>
        </w:tc>
        <w:tc>
          <w:tcPr>
            <w:tcW w:w="992" w:type="dxa"/>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设置化粪池</w:t>
            </w:r>
          </w:p>
        </w:tc>
        <w:tc>
          <w:tcPr>
            <w:tcW w:w="199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《污水综合排放标准》（GB8978-1996）中三级标准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尾气洗涤废液</w:t>
            </w:r>
          </w:p>
        </w:tc>
        <w:tc>
          <w:tcPr>
            <w:tcW w:w="3969"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定期泵送至中和槽回用于生产，不外排</w:t>
            </w:r>
          </w:p>
        </w:tc>
        <w:tc>
          <w:tcPr>
            <w:tcW w:w="992" w:type="dxa"/>
            <w:vMerge w:val="restart"/>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回用于生产，不外排</w:t>
            </w:r>
          </w:p>
        </w:tc>
        <w:tc>
          <w:tcPr>
            <w:tcW w:w="1997"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离心洗涤废水</w:t>
            </w:r>
          </w:p>
        </w:tc>
        <w:tc>
          <w:tcPr>
            <w:tcW w:w="3969" w:type="dxa"/>
            <w:vAlign w:val="center"/>
          </w:tcPr>
          <w:p>
            <w:pPr>
              <w:widowControl/>
              <w:ind w:firstLine="180" w:firstLineChars="100"/>
              <w:jc w:val="left"/>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经母液槽最终进入中和槽回用于生产，不外排</w:t>
            </w:r>
          </w:p>
        </w:tc>
        <w:tc>
          <w:tcPr>
            <w:tcW w:w="99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997"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蒸汽冷凝液</w:t>
            </w:r>
          </w:p>
        </w:tc>
        <w:tc>
          <w:tcPr>
            <w:tcW w:w="3969"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部分回用于厂区绿化洒水，多余部分作为清净下水经雨水管网排放</w:t>
            </w:r>
          </w:p>
        </w:tc>
        <w:tc>
          <w:tcPr>
            <w:tcW w:w="992" w:type="dxa"/>
            <w:vMerge w:val="restart"/>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部分回用，部分外排</w:t>
            </w:r>
          </w:p>
        </w:tc>
        <w:tc>
          <w:tcPr>
            <w:tcW w:w="1997"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污蒸汽冷凝液</w:t>
            </w:r>
          </w:p>
        </w:tc>
        <w:tc>
          <w:tcPr>
            <w:tcW w:w="3969"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部分回用于溶盐槽溶盐、离心洗涤、尾气吸收、循环冷却补水，多余部分作为清净下水经雨水管网排放</w:t>
            </w:r>
          </w:p>
        </w:tc>
        <w:tc>
          <w:tcPr>
            <w:tcW w:w="99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997"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循环冷却排水</w:t>
            </w:r>
            <w:r>
              <w:rPr>
                <w:rFonts w:ascii="Times New Roman" w:hAnsi="Times New Roman"/>
                <w:color w:val="000000" w:themeColor="text1"/>
                <w:kern w:val="0"/>
                <w:sz w:val="18"/>
                <w:szCs w:val="18"/>
                <w14:textFill>
                  <w14:solidFill>
                    <w14:schemeClr w14:val="tx1"/>
                  </w14:solidFill>
                </w14:textFill>
              </w:rPr>
              <w:t xml:space="preserve"> </w:t>
            </w:r>
          </w:p>
        </w:tc>
        <w:tc>
          <w:tcPr>
            <w:tcW w:w="3969" w:type="dxa"/>
            <w:vAlign w:val="center"/>
          </w:tcPr>
          <w:p>
            <w:pPr>
              <w:widowControl/>
              <w:ind w:firstLine="1260" w:firstLineChars="700"/>
              <w:jc w:val="left"/>
              <w:rPr>
                <w:rFonts w:ascii="宋体" w:hAnsi="宋体" w:cs="宋体"/>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作为清净下水排放</w:t>
            </w:r>
          </w:p>
        </w:tc>
        <w:tc>
          <w:tcPr>
            <w:tcW w:w="992"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c>
          <w:tcPr>
            <w:tcW w:w="1997" w:type="dxa"/>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噪声</w:t>
            </w:r>
          </w:p>
        </w:tc>
        <w:tc>
          <w:tcPr>
            <w:tcW w:w="15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运转设备</w:t>
            </w:r>
          </w:p>
        </w:tc>
        <w:tc>
          <w:tcPr>
            <w:tcW w:w="3969"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选用低噪声设备；经厂房隔声、减震、消声处理；合理布置声源位置</w:t>
            </w:r>
          </w:p>
        </w:tc>
        <w:tc>
          <w:tcPr>
            <w:tcW w:w="992"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厂界噪声达标排放</w:t>
            </w:r>
          </w:p>
        </w:tc>
        <w:tc>
          <w:tcPr>
            <w:tcW w:w="1997"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《工业企业厂界噪声标准》(GB12348-2008)中3类标准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固废</w:t>
            </w:r>
          </w:p>
        </w:tc>
        <w:tc>
          <w:tcPr>
            <w:tcW w:w="1560" w:type="dxa"/>
            <w:shd w:val="clear" w:color="auto" w:fill="auto"/>
            <w:vAlign w:val="center"/>
          </w:tcPr>
          <w:p>
            <w:pPr>
              <w:snapToGrid w:val="0"/>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生活垃圾</w:t>
            </w:r>
          </w:p>
        </w:tc>
        <w:tc>
          <w:tcPr>
            <w:tcW w:w="3969" w:type="dxa"/>
            <w:shd w:val="clear" w:color="auto" w:fill="auto"/>
            <w:vAlign w:val="center"/>
          </w:tcPr>
          <w:p>
            <w:pPr>
              <w:snapToGrid w:val="0"/>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厂区设置垃圾收集箱，收集后环卫部门定期清理</w:t>
            </w:r>
          </w:p>
        </w:tc>
        <w:tc>
          <w:tcPr>
            <w:tcW w:w="992" w:type="dxa"/>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厂区设有垃圾箱，环卫部门定期清理。</w:t>
            </w:r>
          </w:p>
        </w:tc>
        <w:tc>
          <w:tcPr>
            <w:tcW w:w="1997" w:type="dxa"/>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ind w:firstLine="360" w:firstLineChars="200"/>
              <w:jc w:val="left"/>
              <w:rPr>
                <w:rFonts w:ascii="宋体" w:hAnsi="宋体" w:cs="宋体"/>
                <w:color w:val="000000" w:themeColor="text1"/>
                <w:kern w:val="0"/>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废包装材料</w:t>
            </w:r>
          </w:p>
        </w:tc>
        <w:tc>
          <w:tcPr>
            <w:tcW w:w="3969" w:type="dxa"/>
            <w:shd w:val="clear" w:color="auto" w:fill="auto"/>
            <w:vAlign w:val="center"/>
          </w:tcPr>
          <w:p>
            <w:pPr>
              <w:widowControl/>
              <w:ind w:firstLine="540" w:firstLineChars="300"/>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集中收集后交由物资部门回收处理</w:t>
            </w:r>
          </w:p>
        </w:tc>
        <w:tc>
          <w:tcPr>
            <w:tcW w:w="992"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签订相关协议</w:t>
            </w:r>
          </w:p>
        </w:tc>
        <w:tc>
          <w:tcPr>
            <w:tcW w:w="1997"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执行《一般工业固体废物贮存和填埋污染控制标准》（GB18599-2020）相关规定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布袋除尘器</w:t>
            </w:r>
          </w:p>
          <w:p>
            <w:pPr>
              <w:widowControl/>
              <w:jc w:val="center"/>
              <w:rPr>
                <w:rFonts w:ascii="Times New Roman" w:hAnsi="Times New Roman"/>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收集粉尘</w:t>
            </w:r>
          </w:p>
        </w:tc>
        <w:tc>
          <w:tcPr>
            <w:tcW w:w="39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作为产品外售</w:t>
            </w:r>
          </w:p>
        </w:tc>
        <w:tc>
          <w:tcPr>
            <w:tcW w:w="992" w:type="dxa"/>
            <w:vMerge w:val="continue"/>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p>
        </w:tc>
        <w:tc>
          <w:tcPr>
            <w:tcW w:w="1997" w:type="dxa"/>
            <w:vMerge w:val="continue"/>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压滤废渣</w:t>
            </w:r>
          </w:p>
        </w:tc>
        <w:tc>
          <w:tcPr>
            <w:tcW w:w="3969" w:type="dxa"/>
            <w:shd w:val="clear" w:color="auto" w:fill="auto"/>
            <w:vAlign w:val="center"/>
          </w:tcPr>
          <w:p>
            <w:pPr>
              <w:widowControl/>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外售砖厂综合利用</w:t>
            </w:r>
          </w:p>
        </w:tc>
        <w:tc>
          <w:tcPr>
            <w:tcW w:w="992" w:type="dxa"/>
            <w:vMerge w:val="continue"/>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p>
        </w:tc>
        <w:tc>
          <w:tcPr>
            <w:tcW w:w="1997" w:type="dxa"/>
            <w:vMerge w:val="continue"/>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废机油</w:t>
            </w:r>
          </w:p>
        </w:tc>
        <w:tc>
          <w:tcPr>
            <w:tcW w:w="39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hint="eastAsia" w:ascii="Times New Roman" w:hAnsi="Times New Roman"/>
                <w:color w:val="000000" w:themeColor="text1"/>
                <w:kern w:val="0"/>
                <w:sz w:val="18"/>
                <w:szCs w:val="18"/>
                <w14:textFill>
                  <w14:solidFill>
                    <w14:schemeClr w14:val="tx1"/>
                  </w14:solidFill>
                </w14:textFill>
              </w:rPr>
              <w:t>设置1间5m</w:t>
            </w:r>
            <w:r>
              <w:rPr>
                <w:rFonts w:hint="eastAsia" w:ascii="Times New Roman" w:hAnsi="Times New Roman"/>
                <w:color w:val="000000" w:themeColor="text1"/>
                <w:kern w:val="0"/>
                <w:sz w:val="18"/>
                <w:szCs w:val="18"/>
                <w:vertAlign w:val="superscript"/>
                <w14:textFill>
                  <w14:solidFill>
                    <w14:schemeClr w14:val="tx1"/>
                  </w14:solidFill>
                </w14:textFill>
              </w:rPr>
              <w:t>2</w:t>
            </w:r>
            <w:r>
              <w:rPr>
                <w:rFonts w:hint="eastAsia" w:ascii="Times New Roman" w:hAnsi="Times New Roman"/>
                <w:color w:val="000000" w:themeColor="text1"/>
                <w:kern w:val="0"/>
                <w:sz w:val="18"/>
                <w:szCs w:val="18"/>
                <w14:textFill>
                  <w14:solidFill>
                    <w14:schemeClr w14:val="tx1"/>
                  </w14:solidFill>
                </w14:textFill>
              </w:rPr>
              <w:t>危废暂存间，地面做防腐防渗处理，设警示标牌、利用专用容积收集后定期交由有资质单位处置</w:t>
            </w:r>
          </w:p>
        </w:tc>
        <w:tc>
          <w:tcPr>
            <w:tcW w:w="992" w:type="dxa"/>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规范化建设危废暂存间，签订危废处置协议，建有危废管理台账</w:t>
            </w:r>
          </w:p>
        </w:tc>
        <w:tc>
          <w:tcPr>
            <w:tcW w:w="199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执行《危险废物贮存污染控制标准》（GB18597-2001）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restart"/>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地下水</w:t>
            </w:r>
          </w:p>
        </w:tc>
        <w:tc>
          <w:tcPr>
            <w:tcW w:w="1560"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分区防渗</w:t>
            </w:r>
          </w:p>
        </w:tc>
        <w:tc>
          <w:tcPr>
            <w:tcW w:w="3969" w:type="dxa"/>
            <w:shd w:val="clear" w:color="auto" w:fill="auto"/>
            <w:vAlign w:val="center"/>
          </w:tcPr>
          <w:p>
            <w:pPr>
              <w:widowControl/>
              <w:jc w:val="center"/>
              <w:rPr>
                <w:rFonts w:ascii="Times New Roman" w:hAnsi="Times New Roman"/>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fldChar w:fldCharType="begin"/>
            </w:r>
            <w:r>
              <w:rPr>
                <w:rFonts w:ascii="Times New Roman" w:hAnsi="宋体"/>
                <w:color w:val="000000" w:themeColor="text1"/>
                <w:kern w:val="0"/>
                <w:sz w:val="18"/>
                <w:szCs w:val="18"/>
                <w14:textFill>
                  <w14:solidFill>
                    <w14:schemeClr w14:val="tx1"/>
                  </w14:solidFill>
                </w14:textFill>
              </w:rPr>
              <w:instrText xml:space="preserve"> </w:instrText>
            </w:r>
            <w:r>
              <w:rPr>
                <w:rFonts w:hint="eastAsia" w:ascii="Times New Roman" w:hAnsi="宋体"/>
                <w:color w:val="000000" w:themeColor="text1"/>
                <w:kern w:val="0"/>
                <w:sz w:val="18"/>
                <w:szCs w:val="18"/>
                <w14:textFill>
                  <w14:solidFill>
                    <w14:schemeClr w14:val="tx1"/>
                  </w14:solidFill>
                </w14:textFill>
              </w:rPr>
              <w:instrText xml:space="preserve">= 1 \* GB3</w:instrText>
            </w:r>
            <w:r>
              <w:rPr>
                <w:rFonts w:ascii="Times New Roman" w:hAnsi="宋体"/>
                <w:color w:val="000000" w:themeColor="text1"/>
                <w:kern w:val="0"/>
                <w:sz w:val="18"/>
                <w:szCs w:val="18"/>
                <w14:textFill>
                  <w14:solidFill>
                    <w14:schemeClr w14:val="tx1"/>
                  </w14:solidFill>
                </w14:textFill>
              </w:rPr>
              <w:instrText xml:space="preserve"> </w:instrText>
            </w:r>
            <w:r>
              <w:rPr>
                <w:rFonts w:ascii="Times New Roman" w:hAnsi="宋体"/>
                <w:color w:val="000000" w:themeColor="text1"/>
                <w:kern w:val="0"/>
                <w:sz w:val="18"/>
                <w:szCs w:val="18"/>
                <w14:textFill>
                  <w14:solidFill>
                    <w14:schemeClr w14:val="tx1"/>
                  </w14:solidFill>
                </w14:textFill>
              </w:rPr>
              <w:fldChar w:fldCharType="separate"/>
            </w:r>
            <w:r>
              <w:rPr>
                <w:rFonts w:hint="eastAsia" w:ascii="Times New Roman" w:hAnsi="宋体"/>
                <w:color w:val="000000" w:themeColor="text1"/>
                <w:kern w:val="0"/>
                <w:sz w:val="18"/>
                <w:szCs w:val="18"/>
                <w14:textFill>
                  <w14:solidFill>
                    <w14:schemeClr w14:val="tx1"/>
                  </w14:solidFill>
                </w14:textFill>
              </w:rPr>
              <w:t>①</w:t>
            </w:r>
            <w:r>
              <w:rPr>
                <w:rFonts w:ascii="Times New Roman" w:hAnsi="宋体"/>
                <w:color w:val="000000" w:themeColor="text1"/>
                <w:kern w:val="0"/>
                <w:sz w:val="18"/>
                <w:szCs w:val="18"/>
                <w14:textFill>
                  <w14:solidFill>
                    <w14:schemeClr w14:val="tx1"/>
                  </w14:solidFill>
                </w14:textFill>
              </w:rPr>
              <w:fldChar w:fldCharType="end"/>
            </w:r>
            <w:r>
              <w:rPr>
                <w:rFonts w:ascii="Times New Roman" w:hAnsi="宋体"/>
                <w:color w:val="000000" w:themeColor="text1"/>
                <w:kern w:val="0"/>
                <w:sz w:val="18"/>
                <w:szCs w:val="18"/>
                <w14:textFill>
                  <w14:solidFill>
                    <w14:schemeClr w14:val="tx1"/>
                  </w14:solidFill>
                </w14:textFill>
              </w:rPr>
              <w:t>重点防渗区域：生产车间、罐区、导流沟、事故应急池、危险废物暂存间防渗层为至少</w:t>
            </w:r>
            <w:r>
              <w:rPr>
                <w:rFonts w:ascii="Times New Roman" w:hAnsi="Times New Roman"/>
                <w:color w:val="000000" w:themeColor="text1"/>
                <w:kern w:val="0"/>
                <w:sz w:val="18"/>
                <w:szCs w:val="18"/>
                <w14:textFill>
                  <w14:solidFill>
                    <w14:schemeClr w14:val="tx1"/>
                  </w14:solidFill>
                </w14:textFill>
              </w:rPr>
              <w:t>1m</w:t>
            </w:r>
            <w:r>
              <w:rPr>
                <w:rFonts w:ascii="Times New Roman" w:hAnsi="宋体"/>
                <w:color w:val="000000" w:themeColor="text1"/>
                <w:kern w:val="0"/>
                <w:sz w:val="18"/>
                <w:szCs w:val="18"/>
                <w14:textFill>
                  <w14:solidFill>
                    <w14:schemeClr w14:val="tx1"/>
                  </w14:solidFill>
                </w14:textFill>
              </w:rPr>
              <w:t>厚黏土层（渗透系数</w:t>
            </w:r>
            <w:r>
              <w:rPr>
                <w:rFonts w:ascii="Times New Roman" w:hAnsi="Times New Roman"/>
                <w:color w:val="000000" w:themeColor="text1"/>
                <w:kern w:val="0"/>
                <w:sz w:val="18"/>
                <w:szCs w:val="18"/>
                <w14:textFill>
                  <w14:solidFill>
                    <w14:schemeClr w14:val="tx1"/>
                  </w14:solidFill>
                </w14:textFill>
              </w:rPr>
              <w:t>≤10</w:t>
            </w:r>
            <w:r>
              <w:rPr>
                <w:rFonts w:ascii="Times New Roman" w:hAnsi="Times New Roman"/>
                <w:color w:val="000000" w:themeColor="text1"/>
                <w:kern w:val="0"/>
                <w:sz w:val="18"/>
                <w:szCs w:val="18"/>
                <w:vertAlign w:val="superscript"/>
                <w14:textFill>
                  <w14:solidFill>
                    <w14:schemeClr w14:val="tx1"/>
                  </w14:solidFill>
                </w14:textFill>
              </w:rPr>
              <w:t>-7</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w:t>
            </w:r>
            <w:r>
              <w:rPr>
                <w:rFonts w:ascii="Times New Roman" w:hAnsi="Times New Roman"/>
                <w:color w:val="000000" w:themeColor="text1"/>
                <w:kern w:val="0"/>
                <w:sz w:val="18"/>
                <w:szCs w:val="18"/>
                <w14:textFill>
                  <w14:solidFill>
                    <w14:schemeClr w14:val="tx1"/>
                  </w14:solidFill>
                </w14:textFill>
              </w:rPr>
              <w:t>2cm</w:t>
            </w:r>
            <w:r>
              <w:rPr>
                <w:rFonts w:ascii="Times New Roman" w:hAnsi="宋体"/>
                <w:color w:val="000000" w:themeColor="text1"/>
                <w:kern w:val="0"/>
                <w:sz w:val="18"/>
                <w:szCs w:val="18"/>
                <w14:textFill>
                  <w14:solidFill>
                    <w14:schemeClr w14:val="tx1"/>
                  </w14:solidFill>
                </w14:textFill>
              </w:rPr>
              <w:t>厚高密度聚乙烯，其渗透系数应小于</w:t>
            </w:r>
            <w:r>
              <w:rPr>
                <w:rFonts w:ascii="Times New Roman" w:hAnsi="Times New Roman"/>
                <w:color w:val="000000" w:themeColor="text1"/>
                <w:kern w:val="0"/>
                <w:sz w:val="18"/>
                <w:szCs w:val="18"/>
                <w14:textFill>
                  <w14:solidFill>
                    <w14:schemeClr w14:val="tx1"/>
                  </w14:solidFill>
                </w14:textFill>
              </w:rPr>
              <w:t xml:space="preserve"> 10</w:t>
            </w:r>
            <w:r>
              <w:rPr>
                <w:rFonts w:ascii="Times New Roman" w:hAnsi="Times New Roman"/>
                <w:color w:val="000000" w:themeColor="text1"/>
                <w:kern w:val="0"/>
                <w:sz w:val="18"/>
                <w:szCs w:val="18"/>
                <w:vertAlign w:val="superscript"/>
                <w14:textFill>
                  <w14:solidFill>
                    <w14:schemeClr w14:val="tx1"/>
                  </w14:solidFill>
                </w14:textFill>
              </w:rPr>
              <w:t>-10</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。或至少</w:t>
            </w:r>
            <w:r>
              <w:rPr>
                <w:rFonts w:ascii="Times New Roman" w:hAnsi="Times New Roman"/>
                <w:color w:val="000000" w:themeColor="text1"/>
                <w:kern w:val="0"/>
                <w:sz w:val="18"/>
                <w:szCs w:val="18"/>
                <w14:textFill>
                  <w14:solidFill>
                    <w14:schemeClr w14:val="tx1"/>
                  </w14:solidFill>
                </w14:textFill>
              </w:rPr>
              <w:t>2mm</w:t>
            </w:r>
            <w:r>
              <w:rPr>
                <w:rFonts w:ascii="Times New Roman" w:hAnsi="宋体"/>
                <w:color w:val="000000" w:themeColor="text1"/>
                <w:kern w:val="0"/>
                <w:sz w:val="18"/>
                <w:szCs w:val="18"/>
                <w14:textFill>
                  <w14:solidFill>
                    <w14:schemeClr w14:val="tx1"/>
                  </w14:solidFill>
                </w14:textFill>
              </w:rPr>
              <w:t>厚的其他人工材料，渗透系数应小于</w:t>
            </w:r>
            <w:r>
              <w:rPr>
                <w:rFonts w:ascii="Times New Roman" w:hAnsi="Times New Roman"/>
                <w:color w:val="000000" w:themeColor="text1"/>
                <w:kern w:val="0"/>
                <w:sz w:val="18"/>
                <w:szCs w:val="18"/>
                <w14:textFill>
                  <w14:solidFill>
                    <w14:schemeClr w14:val="tx1"/>
                  </w14:solidFill>
                </w14:textFill>
              </w:rPr>
              <w:t>10</w:t>
            </w:r>
            <w:r>
              <w:rPr>
                <w:rFonts w:ascii="Times New Roman" w:hAnsi="Times New Roman"/>
                <w:color w:val="000000" w:themeColor="text1"/>
                <w:kern w:val="0"/>
                <w:sz w:val="18"/>
                <w:szCs w:val="18"/>
                <w:vertAlign w:val="superscript"/>
                <w14:textFill>
                  <w14:solidFill>
                    <w14:schemeClr w14:val="tx1"/>
                  </w14:solidFill>
                </w14:textFill>
              </w:rPr>
              <w:t>-10</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w:t>
            </w:r>
          </w:p>
          <w:p>
            <w:pPr>
              <w:widowControl/>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fldChar w:fldCharType="begin"/>
            </w:r>
            <w:r>
              <w:rPr>
                <w:rFonts w:ascii="Times New Roman" w:hAnsi="Times New Roman"/>
                <w:color w:val="000000" w:themeColor="text1"/>
                <w:kern w:val="0"/>
                <w:sz w:val="18"/>
                <w:szCs w:val="18"/>
                <w14:textFill>
                  <w14:solidFill>
                    <w14:schemeClr w14:val="tx1"/>
                  </w14:solidFill>
                </w14:textFill>
              </w:rPr>
              <w:instrText xml:space="preserve"> </w:instrText>
            </w:r>
            <w:r>
              <w:rPr>
                <w:rFonts w:hint="eastAsia" w:ascii="Times New Roman" w:hAnsi="Times New Roman"/>
                <w:color w:val="000000" w:themeColor="text1"/>
                <w:kern w:val="0"/>
                <w:sz w:val="18"/>
                <w:szCs w:val="18"/>
                <w14:textFill>
                  <w14:solidFill>
                    <w14:schemeClr w14:val="tx1"/>
                  </w14:solidFill>
                </w14:textFill>
              </w:rPr>
              <w:instrText xml:space="preserve">= 2 \* GB3</w:instrText>
            </w:r>
            <w:r>
              <w:rPr>
                <w:rFonts w:ascii="Times New Roman" w:hAnsi="Times New Roman"/>
                <w:color w:val="000000" w:themeColor="text1"/>
                <w:kern w:val="0"/>
                <w:sz w:val="18"/>
                <w:szCs w:val="18"/>
                <w14:textFill>
                  <w14:solidFill>
                    <w14:schemeClr w14:val="tx1"/>
                  </w14:solidFill>
                </w14:textFill>
              </w:rPr>
              <w:instrText xml:space="preserve"> </w:instrText>
            </w:r>
            <w:r>
              <w:rPr>
                <w:rFonts w:ascii="Times New Roman" w:hAnsi="Times New Roman"/>
                <w:color w:val="000000" w:themeColor="text1"/>
                <w:kern w:val="0"/>
                <w:sz w:val="18"/>
                <w:szCs w:val="18"/>
                <w14:textFill>
                  <w14:solidFill>
                    <w14:schemeClr w14:val="tx1"/>
                  </w14:solidFill>
                </w14:textFill>
              </w:rPr>
              <w:fldChar w:fldCharType="separate"/>
            </w:r>
            <w:r>
              <w:rPr>
                <w:rFonts w:hint="eastAsia" w:ascii="Times New Roman" w:hAnsi="Times New Roman"/>
                <w:color w:val="000000" w:themeColor="text1"/>
                <w:kern w:val="0"/>
                <w:sz w:val="18"/>
                <w:szCs w:val="18"/>
                <w14:textFill>
                  <w14:solidFill>
                    <w14:schemeClr w14:val="tx1"/>
                  </w14:solidFill>
                </w14:textFill>
              </w:rPr>
              <w:t>②</w:t>
            </w:r>
            <w:r>
              <w:rPr>
                <w:rFonts w:ascii="Times New Roman" w:hAnsi="Times New Roman"/>
                <w:color w:val="000000" w:themeColor="text1"/>
                <w:kern w:val="0"/>
                <w:sz w:val="18"/>
                <w:szCs w:val="18"/>
                <w14:textFill>
                  <w14:solidFill>
                    <w14:schemeClr w14:val="tx1"/>
                  </w14:solidFill>
                </w14:textFill>
              </w:rPr>
              <w:fldChar w:fldCharType="end"/>
            </w:r>
            <w:r>
              <w:rPr>
                <w:rFonts w:ascii="Times New Roman" w:hAnsi="宋体"/>
                <w:color w:val="000000" w:themeColor="text1"/>
                <w:kern w:val="0"/>
                <w:sz w:val="18"/>
                <w:szCs w:val="18"/>
                <w14:textFill>
                  <w14:solidFill>
                    <w14:schemeClr w14:val="tx1"/>
                  </w14:solidFill>
                </w14:textFill>
              </w:rPr>
              <w:t>一般防渗</w:t>
            </w:r>
            <w:r>
              <w:rPr>
                <w:rFonts w:hint="eastAsia" w:ascii="Times New Roman" w:hAnsi="宋体"/>
                <w:color w:val="000000" w:themeColor="text1"/>
                <w:kern w:val="0"/>
                <w:sz w:val="18"/>
                <w:szCs w:val="18"/>
                <w14:textFill>
                  <w14:solidFill>
                    <w14:schemeClr w14:val="tx1"/>
                  </w14:solidFill>
                </w14:textFill>
              </w:rPr>
              <w:t>区域</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综合</w:t>
            </w:r>
            <w:r>
              <w:rPr>
                <w:rFonts w:ascii="Times New Roman" w:hAnsi="宋体"/>
                <w:color w:val="000000" w:themeColor="text1"/>
                <w:kern w:val="0"/>
                <w:sz w:val="18"/>
                <w:szCs w:val="18"/>
                <w14:textFill>
                  <w14:solidFill>
                    <w14:schemeClr w14:val="tx1"/>
                  </w14:solidFill>
                </w14:textFill>
              </w:rPr>
              <w:t>仓库等效黏土防渗层</w:t>
            </w:r>
            <w:r>
              <w:rPr>
                <w:rFonts w:ascii="Times New Roman" w:hAnsi="Times New Roman"/>
                <w:color w:val="000000" w:themeColor="text1"/>
                <w:kern w:val="0"/>
                <w:sz w:val="18"/>
                <w:szCs w:val="18"/>
                <w14:textFill>
                  <w14:solidFill>
                    <w14:schemeClr w14:val="tx1"/>
                  </w14:solidFill>
                </w14:textFill>
              </w:rPr>
              <w:t>Mb≥1.5m</w:t>
            </w:r>
            <w:r>
              <w:rPr>
                <w:rFonts w:ascii="Times New Roman" w:hAnsi="宋体"/>
                <w:color w:val="000000" w:themeColor="text1"/>
                <w:kern w:val="0"/>
                <w:sz w:val="18"/>
                <w:szCs w:val="18"/>
                <w14:textFill>
                  <w14:solidFill>
                    <w14:schemeClr w14:val="tx1"/>
                  </w14:solidFill>
                </w14:textFill>
              </w:rPr>
              <w:t>，</w:t>
            </w:r>
            <w:r>
              <w:rPr>
                <w:rFonts w:ascii="Times New Roman" w:hAnsi="Times New Roman"/>
                <w:color w:val="000000" w:themeColor="text1"/>
                <w:kern w:val="0"/>
                <w:sz w:val="18"/>
                <w:szCs w:val="18"/>
                <w14:textFill>
                  <w14:solidFill>
                    <w14:schemeClr w14:val="tx1"/>
                  </w14:solidFill>
                </w14:textFill>
              </w:rPr>
              <w:t>K≤1×10</w:t>
            </w:r>
            <w:r>
              <w:rPr>
                <w:rFonts w:ascii="Times New Roman" w:hAnsi="Times New Roman"/>
                <w:color w:val="000000" w:themeColor="text1"/>
                <w:kern w:val="0"/>
                <w:sz w:val="18"/>
                <w:szCs w:val="18"/>
                <w:vertAlign w:val="superscript"/>
                <w14:textFill>
                  <w14:solidFill>
                    <w14:schemeClr w14:val="tx1"/>
                  </w14:solidFill>
                </w14:textFill>
              </w:rPr>
              <w:t>-7</w:t>
            </w:r>
            <w:r>
              <w:rPr>
                <w:rFonts w:ascii="Times New Roman" w:hAnsi="Times New Roman"/>
                <w:color w:val="000000" w:themeColor="text1"/>
                <w:kern w:val="0"/>
                <w:sz w:val="18"/>
                <w:szCs w:val="18"/>
                <w14:textFill>
                  <w14:solidFill>
                    <w14:schemeClr w14:val="tx1"/>
                  </w14:solidFill>
                </w14:textFill>
              </w:rPr>
              <w:t>cm/s</w:t>
            </w:r>
            <w:r>
              <w:rPr>
                <w:rFonts w:ascii="Times New Roman" w:hAnsi="宋体"/>
                <w:color w:val="000000" w:themeColor="text1"/>
                <w:kern w:val="0"/>
                <w:sz w:val="18"/>
                <w:szCs w:val="18"/>
                <w14:textFill>
                  <w14:solidFill>
                    <w14:schemeClr w14:val="tx1"/>
                  </w14:solidFill>
                </w14:textFill>
              </w:rPr>
              <w:t>或参照</w:t>
            </w:r>
            <w:r>
              <w:rPr>
                <w:rFonts w:ascii="Times New Roman" w:hAnsi="Times New Roman"/>
                <w:color w:val="000000" w:themeColor="text1"/>
                <w:kern w:val="0"/>
                <w:sz w:val="18"/>
                <w:szCs w:val="18"/>
                <w14:textFill>
                  <w14:solidFill>
                    <w14:schemeClr w14:val="tx1"/>
                  </w14:solidFill>
                </w14:textFill>
              </w:rPr>
              <w:t xml:space="preserve"> GB16889 </w:t>
            </w:r>
            <w:r>
              <w:rPr>
                <w:rFonts w:ascii="Times New Roman" w:hAnsi="宋体"/>
                <w:color w:val="000000" w:themeColor="text1"/>
                <w:kern w:val="0"/>
                <w:sz w:val="18"/>
                <w:szCs w:val="18"/>
                <w14:textFill>
                  <w14:solidFill>
                    <w14:schemeClr w14:val="tx1"/>
                  </w14:solidFill>
                </w14:textFill>
              </w:rPr>
              <w:t>执行防渗处理。</w:t>
            </w:r>
          </w:p>
          <w:p>
            <w:pPr>
              <w:widowControl/>
              <w:jc w:val="left"/>
              <w:rPr>
                <w:rFonts w:ascii="宋体" w:hAnsi="宋体" w:cs="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fldChar w:fldCharType="begin"/>
            </w:r>
            <w:r>
              <w:rPr>
                <w:rFonts w:ascii="Times New Roman" w:hAnsi="宋体"/>
                <w:color w:val="000000" w:themeColor="text1"/>
                <w:kern w:val="0"/>
                <w:sz w:val="18"/>
                <w:szCs w:val="18"/>
                <w14:textFill>
                  <w14:solidFill>
                    <w14:schemeClr w14:val="tx1"/>
                  </w14:solidFill>
                </w14:textFill>
              </w:rPr>
              <w:instrText xml:space="preserve"> </w:instrText>
            </w:r>
            <w:r>
              <w:rPr>
                <w:rFonts w:hint="eastAsia" w:ascii="Times New Roman" w:hAnsi="宋体"/>
                <w:color w:val="000000" w:themeColor="text1"/>
                <w:kern w:val="0"/>
                <w:sz w:val="18"/>
                <w:szCs w:val="18"/>
                <w14:textFill>
                  <w14:solidFill>
                    <w14:schemeClr w14:val="tx1"/>
                  </w14:solidFill>
                </w14:textFill>
              </w:rPr>
              <w:instrText xml:space="preserve">= 3 \* GB3</w:instrText>
            </w:r>
            <w:r>
              <w:rPr>
                <w:rFonts w:ascii="Times New Roman" w:hAnsi="宋体"/>
                <w:color w:val="000000" w:themeColor="text1"/>
                <w:kern w:val="0"/>
                <w:sz w:val="18"/>
                <w:szCs w:val="18"/>
                <w14:textFill>
                  <w14:solidFill>
                    <w14:schemeClr w14:val="tx1"/>
                  </w14:solidFill>
                </w14:textFill>
              </w:rPr>
              <w:instrText xml:space="preserve"> </w:instrText>
            </w:r>
            <w:r>
              <w:rPr>
                <w:rFonts w:ascii="Times New Roman" w:hAnsi="宋体"/>
                <w:color w:val="000000" w:themeColor="text1"/>
                <w:kern w:val="0"/>
                <w:sz w:val="18"/>
                <w:szCs w:val="18"/>
                <w14:textFill>
                  <w14:solidFill>
                    <w14:schemeClr w14:val="tx1"/>
                  </w14:solidFill>
                </w14:textFill>
              </w:rPr>
              <w:fldChar w:fldCharType="separate"/>
            </w:r>
            <w:r>
              <w:rPr>
                <w:rFonts w:hint="eastAsia" w:ascii="Times New Roman" w:hAnsi="宋体"/>
                <w:color w:val="000000" w:themeColor="text1"/>
                <w:kern w:val="0"/>
                <w:sz w:val="18"/>
                <w:szCs w:val="18"/>
                <w14:textFill>
                  <w14:solidFill>
                    <w14:schemeClr w14:val="tx1"/>
                  </w14:solidFill>
                </w14:textFill>
              </w:rPr>
              <w:t>③</w:t>
            </w:r>
            <w:r>
              <w:rPr>
                <w:rFonts w:ascii="Times New Roman" w:hAnsi="宋体"/>
                <w:color w:val="000000" w:themeColor="text1"/>
                <w:kern w:val="0"/>
                <w:sz w:val="18"/>
                <w:szCs w:val="18"/>
                <w14:textFill>
                  <w14:solidFill>
                    <w14:schemeClr w14:val="tx1"/>
                  </w14:solidFill>
                </w14:textFill>
              </w:rPr>
              <w:fldChar w:fldCharType="end"/>
            </w:r>
            <w:r>
              <w:rPr>
                <w:rFonts w:hint="eastAsia" w:ascii="Times New Roman" w:hAnsi="宋体"/>
                <w:color w:val="000000" w:themeColor="text1"/>
                <w:kern w:val="0"/>
                <w:sz w:val="18"/>
                <w:szCs w:val="18"/>
                <w14:textFill>
                  <w14:solidFill>
                    <w14:schemeClr w14:val="tx1"/>
                  </w14:solidFill>
                </w14:textFill>
              </w:rPr>
              <w:t>简单防渗</w:t>
            </w:r>
            <w:r>
              <w:rPr>
                <w:rFonts w:ascii="Times New Roman" w:hAnsi="宋体"/>
                <w:color w:val="000000" w:themeColor="text1"/>
                <w:kern w:val="0"/>
                <w:sz w:val="18"/>
                <w:szCs w:val="18"/>
                <w14:textFill>
                  <w14:solidFill>
                    <w14:schemeClr w14:val="tx1"/>
                  </w14:solidFill>
                </w14:textFill>
              </w:rPr>
              <w:t>区域：</w:t>
            </w:r>
            <w:r>
              <w:rPr>
                <w:rFonts w:hint="eastAsia" w:ascii="Times New Roman" w:hAnsi="宋体"/>
                <w:color w:val="000000" w:themeColor="text1"/>
                <w:kern w:val="0"/>
                <w:sz w:val="18"/>
                <w:szCs w:val="18"/>
                <w14:textFill>
                  <w14:solidFill>
                    <w14:schemeClr w14:val="tx1"/>
                  </w14:solidFill>
                </w14:textFill>
              </w:rPr>
              <w:t>综合楼</w:t>
            </w:r>
            <w:r>
              <w:rPr>
                <w:rFonts w:ascii="Times New Roman" w:hAnsi="宋体"/>
                <w:color w:val="000000" w:themeColor="text1"/>
                <w:kern w:val="0"/>
                <w:sz w:val="18"/>
                <w:szCs w:val="18"/>
                <w14:textFill>
                  <w14:solidFill>
                    <w14:schemeClr w14:val="tx1"/>
                  </w14:solidFill>
                </w14:textFill>
              </w:rPr>
              <w:t>、</w:t>
            </w:r>
            <w:r>
              <w:rPr>
                <w:rFonts w:hint="eastAsia" w:ascii="Times New Roman" w:hAnsi="宋体"/>
                <w:color w:val="000000" w:themeColor="text1"/>
                <w:kern w:val="0"/>
                <w:sz w:val="18"/>
                <w:szCs w:val="18"/>
                <w14:textFill>
                  <w14:solidFill>
                    <w14:schemeClr w14:val="tx1"/>
                  </w14:solidFill>
                </w14:textFill>
              </w:rPr>
              <w:t>消防水池</w:t>
            </w:r>
            <w:r>
              <w:rPr>
                <w:rFonts w:ascii="Times New Roman" w:hAnsi="宋体"/>
                <w:color w:val="000000" w:themeColor="text1"/>
                <w:kern w:val="0"/>
                <w:sz w:val="18"/>
                <w:szCs w:val="18"/>
                <w14:textFill>
                  <w14:solidFill>
                    <w14:schemeClr w14:val="tx1"/>
                  </w14:solidFill>
                </w14:textFill>
              </w:rPr>
              <w:t>地面水泥硬化处理。</w:t>
            </w:r>
          </w:p>
        </w:tc>
        <w:tc>
          <w:tcPr>
            <w:tcW w:w="99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采取了分区防渗措施</w:t>
            </w:r>
          </w:p>
        </w:tc>
        <w:tc>
          <w:tcPr>
            <w:tcW w:w="199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vMerge w:val="continue"/>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1560" w:type="dxa"/>
            <w:shd w:val="clear" w:color="auto" w:fill="auto"/>
            <w:vAlign w:val="center"/>
          </w:tcPr>
          <w:p>
            <w:pPr>
              <w:widowControl/>
              <w:ind w:firstLine="360" w:firstLineChars="200"/>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地下水监控</w:t>
            </w:r>
          </w:p>
        </w:tc>
        <w:tc>
          <w:tcPr>
            <w:tcW w:w="3969"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布设地下水跟踪监测井3处：背景监测井一处（D1：厂区外西南侧），污染监控井两处（D2：罐区东北侧（场地）；D3：厂区外东北侧）</w:t>
            </w:r>
          </w:p>
        </w:tc>
        <w:tc>
          <w:tcPr>
            <w:tcW w:w="99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设置有地下水监控井，跟踪监控记录完整</w:t>
            </w:r>
          </w:p>
        </w:tc>
        <w:tc>
          <w:tcPr>
            <w:tcW w:w="199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jc w:val="center"/>
        </w:trPr>
        <w:tc>
          <w:tcPr>
            <w:tcW w:w="582" w:type="dxa"/>
            <w:shd w:val="clear" w:color="auto" w:fill="auto"/>
            <w:vAlign w:val="center"/>
          </w:tcPr>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环境</w:t>
            </w:r>
          </w:p>
          <w:p>
            <w:pPr>
              <w:widowControl/>
              <w:jc w:val="center"/>
              <w:rPr>
                <w:rFonts w:ascii="Times New Roman" w:hAnsi="宋体"/>
                <w:color w:val="000000" w:themeColor="text1"/>
                <w:kern w:val="0"/>
                <w:sz w:val="18"/>
                <w:szCs w:val="18"/>
                <w14:textFill>
                  <w14:solidFill>
                    <w14:schemeClr w14:val="tx1"/>
                  </w14:solidFill>
                </w14:textFill>
              </w:rPr>
            </w:pPr>
            <w:r>
              <w:rPr>
                <w:rFonts w:ascii="Times New Roman" w:hAnsi="宋体"/>
                <w:color w:val="000000" w:themeColor="text1"/>
                <w:kern w:val="0"/>
                <w:sz w:val="18"/>
                <w:szCs w:val="18"/>
                <w14:textFill>
                  <w14:solidFill>
                    <w14:schemeClr w14:val="tx1"/>
                  </w14:solidFill>
                </w14:textFill>
              </w:rPr>
              <w:t>风险</w:t>
            </w:r>
          </w:p>
        </w:tc>
        <w:tc>
          <w:tcPr>
            <w:tcW w:w="1560" w:type="dxa"/>
            <w:shd w:val="clear" w:color="auto" w:fill="auto"/>
            <w:vAlign w:val="center"/>
          </w:tcPr>
          <w:p>
            <w:pPr>
              <w:widowControl/>
              <w:ind w:firstLine="360" w:firstLineChars="200"/>
              <w:jc w:val="left"/>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环境应急</w:t>
            </w:r>
          </w:p>
        </w:tc>
        <w:tc>
          <w:tcPr>
            <w:tcW w:w="3969" w:type="dxa"/>
            <w:shd w:val="clear" w:color="auto" w:fill="auto"/>
            <w:vAlign w:val="center"/>
          </w:tcPr>
          <w:p>
            <w:pPr>
              <w:widowControl/>
              <w:jc w:val="left"/>
              <w:rPr>
                <w:rFonts w:ascii="Times New Roman" w:hAnsi="Times New Roman"/>
                <w:color w:val="000000" w:themeColor="text1"/>
                <w:kern w:val="0"/>
                <w:sz w:val="18"/>
                <w:szCs w:val="18"/>
                <w14:textFill>
                  <w14:solidFill>
                    <w14:schemeClr w14:val="tx1"/>
                  </w14:solidFill>
                </w14:textFill>
              </w:rPr>
            </w:pPr>
            <w:r>
              <w:rPr>
                <w:rFonts w:ascii="Times New Roman" w:hAnsi="Times New Roman"/>
                <w:color w:val="000000" w:themeColor="text1"/>
                <w:kern w:val="0"/>
                <w:sz w:val="18"/>
                <w:szCs w:val="18"/>
                <w14:textFill>
                  <w14:solidFill>
                    <w14:schemeClr w14:val="tx1"/>
                  </w14:solidFill>
                </w14:textFill>
              </w:rPr>
              <w:t>建设450m</w:t>
            </w:r>
            <w:r>
              <w:rPr>
                <w:rFonts w:ascii="Times New Roman" w:hAnsi="Times New Roman"/>
                <w:color w:val="000000" w:themeColor="text1"/>
                <w:kern w:val="0"/>
                <w:sz w:val="18"/>
                <w:szCs w:val="18"/>
                <w:vertAlign w:val="superscript"/>
                <w14:textFill>
                  <w14:solidFill>
                    <w14:schemeClr w14:val="tx1"/>
                  </w14:solidFill>
                </w14:textFill>
              </w:rPr>
              <w:t>3</w:t>
            </w:r>
            <w:r>
              <w:rPr>
                <w:rFonts w:ascii="Times New Roman" w:hAnsi="Times New Roman"/>
                <w:color w:val="000000" w:themeColor="text1"/>
                <w:kern w:val="0"/>
                <w:sz w:val="18"/>
                <w:szCs w:val="18"/>
                <w14:textFill>
                  <w14:solidFill>
                    <w14:schemeClr w14:val="tx1"/>
                  </w14:solidFill>
                </w14:textFill>
              </w:rPr>
              <w:t>事故应急池一座；罐区设置事故罐，按安全相关要求设置围堰和导流收集槽。编制突发环境事件应急预案。</w:t>
            </w:r>
          </w:p>
        </w:tc>
        <w:tc>
          <w:tcPr>
            <w:tcW w:w="992"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建有事故池，事故应急预案完善，应急物资充足</w:t>
            </w:r>
          </w:p>
        </w:tc>
        <w:tc>
          <w:tcPr>
            <w:tcW w:w="1997" w:type="dxa"/>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bl>
    <w:p>
      <w:pPr>
        <w:rPr>
          <w:color w:val="000000" w:themeColor="text1"/>
          <w14:textFill>
            <w14:solidFill>
              <w14:schemeClr w14:val="tx1"/>
            </w14:solidFill>
          </w14:textFill>
        </w:rPr>
      </w:pP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adjustRightInd w:val="0"/>
        <w:snapToGrid w:val="0"/>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p>
    <w:p>
      <w:pPr>
        <w:rPr>
          <w:rFonts w:ascii="黑体" w:hAnsi="黑体" w:eastAsia="黑体"/>
          <w:b/>
          <w:color w:val="000000" w:themeColor="text1"/>
          <w:sz w:val="44"/>
          <w:szCs w:val="44"/>
          <w14:textFill>
            <w14:solidFill>
              <w14:schemeClr w14:val="tx1"/>
            </w14:solidFill>
          </w14:textFill>
        </w:rPr>
      </w:pPr>
      <w:r>
        <w:rPr>
          <w:rFonts w:ascii="黑体" w:hAnsi="黑体" w:eastAsia="黑体"/>
          <w:b/>
          <w:color w:val="000000" w:themeColor="text1"/>
          <w:sz w:val="44"/>
          <w:szCs w:val="44"/>
          <w14:textFill>
            <w14:solidFill>
              <w14:schemeClr w14:val="tx1"/>
            </w14:solidFill>
          </w14:textFill>
        </w:rPr>
        <w:br w:type="page"/>
      </w:r>
    </w:p>
    <w:p>
      <w:pPr>
        <w:pStyle w:val="380"/>
        <w:adjustRightInd w:val="0"/>
        <w:snapToGrid w:val="0"/>
        <w:spacing w:after="360" w:afterLines="150"/>
        <w:ind w:firstLine="2650" w:firstLineChars="600"/>
        <w:outlineLvl w:val="2"/>
        <w:rPr>
          <w:rFonts w:ascii="黑体" w:hAnsi="黑体" w:eastAsia="黑体"/>
          <w:b/>
          <w:color w:val="000000" w:themeColor="text1"/>
          <w:sz w:val="44"/>
          <w:szCs w:val="44"/>
          <w14:textFill>
            <w14:solidFill>
              <w14:schemeClr w14:val="tx1"/>
            </w14:solidFill>
          </w14:textFill>
        </w:rPr>
      </w:pPr>
      <w:bookmarkStart w:id="907" w:name="_Toc24259"/>
      <w:r>
        <w:rPr>
          <w:rFonts w:hint="default" w:ascii="黑体" w:hAnsi="黑体" w:eastAsia="黑体"/>
          <w:b/>
          <w:color w:val="000000" w:themeColor="text1"/>
          <w:sz w:val="44"/>
          <w:szCs w:val="44"/>
          <w:lang w:val="en-US"/>
          <w14:textFill>
            <w14:solidFill>
              <w14:schemeClr w14:val="tx1"/>
            </w14:solidFill>
          </w14:textFill>
        </w:rPr>
        <w:t>12</w:t>
      </w:r>
      <w:r>
        <w:rPr>
          <w:rFonts w:ascii="黑体" w:hAnsi="黑体" w:eastAsia="黑体"/>
          <w:b/>
          <w:color w:val="000000" w:themeColor="text1"/>
          <w:sz w:val="44"/>
          <w:szCs w:val="44"/>
          <w14:textFill>
            <w14:solidFill>
              <w14:schemeClr w14:val="tx1"/>
            </w14:solidFill>
          </w14:textFill>
        </w:rPr>
        <w:t>评价结论与建议</w:t>
      </w:r>
      <w:bookmarkEnd w:id="907"/>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908" w:name="_Toc17156"/>
      <w:r>
        <w:rPr>
          <w:rFonts w:hint="default" w:ascii="Times New Roman" w:hAnsi="Times New Roman" w:eastAsia="黑体"/>
          <w:b/>
          <w:color w:val="000000" w:themeColor="text1"/>
          <w:sz w:val="32"/>
          <w:szCs w:val="32"/>
          <w:lang w:val="en-US"/>
          <w14:textFill>
            <w14:solidFill>
              <w14:schemeClr w14:val="tx1"/>
            </w14:solidFill>
          </w14:textFill>
        </w:rPr>
        <w:t>12</w:t>
      </w:r>
      <w:r>
        <w:rPr>
          <w:rFonts w:ascii="Times New Roman" w:hAnsi="Times New Roman" w:eastAsia="黑体"/>
          <w:b/>
          <w:color w:val="000000" w:themeColor="text1"/>
          <w:sz w:val="32"/>
          <w:szCs w:val="32"/>
          <w14:textFill>
            <w14:solidFill>
              <w14:schemeClr w14:val="tx1"/>
            </w14:solidFill>
          </w14:textFill>
        </w:rPr>
        <w:t>.1</w:t>
      </w:r>
      <w:r>
        <w:rPr>
          <w:rFonts w:hint="eastAsia" w:ascii="黑体" w:hAnsi="黑体" w:eastAsia="黑体"/>
          <w:b/>
          <w:color w:val="000000" w:themeColor="text1"/>
          <w:sz w:val="32"/>
          <w:szCs w:val="32"/>
          <w14:textFill>
            <w14:solidFill>
              <w14:schemeClr w14:val="tx1"/>
            </w14:solidFill>
          </w14:textFill>
        </w:rPr>
        <w:t>建设项目概况</w:t>
      </w:r>
      <w:bookmarkEnd w:id="908"/>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为进一步实现宜昌市境内磷化工企业副产氟硅酸的资源化利用，变废为宝，保护生态环境，宜都市吉洪化工有限公司拟在宜昌化工园宜都园区建设氟硅酸钠生产加工项目一期。项目主要建设内容包括：新建1栋氟硅酸钠生产车间（内设3条氟硅酸钠生产线，变配电站、循环水系统、空压设备），配套建设1栋综合仓库（含维修间）、综合楼（含控制室、中心化验室等）、罐区、事故水池（兼初期雨水收集池）、消防水池、水泵房等。本项目建成后可实现年产氟硅酸钠1.5万吨、副产30%氯化钙水溶液33586.92吨</w:t>
      </w:r>
      <w:r>
        <w:rPr>
          <w:rFonts w:hint="eastAsia" w:ascii="Times New Roman" w:hAnsi="Times New Roman"/>
          <w:color w:val="000000" w:themeColor="text1"/>
          <w:sz w:val="24"/>
          <w:szCs w:val="24"/>
          <w14:textFill>
            <w14:solidFill>
              <w14:schemeClr w14:val="tx1"/>
            </w14:solidFill>
          </w14:textFill>
        </w:rPr>
        <w:t xml:space="preserve">。        </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本项目总投资5500万元</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其中环保投资305万元，约占总投资额的5.55%，总占地面积13289.28</w:t>
      </w:r>
      <w:r>
        <w:rPr>
          <w:rFonts w:hint="eastAsia" w:ascii="Times New Roman"/>
          <w:color w:val="000000" w:themeColor="text1"/>
          <w:sz w:val="24"/>
          <w:szCs w:val="24"/>
          <w14:textFill>
            <w14:solidFill>
              <w14:schemeClr w14:val="tx1"/>
            </w14:solidFill>
          </w14:textFill>
        </w:rPr>
        <w:t>m</w:t>
      </w:r>
      <w:r>
        <w:rPr>
          <w:rFonts w:hint="eastAsia" w:ascii="Times New Roman"/>
          <w:color w:val="000000" w:themeColor="text1"/>
          <w:sz w:val="24"/>
          <w:szCs w:val="24"/>
          <w:vertAlign w:val="superscript"/>
          <w14:textFill>
            <w14:solidFill>
              <w14:schemeClr w14:val="tx1"/>
            </w14:solidFill>
          </w14:textFill>
        </w:rPr>
        <w:t>2</w:t>
      </w:r>
      <w:r>
        <w:rPr>
          <w:rFonts w:hint="eastAsia" w:ascii="Times New Roman"/>
          <w:color w:val="000000" w:themeColor="text1"/>
          <w:sz w:val="24"/>
          <w:szCs w:val="24"/>
          <w14:textFill>
            <w14:solidFill>
              <w14:schemeClr w14:val="tx1"/>
            </w14:solidFill>
          </w14:textFill>
        </w:rPr>
        <w:t>，总建筑面积为4604.95m</w:t>
      </w:r>
      <w:r>
        <w:rPr>
          <w:rFonts w:hint="eastAsia" w:ascii="Times New Roman"/>
          <w:color w:val="000000" w:themeColor="text1"/>
          <w:sz w:val="24"/>
          <w:szCs w:val="24"/>
          <w:vertAlign w:val="superscript"/>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909" w:name="_Toc20536"/>
      <w:r>
        <w:rPr>
          <w:rFonts w:hint="default" w:ascii="Times New Roman" w:hAnsi="Times New Roman" w:eastAsia="黑体"/>
          <w:b/>
          <w:color w:val="000000" w:themeColor="text1"/>
          <w:sz w:val="32"/>
          <w:szCs w:val="32"/>
          <w:lang w:val="en-US"/>
          <w14:textFill>
            <w14:solidFill>
              <w14:schemeClr w14:val="tx1"/>
            </w14:solidFill>
          </w14:textFill>
        </w:rPr>
        <w:t>12</w:t>
      </w:r>
      <w:r>
        <w:rPr>
          <w:rFonts w:ascii="Times New Roman" w:hAnsi="Times New Roman" w:eastAsia="黑体"/>
          <w:b/>
          <w:color w:val="000000" w:themeColor="text1"/>
          <w:sz w:val="32"/>
          <w:szCs w:val="32"/>
          <w14:textFill>
            <w14:solidFill>
              <w14:schemeClr w14:val="tx1"/>
            </w14:solidFill>
          </w14:textFill>
        </w:rPr>
        <w:t>.2</w:t>
      </w:r>
      <w:r>
        <w:rPr>
          <w:rFonts w:hint="eastAsia" w:ascii="黑体" w:hAnsi="黑体" w:eastAsia="黑体"/>
          <w:b/>
          <w:color w:val="000000" w:themeColor="text1"/>
          <w:sz w:val="32"/>
          <w:szCs w:val="32"/>
          <w14:textFill>
            <w14:solidFill>
              <w14:schemeClr w14:val="tx1"/>
            </w14:solidFill>
          </w14:textFill>
        </w:rPr>
        <w:t>政策及规划符合性分析结论</w:t>
      </w:r>
      <w:bookmarkEnd w:id="909"/>
    </w:p>
    <w:p>
      <w:pPr>
        <w:pStyle w:val="380"/>
        <w:numPr>
          <w:ilvl w:val="0"/>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pStyle w:val="380"/>
        <w:numPr>
          <w:ilvl w:val="1"/>
          <w:numId w:val="22"/>
        </w:numPr>
        <w:adjustRightInd w:val="0"/>
        <w:snapToGrid w:val="0"/>
        <w:spacing w:before="48" w:beforeLines="20" w:after="4" w:line="520" w:lineRule="exact"/>
        <w:ind w:firstLineChars="0"/>
        <w:jc w:val="left"/>
        <w:outlineLvl w:val="4"/>
        <w:rPr>
          <w:rFonts w:ascii="黑体" w:hAnsi="黑体" w:eastAsia="黑体"/>
          <w:b/>
          <w:vanish/>
          <w:color w:val="000000" w:themeColor="text1"/>
          <w:kern w:val="0"/>
          <w:sz w:val="28"/>
          <w:szCs w:val="28"/>
          <w14:textFill>
            <w14:solidFill>
              <w14:schemeClr w14:val="tx1"/>
            </w14:solidFill>
          </w14:textFill>
        </w:rPr>
      </w:pPr>
    </w:p>
    <w:p>
      <w:pPr>
        <w:spacing w:line="520" w:lineRule="exact"/>
        <w:ind w:firstLine="480" w:firstLineChars="200"/>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本项目为氟硅酸钠生产加工项目（</w:t>
      </w:r>
      <w:r>
        <w:rPr>
          <w:rFonts w:hint="eastAsia" w:ascii="Times New Roman" w:hAnsi="Times New Roman" w:eastAsiaTheme="minorEastAsia"/>
          <w:color w:val="000000" w:themeColor="text1"/>
          <w:sz w:val="24"/>
          <w14:textFill>
            <w14:solidFill>
              <w14:schemeClr w14:val="tx1"/>
            </w14:solidFill>
          </w14:textFill>
        </w:rPr>
        <w:t>C2613无机盐制造）</w:t>
      </w:r>
      <w:r>
        <w:rPr>
          <w:rFonts w:hint="eastAsia" w:ascii="Times New Roman"/>
          <w:color w:val="000000" w:themeColor="text1"/>
          <w:sz w:val="24"/>
          <w:szCs w:val="24"/>
          <w14:textFill>
            <w14:solidFill>
              <w14:schemeClr w14:val="tx1"/>
            </w14:solidFill>
          </w14:textFill>
        </w:rPr>
        <w:t>，属于《产业结构调整指导目录（</w:t>
      </w:r>
      <w:r>
        <w:rPr>
          <w:rFonts w:ascii="Times New Roman"/>
          <w:color w:val="000000" w:themeColor="text1"/>
          <w:sz w:val="24"/>
          <w:szCs w:val="24"/>
          <w14:textFill>
            <w14:solidFill>
              <w14:schemeClr w14:val="tx1"/>
            </w14:solidFill>
          </w14:textFill>
        </w:rPr>
        <w:t>201</w:t>
      </w:r>
      <w:r>
        <w:rPr>
          <w:rFonts w:hint="eastAsia" w:ascii="Times New Roman"/>
          <w:color w:val="000000" w:themeColor="text1"/>
          <w:sz w:val="24"/>
          <w:szCs w:val="24"/>
          <w14:textFill>
            <w14:solidFill>
              <w14:schemeClr w14:val="tx1"/>
            </w14:solidFill>
          </w14:textFill>
        </w:rPr>
        <w:t>9年本）》</w:t>
      </w:r>
      <w:r>
        <w:rPr>
          <w:rFonts w:hint="eastAsia" w:ascii="Times New Roman" w:hAnsiTheme="minorEastAsia" w:eastAsiaTheme="minorEastAsia"/>
          <w:color w:val="000000" w:themeColor="text1"/>
          <w:sz w:val="24"/>
          <w14:textFill>
            <w14:solidFill>
              <w14:schemeClr w14:val="tx1"/>
            </w14:solidFill>
          </w14:textFill>
        </w:rPr>
        <w:t>“鼓励类”中“十一、石化化工、14.含氟精细化学品和高品质含氟无机盐”，</w:t>
      </w:r>
      <w:r>
        <w:rPr>
          <w:rFonts w:ascii="Times New Roman"/>
          <w:color w:val="000000" w:themeColor="text1"/>
          <w:sz w:val="24"/>
          <w:szCs w:val="24"/>
          <w14:textFill>
            <w14:solidFill>
              <w14:schemeClr w14:val="tx1"/>
            </w14:solidFill>
          </w14:textFill>
        </w:rPr>
        <w:t>符合国家产业政策的要求</w:t>
      </w:r>
      <w:r>
        <w:rPr>
          <w:rFonts w:hint="eastAsia" w:ascii="Times New Roman"/>
          <w:color w:val="000000" w:themeColor="text1"/>
          <w:sz w:val="24"/>
          <w:szCs w:val="24"/>
          <w14:textFill>
            <w14:solidFill>
              <w14:schemeClr w14:val="tx1"/>
            </w14:solidFill>
          </w14:textFill>
        </w:rPr>
        <w:t>；项目工艺先进，布局合理，</w:t>
      </w:r>
      <w:r>
        <w:rPr>
          <w:rFonts w:ascii="Times New Roman"/>
          <w:color w:val="000000" w:themeColor="text1"/>
          <w:sz w:val="24"/>
          <w:szCs w:val="24"/>
          <w14:textFill>
            <w14:solidFill>
              <w14:schemeClr w14:val="tx1"/>
            </w14:solidFill>
          </w14:textFill>
        </w:rPr>
        <w:t>符合</w:t>
      </w:r>
      <w:r>
        <w:rPr>
          <w:rFonts w:hint="eastAsia" w:ascii="Times New Roman"/>
          <w:color w:val="000000" w:themeColor="text1"/>
          <w:sz w:val="24"/>
          <w:szCs w:val="24"/>
          <w14:textFill>
            <w14:solidFill>
              <w14:schemeClr w14:val="tx1"/>
            </w14:solidFill>
          </w14:textFill>
        </w:rPr>
        <w:t>宜昌化工</w:t>
      </w:r>
      <w:r>
        <w:rPr>
          <w:rFonts w:ascii="Times New Roman"/>
          <w:color w:val="000000" w:themeColor="text1"/>
          <w:sz w:val="24"/>
          <w:szCs w:val="24"/>
          <w14:textFill>
            <w14:solidFill>
              <w14:schemeClr w14:val="tx1"/>
            </w14:solidFill>
          </w14:textFill>
        </w:rPr>
        <w:t>园</w:t>
      </w:r>
      <w:r>
        <w:rPr>
          <w:rFonts w:hint="eastAsia" w:ascii="Times New Roman"/>
          <w:color w:val="000000" w:themeColor="text1"/>
          <w:sz w:val="24"/>
          <w:szCs w:val="24"/>
          <w14:textFill>
            <w14:solidFill>
              <w14:schemeClr w14:val="tx1"/>
            </w14:solidFill>
          </w14:textFill>
        </w:rPr>
        <w:t>宜都园区</w:t>
      </w:r>
      <w:r>
        <w:rPr>
          <w:rFonts w:ascii="Times New Roman"/>
          <w:color w:val="000000" w:themeColor="text1"/>
          <w:sz w:val="24"/>
          <w:szCs w:val="24"/>
          <w14:textFill>
            <w14:solidFill>
              <w14:schemeClr w14:val="tx1"/>
            </w14:solidFill>
          </w14:textFill>
        </w:rPr>
        <w:t>产业规划要求；本项目位于</w:t>
      </w:r>
      <w:r>
        <w:rPr>
          <w:rFonts w:hint="eastAsia" w:ascii="Times New Roman"/>
          <w:color w:val="000000" w:themeColor="text1"/>
          <w:sz w:val="24"/>
          <w:szCs w:val="24"/>
          <w14:textFill>
            <w14:solidFill>
              <w14:schemeClr w14:val="tx1"/>
            </w14:solidFill>
          </w14:textFill>
        </w:rPr>
        <w:t>宜昌化工园宜都园区</w:t>
      </w:r>
      <w:r>
        <w:rPr>
          <w:rFonts w:ascii="Times New Roman"/>
          <w:color w:val="000000" w:themeColor="text1"/>
          <w:sz w:val="24"/>
          <w:szCs w:val="24"/>
          <w14:textFill>
            <w14:solidFill>
              <w14:schemeClr w14:val="tx1"/>
            </w14:solidFill>
          </w14:textFill>
        </w:rPr>
        <w:t>内，不属于《限制用地项目目录</w:t>
      </w:r>
      <w:r>
        <w:rPr>
          <w:rFonts w:hint="eastAsia" w:asci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2012</w:t>
      </w:r>
      <w:r>
        <w:rPr>
          <w:rFonts w:ascii="Times New Roman"/>
          <w:color w:val="000000" w:themeColor="text1"/>
          <w:sz w:val="24"/>
          <w:szCs w:val="24"/>
          <w14:textFill>
            <w14:solidFill>
              <w14:schemeClr w14:val="tx1"/>
            </w14:solidFill>
          </w14:textFill>
        </w:rPr>
        <w:t>年本</w:t>
      </w:r>
      <w:r>
        <w:rPr>
          <w:rFonts w:hint="eastAsia" w:ascii="Times New Roman" w:hAnsi="Times New Roman"/>
          <w:color w:val="000000" w:themeColor="text1"/>
          <w:sz w:val="24"/>
          <w:szCs w:val="24"/>
          <w14:textFill>
            <w14:solidFill>
              <w14:schemeClr w14:val="tx1"/>
            </w14:solidFill>
          </w14:textFill>
        </w:rPr>
        <w:t>）</w:t>
      </w:r>
      <w:r>
        <w:rPr>
          <w:rFonts w:ascii="Times New Roman"/>
          <w:color w:val="000000" w:themeColor="text1"/>
          <w:sz w:val="24"/>
          <w:szCs w:val="24"/>
          <w14:textFill>
            <w14:solidFill>
              <w14:schemeClr w14:val="tx1"/>
            </w14:solidFill>
          </w14:textFill>
        </w:rPr>
        <w:t>》和《禁止用地项目目录</w:t>
      </w:r>
      <w:r>
        <w:rPr>
          <w:rFonts w:hint="eastAsia" w:asci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2012</w:t>
      </w:r>
      <w:r>
        <w:rPr>
          <w:rFonts w:ascii="Times New Roman"/>
          <w:color w:val="000000" w:themeColor="text1"/>
          <w:sz w:val="24"/>
          <w:szCs w:val="24"/>
          <w14:textFill>
            <w14:solidFill>
              <w14:schemeClr w14:val="tx1"/>
            </w14:solidFill>
          </w14:textFill>
        </w:rPr>
        <w:t>年本</w:t>
      </w:r>
      <w:r>
        <w:rPr>
          <w:rFonts w:hint="eastAsia" w:ascii="Times New Roman" w:hAnsi="Times New Roman"/>
          <w:color w:val="000000" w:themeColor="text1"/>
          <w:sz w:val="24"/>
          <w:szCs w:val="24"/>
          <w14:textFill>
            <w14:solidFill>
              <w14:schemeClr w14:val="tx1"/>
            </w14:solidFill>
          </w14:textFill>
        </w:rPr>
        <w:t>）</w:t>
      </w:r>
      <w:r>
        <w:rPr>
          <w:rFonts w:ascii="Times New Roman"/>
          <w:color w:val="000000" w:themeColor="text1"/>
          <w:sz w:val="24"/>
          <w:szCs w:val="24"/>
          <w14:textFill>
            <w14:solidFill>
              <w14:schemeClr w14:val="tx1"/>
            </w14:solidFill>
          </w14:textFill>
        </w:rPr>
        <w:t>》中限制用地和禁止用地项目，</w:t>
      </w:r>
      <w:r>
        <w:rPr>
          <w:rFonts w:hint="eastAsia" w:ascii="Times New Roman" w:hAnsiTheme="minorEastAsia" w:eastAsiaTheme="minorEastAsia"/>
          <w:color w:val="000000" w:themeColor="text1"/>
          <w:sz w:val="24"/>
          <w14:textFill>
            <w14:solidFill>
              <w14:schemeClr w14:val="tx1"/>
            </w14:solidFill>
          </w14:textFill>
        </w:rPr>
        <w:t>本项目已取得宜都市自然资源和规划局颁发的建设用地规划许可证（鄂规用地42058120190020号）</w:t>
      </w:r>
      <w:r>
        <w:rPr>
          <w:rFonts w:ascii="Times New Roman"/>
          <w:color w:val="000000" w:themeColor="text1"/>
          <w:sz w:val="24"/>
          <w:szCs w:val="24"/>
          <w14:textFill>
            <w14:solidFill>
              <w14:schemeClr w14:val="tx1"/>
            </w14:solidFill>
          </w14:textFill>
        </w:rPr>
        <w:t>，符合用地要求</w:t>
      </w:r>
      <w:r>
        <w:rPr>
          <w:rFonts w:hint="eastAsia" w:ascii="Times New Roman"/>
          <w:color w:val="000000" w:themeColor="text1"/>
          <w:sz w:val="24"/>
          <w:szCs w:val="24"/>
          <w14:textFill>
            <w14:solidFill>
              <w14:schemeClr w14:val="tx1"/>
            </w14:solidFill>
          </w14:textFill>
        </w:rPr>
        <w:t>；</w:t>
      </w:r>
      <w:r>
        <w:rPr>
          <w:rFonts w:ascii="Times New Roman"/>
          <w:color w:val="000000" w:themeColor="text1"/>
          <w:sz w:val="24"/>
          <w:szCs w:val="24"/>
          <w14:textFill>
            <w14:solidFill>
              <w14:schemeClr w14:val="tx1"/>
            </w14:solidFill>
          </w14:textFill>
        </w:rPr>
        <w:t>本项目位于长江经济带，符合长江大保护相关文件的要求；项目选址符合《</w:t>
      </w:r>
      <w:r>
        <w:rPr>
          <w:rFonts w:hint="eastAsia" w:ascii="Times New Roman"/>
          <w:color w:val="000000" w:themeColor="text1"/>
          <w:sz w:val="24"/>
          <w:szCs w:val="24"/>
          <w14:textFill>
            <w14:solidFill>
              <w14:schemeClr w14:val="tx1"/>
            </w14:solidFill>
          </w14:textFill>
        </w:rPr>
        <w:t>宜昌化工园宜都园区</w:t>
      </w:r>
      <w:r>
        <w:rPr>
          <w:rFonts w:ascii="Times New Roman"/>
          <w:color w:val="000000" w:themeColor="text1"/>
          <w:sz w:val="24"/>
          <w:szCs w:val="24"/>
          <w14:textFill>
            <w14:solidFill>
              <w14:schemeClr w14:val="tx1"/>
            </w14:solidFill>
          </w14:textFill>
        </w:rPr>
        <w:t>总体规划（</w:t>
      </w:r>
      <w:r>
        <w:rPr>
          <w:rFonts w:ascii="Times New Roman" w:hAnsi="Times New Roman"/>
          <w:color w:val="000000" w:themeColor="text1"/>
          <w:sz w:val="24"/>
          <w:szCs w:val="24"/>
          <w14:textFill>
            <w14:solidFill>
              <w14:schemeClr w14:val="tx1"/>
            </w14:solidFill>
          </w14:textFill>
        </w:rPr>
        <w:t>201</w:t>
      </w:r>
      <w:r>
        <w:rPr>
          <w:rFonts w:hint="eastAsia" w:ascii="Times New Roman" w:hAnsi="Times New Roman"/>
          <w:color w:val="000000" w:themeColor="text1"/>
          <w:sz w:val="24"/>
          <w:szCs w:val="24"/>
          <w14:textFill>
            <w14:solidFill>
              <w14:schemeClr w14:val="tx1"/>
            </w14:solidFill>
          </w14:textFill>
        </w:rPr>
        <w:t>7</w:t>
      </w:r>
      <w:r>
        <w:rPr>
          <w:rFonts w:ascii="Times New Roman" w:hAnsi="Times New Roman"/>
          <w:color w:val="000000" w:themeColor="text1"/>
          <w:sz w:val="24"/>
          <w:szCs w:val="24"/>
          <w14:textFill>
            <w14:solidFill>
              <w14:schemeClr w14:val="tx1"/>
            </w14:solidFill>
          </w14:textFill>
        </w:rPr>
        <w:t>-2030</w:t>
      </w:r>
      <w:r>
        <w:rPr>
          <w:rFonts w:ascii="Times New Roman"/>
          <w:color w:val="000000" w:themeColor="text1"/>
          <w:sz w:val="24"/>
          <w:szCs w:val="24"/>
          <w14:textFill>
            <w14:solidFill>
              <w14:schemeClr w14:val="tx1"/>
            </w14:solidFill>
          </w14:textFill>
        </w:rPr>
        <w:t>）》、《</w:t>
      </w:r>
      <w:r>
        <w:rPr>
          <w:rFonts w:hint="eastAsia" w:ascii="Times New Roman"/>
          <w:color w:val="000000" w:themeColor="text1"/>
          <w:sz w:val="24"/>
          <w:szCs w:val="24"/>
          <w14:textFill>
            <w14:solidFill>
              <w14:schemeClr w14:val="tx1"/>
            </w14:solidFill>
          </w14:textFill>
        </w:rPr>
        <w:t>宜昌化工园宜都园区总体规划环境影响报告书</w:t>
      </w:r>
      <w:r>
        <w:rPr>
          <w:rFonts w:ascii="Times New Roman"/>
          <w:color w:val="000000" w:themeColor="text1"/>
          <w:sz w:val="24"/>
          <w:szCs w:val="24"/>
          <w14:textFill>
            <w14:solidFill>
              <w14:schemeClr w14:val="tx1"/>
            </w14:solidFill>
          </w14:textFill>
        </w:rPr>
        <w:t>》的相关要求，符合《湖北省生态保护红线》、</w:t>
      </w:r>
      <w:r>
        <w:rPr>
          <w:rFonts w:hint="eastAsia" w:ascii="Times New Roman"/>
          <w:color w:val="000000" w:themeColor="text1"/>
          <w:sz w:val="24"/>
          <w:szCs w:val="24"/>
          <w14:textFill>
            <w14:solidFill>
              <w14:schemeClr w14:val="tx1"/>
            </w14:solidFill>
          </w14:textFill>
        </w:rPr>
        <w:t>及</w:t>
      </w:r>
      <w:r>
        <w:rPr>
          <w:rFonts w:hint="eastAsia" w:ascii="Times New Roman" w:hAnsi="Times New Roman"/>
          <w:color w:val="000000" w:themeColor="text1"/>
          <w:sz w:val="24"/>
          <w:szCs w:val="24"/>
          <w14:textFill>
            <w14:solidFill>
              <w14:schemeClr w14:val="tx1"/>
            </w14:solidFill>
          </w14:textFill>
        </w:rPr>
        <w:t>“</w:t>
      </w:r>
      <w:r>
        <w:rPr>
          <w:rFonts w:ascii="Times New Roman"/>
          <w:color w:val="000000" w:themeColor="text1"/>
          <w:sz w:val="24"/>
          <w:szCs w:val="24"/>
          <w14:textFill>
            <w14:solidFill>
              <w14:schemeClr w14:val="tx1"/>
            </w14:solidFill>
          </w14:textFill>
        </w:rPr>
        <w:t>三线一单</w:t>
      </w:r>
      <w:r>
        <w:rPr>
          <w:rFonts w:hint="eastAsia" w:ascii="Times New Roman" w:hAnsi="Times New Roman"/>
          <w:color w:val="000000" w:themeColor="text1"/>
          <w:sz w:val="24"/>
          <w:szCs w:val="24"/>
          <w14:textFill>
            <w14:solidFill>
              <w14:schemeClr w14:val="tx1"/>
            </w14:solidFill>
          </w14:textFill>
        </w:rPr>
        <w:t>”生态环境分区管控</w:t>
      </w:r>
      <w:r>
        <w:rPr>
          <w:rFonts w:ascii="Times New Roman"/>
          <w:color w:val="000000" w:themeColor="text1"/>
          <w:sz w:val="24"/>
          <w:szCs w:val="24"/>
          <w14:textFill>
            <w14:solidFill>
              <w14:schemeClr w14:val="tx1"/>
            </w14:solidFill>
          </w14:textFill>
        </w:rPr>
        <w:t>的管控要求，项目选址符合规划要求。</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综上</w:t>
      </w:r>
      <w:r>
        <w:rPr>
          <w:rFonts w:hint="eastAsia" w:ascii="Times New Roman"/>
          <w:color w:val="000000" w:themeColor="text1"/>
          <w:sz w:val="24"/>
          <w:szCs w:val="24"/>
          <w14:textFill>
            <w14:solidFill>
              <w14:schemeClr w14:val="tx1"/>
            </w14:solidFill>
          </w14:textFill>
        </w:rPr>
        <w:t>所述</w:t>
      </w:r>
      <w:r>
        <w:rPr>
          <w:rFonts w:ascii="Times New Roman"/>
          <w:color w:val="000000" w:themeColor="text1"/>
          <w:sz w:val="24"/>
          <w:szCs w:val="24"/>
          <w14:textFill>
            <w14:solidFill>
              <w14:schemeClr w14:val="tx1"/>
            </w14:solidFill>
          </w14:textFill>
        </w:rPr>
        <w:t>，拟建项目符合国家相关产业政策</w:t>
      </w:r>
      <w:r>
        <w:rPr>
          <w:rFonts w:hint="eastAsia" w:ascii="Times New Roman"/>
          <w:color w:val="000000" w:themeColor="text1"/>
          <w:sz w:val="24"/>
          <w:szCs w:val="24"/>
          <w14:textFill>
            <w14:solidFill>
              <w14:schemeClr w14:val="tx1"/>
            </w14:solidFill>
          </w14:textFill>
        </w:rPr>
        <w:t>及</w:t>
      </w:r>
      <w:r>
        <w:rPr>
          <w:rFonts w:ascii="Times New Roman"/>
          <w:color w:val="000000" w:themeColor="text1"/>
          <w:sz w:val="24"/>
          <w:szCs w:val="24"/>
          <w14:textFill>
            <w14:solidFill>
              <w14:schemeClr w14:val="tx1"/>
            </w14:solidFill>
          </w14:textFill>
        </w:rPr>
        <w:t>相关环保政策要求，满足</w:t>
      </w:r>
      <w:r>
        <w:rPr>
          <w:rFonts w:hint="eastAsia" w:ascii="Times New Roman"/>
          <w:color w:val="000000" w:themeColor="text1"/>
          <w:sz w:val="24"/>
          <w:szCs w:val="24"/>
          <w14:textFill>
            <w14:solidFill>
              <w14:schemeClr w14:val="tx1"/>
            </w14:solidFill>
          </w14:textFill>
        </w:rPr>
        <w:t>宜昌化工园宜都园区</w:t>
      </w:r>
      <w:r>
        <w:rPr>
          <w:rFonts w:ascii="Times New Roman"/>
          <w:color w:val="000000" w:themeColor="text1"/>
          <w:sz w:val="24"/>
          <w:szCs w:val="24"/>
          <w14:textFill>
            <w14:solidFill>
              <w14:schemeClr w14:val="tx1"/>
            </w14:solidFill>
          </w14:textFill>
        </w:rPr>
        <w:t>总体发展规划，</w:t>
      </w:r>
      <w:r>
        <w:rPr>
          <w:rFonts w:hint="eastAsia" w:ascii="Times New Roman"/>
          <w:color w:val="000000" w:themeColor="text1"/>
          <w:sz w:val="24"/>
          <w:szCs w:val="24"/>
          <w14:textFill>
            <w14:solidFill>
              <w14:schemeClr w14:val="tx1"/>
            </w14:solidFill>
          </w14:textFill>
        </w:rPr>
        <w:t>本项目</w:t>
      </w:r>
      <w:r>
        <w:rPr>
          <w:rFonts w:ascii="Times New Roman"/>
          <w:color w:val="000000" w:themeColor="text1"/>
          <w:sz w:val="24"/>
          <w:szCs w:val="24"/>
          <w14:textFill>
            <w14:solidFill>
              <w14:schemeClr w14:val="tx1"/>
            </w14:solidFill>
          </w14:textFill>
        </w:rPr>
        <w:t>选址建设是可行的。</w:t>
      </w:r>
    </w:p>
    <w:p>
      <w:pPr>
        <w:pStyle w:val="380"/>
        <w:adjustRightInd w:val="0"/>
        <w:snapToGrid w:val="0"/>
        <w:spacing w:before="120" w:beforeLines="50" w:after="48" w:afterLines="20" w:line="520" w:lineRule="exact"/>
        <w:ind w:firstLine="0" w:firstLineChars="0"/>
        <w:jc w:val="left"/>
        <w:outlineLvl w:val="2"/>
        <w:rPr>
          <w:rFonts w:ascii="Times New Roman" w:hAnsi="Times New Roman" w:eastAsia="黑体"/>
          <w:b/>
          <w:color w:val="000000" w:themeColor="text1"/>
          <w:sz w:val="32"/>
          <w:szCs w:val="32"/>
          <w14:textFill>
            <w14:solidFill>
              <w14:schemeClr w14:val="tx1"/>
            </w14:solidFill>
          </w14:textFill>
        </w:rPr>
      </w:pPr>
      <w:bookmarkStart w:id="910" w:name="_Toc1127"/>
      <w:r>
        <w:rPr>
          <w:rFonts w:hint="default" w:ascii="Times New Roman" w:hAnsi="Times New Roman" w:eastAsia="黑体"/>
          <w:b/>
          <w:color w:val="000000" w:themeColor="text1"/>
          <w:sz w:val="32"/>
          <w:szCs w:val="32"/>
          <w:lang w:val="en-US"/>
          <w14:textFill>
            <w14:solidFill>
              <w14:schemeClr w14:val="tx1"/>
            </w14:solidFill>
          </w14:textFill>
        </w:rPr>
        <w:t>12</w:t>
      </w:r>
      <w:r>
        <w:rPr>
          <w:rFonts w:hint="eastAsia" w:ascii="Times New Roman" w:hAnsi="Times New Roman" w:eastAsia="黑体"/>
          <w:b/>
          <w:color w:val="000000" w:themeColor="text1"/>
          <w:sz w:val="32"/>
          <w:szCs w:val="32"/>
          <w14:textFill>
            <w14:solidFill>
              <w14:schemeClr w14:val="tx1"/>
            </w14:solidFill>
          </w14:textFill>
        </w:rPr>
        <w:t>.3环境质量现状评价结论</w:t>
      </w:r>
      <w:bookmarkEnd w:id="910"/>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w:t>
      </w:r>
      <w:r>
        <w:rPr>
          <w:rFonts w:ascii="Times New Roman" w:hAnsiTheme="minorEastAsia" w:eastAsiaTheme="minorEastAsia"/>
          <w:color w:val="000000" w:themeColor="text1"/>
          <w:sz w:val="24"/>
          <w:szCs w:val="24"/>
          <w14:textFill>
            <w14:solidFill>
              <w14:schemeClr w14:val="tx1"/>
            </w14:solidFill>
          </w14:textFill>
        </w:rPr>
        <w:t>地表水环境质量现状</w:t>
      </w:r>
    </w:p>
    <w:p>
      <w:pPr>
        <w:autoSpaceDE w:val="0"/>
        <w:autoSpaceDN w:val="0"/>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本次评价引用</w:t>
      </w:r>
      <w:r>
        <w:rPr>
          <w:rFonts w:hint="eastAsia" w:ascii="Times New Roman" w:hAnsi="Times New Roman" w:eastAsiaTheme="minorEastAsia"/>
          <w:color w:val="000000" w:themeColor="text1"/>
          <w:sz w:val="24"/>
          <w:szCs w:val="24"/>
          <w14:textFill>
            <w14:solidFill>
              <w14:schemeClr w14:val="tx1"/>
            </w14:solidFill>
          </w14:textFill>
        </w:rPr>
        <w:t>湖北迅捷检测有限公司</w:t>
      </w:r>
      <w:r>
        <w:rPr>
          <w:rFonts w:hint="eastAsia" w:ascii="Times New Roman" w:hAnsiTheme="minorEastAsia" w:eastAsiaTheme="minorEastAsia"/>
          <w:color w:val="000000" w:themeColor="text1"/>
          <w:sz w:val="24"/>
          <w:szCs w:val="24"/>
          <w14:textFill>
            <w14:solidFill>
              <w14:schemeClr w14:val="tx1"/>
            </w14:solidFill>
          </w14:textFill>
        </w:rPr>
        <w:t>于2020年12月10日至12日对长江宜都段水环境质量现状的监测数据进行评价</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14:textFill>
            <w14:solidFill>
              <w14:schemeClr w14:val="tx1"/>
            </w14:solidFill>
          </w14:textFill>
        </w:rPr>
        <w:t>监测统计结果表明，长江枝城长江大桥处、长江三板湖污水处理厂下游1000m、长江洋溪下游1000m3个监测断面水质可满足《地表水环境质量标准》（GB3838-2002）III类标准限值要求</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（2）</w:t>
      </w:r>
      <w:r>
        <w:rPr>
          <w:rFonts w:ascii="Times New Roman" w:hAnsiTheme="minorEastAsia" w:eastAsiaTheme="minorEastAsia"/>
          <w:color w:val="000000" w:themeColor="text1"/>
          <w:sz w:val="24"/>
          <w:szCs w:val="24"/>
          <w14:textFill>
            <w14:solidFill>
              <w14:schemeClr w14:val="tx1"/>
            </w14:solidFill>
          </w14:textFill>
        </w:rPr>
        <w:t>环境空气质量现状</w:t>
      </w:r>
    </w:p>
    <w:p>
      <w:pPr>
        <w:pStyle w:val="428"/>
        <w:jc w:val="both"/>
        <w:rPr>
          <w:rFonts w:hAnsi="Times New Roman"/>
          <w:color w:val="000000" w:themeColor="text1"/>
          <w14:textFill>
            <w14:solidFill>
              <w14:schemeClr w14:val="tx1"/>
            </w14:solidFill>
          </w14:textFill>
        </w:rPr>
      </w:pPr>
      <w:r>
        <w:rPr>
          <w:rFonts w:hint="eastAsia" w:hAnsi="Times New Roman"/>
          <w:color w:val="000000" w:themeColor="text1"/>
          <w14:textFill>
            <w14:solidFill>
              <w14:schemeClr w14:val="tx1"/>
            </w14:solidFill>
          </w14:textFill>
        </w:rPr>
        <w:t>2020</w:t>
      </w:r>
      <w:r>
        <w:rPr>
          <w:rFonts w:hAnsi="Times New Roman"/>
          <w:color w:val="000000" w:themeColor="text1"/>
          <w14:textFill>
            <w14:solidFill>
              <w14:schemeClr w14:val="tx1"/>
            </w14:solidFill>
          </w14:textFill>
        </w:rPr>
        <w:t>年</w:t>
      </w:r>
      <w:r>
        <w:rPr>
          <w:rFonts w:hint="eastAsia" w:hAnsi="Times New Roman"/>
          <w:color w:val="000000" w:themeColor="text1"/>
          <w14:textFill>
            <w14:solidFill>
              <w14:schemeClr w14:val="tx1"/>
            </w14:solidFill>
          </w14:textFill>
        </w:rPr>
        <w:t>项目所在区域</w:t>
      </w:r>
      <w:r>
        <w:rPr>
          <w:rFonts w:hAnsi="Times New Roman"/>
          <w:color w:val="000000" w:themeColor="text1"/>
          <w14:textFill>
            <w14:solidFill>
              <w14:schemeClr w14:val="tx1"/>
            </w14:solidFill>
          </w14:textFill>
        </w:rPr>
        <w:t>环境空气中SO</w:t>
      </w:r>
      <w:r>
        <w:rPr>
          <w:rFonts w:hAnsi="Times New Roman"/>
          <w:color w:val="000000" w:themeColor="text1"/>
          <w:vertAlign w:val="subscript"/>
          <w14:textFill>
            <w14:solidFill>
              <w14:schemeClr w14:val="tx1"/>
            </w14:solidFill>
          </w14:textFill>
        </w:rPr>
        <w:t>2</w:t>
      </w:r>
      <w:r>
        <w:rPr>
          <w:rFonts w:hAnsi="Times New Roman"/>
          <w:color w:val="000000" w:themeColor="text1"/>
          <w14:textFill>
            <w14:solidFill>
              <w14:schemeClr w14:val="tx1"/>
            </w14:solidFill>
          </w14:textFill>
        </w:rPr>
        <w:t>、NO</w:t>
      </w:r>
      <w:r>
        <w:rPr>
          <w:rFonts w:hAnsi="Times New Roman"/>
          <w:color w:val="000000" w:themeColor="text1"/>
          <w:vertAlign w:val="subscript"/>
          <w14:textFill>
            <w14:solidFill>
              <w14:schemeClr w14:val="tx1"/>
            </w14:solidFill>
          </w14:textFill>
        </w:rPr>
        <w:t>2</w:t>
      </w:r>
      <w:r>
        <w:rPr>
          <w:rFonts w:hAnsi="Times New Roman"/>
          <w:color w:val="000000" w:themeColor="text1"/>
          <w14:textFill>
            <w14:solidFill>
              <w14:schemeClr w14:val="tx1"/>
            </w14:solidFill>
          </w14:textFill>
        </w:rPr>
        <w:t>、PM</w:t>
      </w:r>
      <w:r>
        <w:rPr>
          <w:rFonts w:hAnsi="Times New Roman"/>
          <w:color w:val="000000" w:themeColor="text1"/>
          <w:vertAlign w:val="subscript"/>
          <w14:textFill>
            <w14:solidFill>
              <w14:schemeClr w14:val="tx1"/>
            </w14:solidFill>
          </w14:textFill>
        </w:rPr>
        <w:t>10</w:t>
      </w:r>
      <w:r>
        <w:rPr>
          <w:rFonts w:hAnsi="Times New Roman"/>
          <w:color w:val="000000" w:themeColor="text1"/>
          <w14:textFill>
            <w14:solidFill>
              <w14:schemeClr w14:val="tx1"/>
            </w14:solidFill>
          </w14:textFill>
        </w:rPr>
        <w:t>、CO、O</w:t>
      </w:r>
      <w:r>
        <w:rPr>
          <w:rFonts w:hAnsi="Times New Roman"/>
          <w:color w:val="000000" w:themeColor="text1"/>
          <w:vertAlign w:val="subscript"/>
          <w14:textFill>
            <w14:solidFill>
              <w14:schemeClr w14:val="tx1"/>
            </w14:solidFill>
          </w14:textFill>
        </w:rPr>
        <w:t>3</w:t>
      </w:r>
      <w:r>
        <w:rPr>
          <w:rFonts w:hAnsi="Times New Roman"/>
          <w:color w:val="000000" w:themeColor="text1"/>
          <w14:textFill>
            <w14:solidFill>
              <w14:schemeClr w14:val="tx1"/>
            </w14:solidFill>
          </w14:textFill>
        </w:rPr>
        <w:t>的平均质量浓度满足《环境空气质量标准》（GB3095-2012）及其修改单表1中二级浓度限值的要求，PM</w:t>
      </w:r>
      <w:r>
        <w:rPr>
          <w:rFonts w:hAnsi="Times New Roman"/>
          <w:color w:val="000000" w:themeColor="text1"/>
          <w:vertAlign w:val="subscript"/>
          <w14:textFill>
            <w14:solidFill>
              <w14:schemeClr w14:val="tx1"/>
            </w14:solidFill>
          </w14:textFill>
        </w:rPr>
        <w:t>2.5</w:t>
      </w:r>
      <w:r>
        <w:rPr>
          <w:rFonts w:hint="eastAsia" w:hAnsi="Times New Roman"/>
          <w:color w:val="000000" w:themeColor="text1"/>
          <w14:textFill>
            <w14:solidFill>
              <w14:schemeClr w14:val="tx1"/>
            </w14:solidFill>
          </w14:textFill>
        </w:rPr>
        <w:t>平均质量浓度超标的，</w:t>
      </w:r>
      <w:r>
        <w:rPr>
          <w:rFonts w:hAnsi="Times New Roman"/>
          <w:color w:val="000000" w:themeColor="text1"/>
          <w14:textFill>
            <w14:solidFill>
              <w14:schemeClr w14:val="tx1"/>
            </w14:solidFill>
          </w14:textFill>
        </w:rPr>
        <w:t>故判定项目所在区域属于环境空气质量</w:t>
      </w:r>
      <w:r>
        <w:rPr>
          <w:rFonts w:hint="eastAsia" w:hAnsi="Times New Roman"/>
          <w:color w:val="000000" w:themeColor="text1"/>
          <w14:textFill>
            <w14:solidFill>
              <w14:schemeClr w14:val="tx1"/>
            </w14:solidFill>
          </w14:textFill>
        </w:rPr>
        <w:t>不</w:t>
      </w:r>
      <w:r>
        <w:rPr>
          <w:rFonts w:hAnsi="Times New Roman"/>
          <w:color w:val="000000" w:themeColor="text1"/>
          <w14:textFill>
            <w14:solidFill>
              <w14:schemeClr w14:val="tx1"/>
            </w14:solidFill>
          </w14:textFill>
        </w:rPr>
        <w:t>达标区</w:t>
      </w:r>
      <w:r>
        <w:rPr>
          <w:rFonts w:hint="eastAsia" w:hAnsi="Times New Roman"/>
          <w:color w:val="000000" w:themeColor="text1"/>
          <w14:textFill>
            <w14:solidFill>
              <w14:schemeClr w14:val="tx1"/>
            </w14:solidFill>
          </w14:textFill>
        </w:rPr>
        <w:t>。</w:t>
      </w:r>
    </w:p>
    <w:p>
      <w:pPr>
        <w:autoSpaceDE w:val="0"/>
        <w:autoSpaceDN w:val="0"/>
        <w:adjustRightInd w:val="0"/>
        <w:snapToGrid w:val="0"/>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监测期间项目所在区域环境空气中</w:t>
      </w:r>
      <w:r>
        <w:rPr>
          <w:rFonts w:hint="eastAsia" w:ascii="Times New Roman" w:hAnsiTheme="minorEastAsia" w:eastAsiaTheme="minorEastAsia"/>
          <w:color w:val="000000" w:themeColor="text1"/>
          <w:sz w:val="24"/>
          <w:szCs w:val="24"/>
          <w14:textFill>
            <w14:solidFill>
              <w14:schemeClr w14:val="tx1"/>
            </w14:solidFill>
          </w14:textFill>
        </w:rPr>
        <w:t>氟化物最大质量浓度能够满足《环境空气质量标准》（GB3095-2012）附录A参考浓度限值二级标准限值、氯化氢最大质量浓度能够满足《环境影响评价技术导则 大气环境》（HJ2.2-2018）附录D中限值要求</w:t>
      </w:r>
      <w:r>
        <w:rPr>
          <w:rFonts w:ascii="Times New Roman" w:hAnsiTheme="minorEastAsia" w:eastAsiaTheme="minorEastAsia"/>
          <w:color w:val="000000" w:themeColor="text1"/>
          <w:sz w:val="24"/>
          <w:szCs w:val="24"/>
          <w14:textFill>
            <w14:solidFill>
              <w14:schemeClr w14:val="tx1"/>
            </w14:solidFill>
          </w14:textFill>
        </w:rPr>
        <w:t>。</w:t>
      </w:r>
    </w:p>
    <w:p>
      <w:pPr>
        <w:spacing w:line="520" w:lineRule="exact"/>
        <w:ind w:firstLine="480" w:firstLineChars="200"/>
        <w:outlineLvl w:val="0"/>
        <w:rPr>
          <w:rFonts w:ascii="Times New Roman" w:hAnsi="Times New Roman" w:eastAsiaTheme="minorEastAsia"/>
          <w:color w:val="000000" w:themeColor="text1"/>
          <w:sz w:val="24"/>
          <w:szCs w:val="24"/>
          <w14:textFill>
            <w14:solidFill>
              <w14:schemeClr w14:val="tx1"/>
            </w14:solidFill>
          </w14:textFill>
        </w:rPr>
      </w:pPr>
      <w:bookmarkStart w:id="911" w:name="_Toc4827"/>
      <w:bookmarkStart w:id="912" w:name="_Toc31058"/>
      <w:bookmarkStart w:id="913" w:name="_Toc9673"/>
      <w:bookmarkStart w:id="914" w:name="_Toc1493"/>
      <w:bookmarkStart w:id="915" w:name="_Toc30565"/>
      <w:r>
        <w:rPr>
          <w:rFonts w:hint="eastAsia" w:ascii="Times New Roman" w:hAnsiTheme="minorEastAsia"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声环境质量现状</w:t>
      </w:r>
      <w:bookmarkEnd w:id="911"/>
      <w:bookmarkEnd w:id="912"/>
      <w:bookmarkEnd w:id="913"/>
      <w:bookmarkEnd w:id="914"/>
      <w:bookmarkEnd w:id="915"/>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kern w:val="0"/>
          <w:sz w:val="24"/>
          <w:szCs w:val="24"/>
          <w14:textFill>
            <w14:solidFill>
              <w14:schemeClr w14:val="tx1"/>
            </w14:solidFill>
          </w14:textFill>
        </w:rPr>
        <w:t>20</w:t>
      </w:r>
      <w:r>
        <w:rPr>
          <w:rFonts w:hint="eastAsia" w:ascii="Times New Roman" w:hAnsiTheme="minorEastAsia" w:eastAsiaTheme="minorEastAsia"/>
          <w:color w:val="000000" w:themeColor="text1"/>
          <w:kern w:val="0"/>
          <w:sz w:val="24"/>
          <w:szCs w:val="24"/>
          <w14:textFill>
            <w14:solidFill>
              <w14:schemeClr w14:val="tx1"/>
            </w14:solidFill>
          </w14:textFill>
        </w:rPr>
        <w:t>21</w:t>
      </w:r>
      <w:r>
        <w:rPr>
          <w:rFonts w:ascii="Times New Roman" w:hAnsiTheme="minorEastAsia" w:eastAsiaTheme="minorEastAsia"/>
          <w:color w:val="000000" w:themeColor="text1"/>
          <w:kern w:val="0"/>
          <w:sz w:val="24"/>
          <w:szCs w:val="24"/>
          <w14:textFill>
            <w14:solidFill>
              <w14:schemeClr w14:val="tx1"/>
            </w14:solidFill>
          </w14:textFill>
        </w:rPr>
        <w:t>年</w:t>
      </w:r>
      <w:r>
        <w:rPr>
          <w:rFonts w:hint="eastAsia" w:ascii="Times New Roman" w:hAnsiTheme="minorEastAsia" w:eastAsiaTheme="minorEastAsia"/>
          <w:color w:val="000000" w:themeColor="text1"/>
          <w:kern w:val="0"/>
          <w:sz w:val="24"/>
          <w:szCs w:val="24"/>
          <w14:textFill>
            <w14:solidFill>
              <w14:schemeClr w14:val="tx1"/>
            </w14:solidFill>
          </w14:textFill>
        </w:rPr>
        <w:t>6</w:t>
      </w:r>
      <w:r>
        <w:rPr>
          <w:rFonts w:ascii="Times New Roman" w:hAnsiTheme="minorEastAsia" w:eastAsiaTheme="minorEastAsia"/>
          <w:color w:val="000000" w:themeColor="text1"/>
          <w:kern w:val="0"/>
          <w:sz w:val="24"/>
          <w:szCs w:val="24"/>
          <w14:textFill>
            <w14:solidFill>
              <w14:schemeClr w14:val="tx1"/>
            </w14:solidFill>
          </w14:textFill>
        </w:rPr>
        <w:t>月</w:t>
      </w:r>
      <w:r>
        <w:rPr>
          <w:rFonts w:hint="eastAsia" w:ascii="Times New Roman" w:hAnsiTheme="minorEastAsia" w:eastAsiaTheme="minorEastAsia"/>
          <w:color w:val="000000" w:themeColor="text1"/>
          <w:kern w:val="0"/>
          <w:sz w:val="24"/>
          <w:szCs w:val="24"/>
          <w14:textFill>
            <w14:solidFill>
              <w14:schemeClr w14:val="tx1"/>
            </w14:solidFill>
          </w14:textFill>
        </w:rPr>
        <w:t>11</w:t>
      </w:r>
      <w:r>
        <w:rPr>
          <w:rFonts w:ascii="Times New Roman" w:hAnsiTheme="minorEastAsia" w:eastAsiaTheme="minorEastAsia"/>
          <w:color w:val="000000" w:themeColor="text1"/>
          <w:kern w:val="0"/>
          <w:sz w:val="24"/>
          <w:szCs w:val="24"/>
          <w14:textFill>
            <w14:solidFill>
              <w14:schemeClr w14:val="tx1"/>
            </w14:solidFill>
          </w14:textFill>
        </w:rPr>
        <w:t>日</w:t>
      </w:r>
      <w:r>
        <w:rPr>
          <w:rFonts w:hint="eastAsia" w:ascii="Times New Roman" w:hAnsiTheme="minorEastAsia" w:eastAsiaTheme="minorEastAsia"/>
          <w:color w:val="000000" w:themeColor="text1"/>
          <w:kern w:val="0"/>
          <w:sz w:val="24"/>
          <w:szCs w:val="24"/>
          <w14:textFill>
            <w14:solidFill>
              <w14:schemeClr w14:val="tx1"/>
            </w14:solidFill>
          </w14:textFill>
        </w:rPr>
        <w:t>和6</w:t>
      </w:r>
      <w:r>
        <w:rPr>
          <w:rFonts w:ascii="Times New Roman" w:hAnsiTheme="minorEastAsia" w:eastAsiaTheme="minorEastAsia"/>
          <w:color w:val="000000" w:themeColor="text1"/>
          <w:kern w:val="0"/>
          <w:sz w:val="24"/>
          <w:szCs w:val="24"/>
          <w14:textFill>
            <w14:solidFill>
              <w14:schemeClr w14:val="tx1"/>
            </w14:solidFill>
          </w14:textFill>
        </w:rPr>
        <w:t>月</w:t>
      </w:r>
      <w:r>
        <w:rPr>
          <w:rFonts w:hint="eastAsia" w:ascii="Times New Roman" w:hAnsiTheme="minorEastAsia" w:eastAsiaTheme="minorEastAsia"/>
          <w:color w:val="000000" w:themeColor="text1"/>
          <w:kern w:val="0"/>
          <w:sz w:val="24"/>
          <w:szCs w:val="24"/>
          <w14:textFill>
            <w14:solidFill>
              <w14:schemeClr w14:val="tx1"/>
            </w14:solidFill>
          </w14:textFill>
        </w:rPr>
        <w:t>12</w:t>
      </w:r>
      <w:r>
        <w:rPr>
          <w:rFonts w:ascii="Times New Roman" w:hAnsiTheme="minorEastAsia" w:eastAsiaTheme="minorEastAsia"/>
          <w:color w:val="000000" w:themeColor="text1"/>
          <w:kern w:val="0"/>
          <w:sz w:val="24"/>
          <w:szCs w:val="24"/>
          <w14:textFill>
            <w14:solidFill>
              <w14:schemeClr w14:val="tx1"/>
            </w14:solidFill>
          </w14:textFill>
        </w:rPr>
        <w:t>日，湖北</w:t>
      </w:r>
      <w:r>
        <w:rPr>
          <w:rFonts w:hint="eastAsia" w:ascii="Times New Roman" w:hAnsiTheme="minorEastAsia" w:eastAsiaTheme="minorEastAsia"/>
          <w:color w:val="000000" w:themeColor="text1"/>
          <w:kern w:val="0"/>
          <w:sz w:val="24"/>
          <w:szCs w:val="24"/>
          <w14:textFill>
            <w14:solidFill>
              <w14:schemeClr w14:val="tx1"/>
            </w14:solidFill>
          </w14:textFill>
        </w:rPr>
        <w:t>恒驰</w:t>
      </w:r>
      <w:r>
        <w:rPr>
          <w:rFonts w:ascii="Times New Roman" w:hAnsiTheme="minorEastAsia" w:eastAsiaTheme="minorEastAsia"/>
          <w:color w:val="000000" w:themeColor="text1"/>
          <w:kern w:val="0"/>
          <w:sz w:val="24"/>
          <w:szCs w:val="24"/>
          <w14:textFill>
            <w14:solidFill>
              <w14:schemeClr w14:val="tx1"/>
            </w14:solidFill>
          </w14:textFill>
        </w:rPr>
        <w:t>检测技术有限公司对项目</w:t>
      </w:r>
      <w:r>
        <w:rPr>
          <w:rFonts w:hint="eastAsia" w:ascii="Times New Roman" w:hAnsiTheme="minorEastAsia" w:eastAsiaTheme="minorEastAsia"/>
          <w:color w:val="000000" w:themeColor="text1"/>
          <w:kern w:val="0"/>
          <w:sz w:val="24"/>
          <w:szCs w:val="24"/>
          <w14:textFill>
            <w14:solidFill>
              <w14:schemeClr w14:val="tx1"/>
            </w14:solidFill>
          </w14:textFill>
        </w:rPr>
        <w:t>声环境质量</w:t>
      </w:r>
      <w:r>
        <w:rPr>
          <w:rFonts w:ascii="Times New Roman" w:hAnsiTheme="minorEastAsia" w:eastAsiaTheme="minorEastAsia"/>
          <w:color w:val="000000" w:themeColor="text1"/>
          <w:kern w:val="0"/>
          <w:sz w:val="24"/>
          <w:szCs w:val="24"/>
          <w14:textFill>
            <w14:solidFill>
              <w14:schemeClr w14:val="tx1"/>
            </w14:solidFill>
          </w14:textFill>
        </w:rPr>
        <w:t>进行了现状监测</w:t>
      </w: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heme="minorEastAsia" w:eastAsiaTheme="minorEastAsia"/>
          <w:color w:val="000000" w:themeColor="text1"/>
          <w:kern w:val="0"/>
          <w:sz w:val="24"/>
          <w:szCs w:val="24"/>
          <w14:textFill>
            <w14:solidFill>
              <w14:schemeClr w14:val="tx1"/>
            </w14:solidFill>
          </w14:textFill>
        </w:rPr>
        <w:t>在项目地四周边界各设置</w:t>
      </w:r>
      <w:r>
        <w:rPr>
          <w:rFonts w:ascii="Times New Roman" w:hAnsi="Times New Roman" w:eastAsiaTheme="minorEastAsia"/>
          <w:color w:val="000000" w:themeColor="text1"/>
          <w:kern w:val="0"/>
          <w:sz w:val="24"/>
          <w:szCs w:val="24"/>
          <w14:textFill>
            <w14:solidFill>
              <w14:schemeClr w14:val="tx1"/>
            </w14:solidFill>
          </w14:textFill>
        </w:rPr>
        <w:t>1</w:t>
      </w:r>
      <w:r>
        <w:rPr>
          <w:rFonts w:ascii="Times New Roman" w:hAnsiTheme="minorEastAsia" w:eastAsiaTheme="minorEastAsia"/>
          <w:color w:val="000000" w:themeColor="text1"/>
          <w:kern w:val="0"/>
          <w:sz w:val="24"/>
          <w:szCs w:val="24"/>
          <w14:textFill>
            <w14:solidFill>
              <w14:schemeClr w14:val="tx1"/>
            </w14:solidFill>
          </w14:textFill>
        </w:rPr>
        <w:t>个噪声监测点位</w:t>
      </w:r>
      <w:r>
        <w:rPr>
          <w:rFonts w:ascii="Times New Roman" w:hAnsiTheme="minorEastAsia" w:eastAsiaTheme="minorEastAsia"/>
          <w:color w:val="000000" w:themeColor="text1"/>
          <w:sz w:val="24"/>
          <w:szCs w:val="24"/>
          <w14:textFill>
            <w14:solidFill>
              <w14:schemeClr w14:val="tx1"/>
            </w14:solidFill>
          </w14:textFill>
        </w:rPr>
        <w:t>，监测结果表明，</w:t>
      </w:r>
      <w:r>
        <w:rPr>
          <w:rFonts w:ascii="Times New Roman" w:hAnsiTheme="minorEastAsia" w:eastAsiaTheme="minorEastAsia"/>
          <w:color w:val="000000" w:themeColor="text1"/>
          <w:sz w:val="24"/>
          <w:szCs w:val="24"/>
          <w:lang w:val="zh-CN"/>
          <w14:textFill>
            <w14:solidFill>
              <w14:schemeClr w14:val="tx1"/>
            </w14:solidFill>
          </w14:textFill>
        </w:rPr>
        <w:t>边界噪声昼夜间值均小于</w:t>
      </w:r>
      <w:r>
        <w:rPr>
          <w:rFonts w:ascii="Times New Roman" w:hAnsi="Times New Roman" w:eastAsiaTheme="minorEastAsia"/>
          <w:color w:val="000000" w:themeColor="text1"/>
          <w:sz w:val="24"/>
          <w:szCs w:val="24"/>
          <w14:textFill>
            <w14:solidFill>
              <w14:schemeClr w14:val="tx1"/>
            </w14:solidFill>
          </w14:textFill>
        </w:rPr>
        <w:t>3</w:t>
      </w:r>
      <w:r>
        <w:rPr>
          <w:rFonts w:ascii="Times New Roman" w:hAnsiTheme="minorEastAsia" w:eastAsiaTheme="minorEastAsia"/>
          <w:color w:val="000000" w:themeColor="text1"/>
          <w:sz w:val="24"/>
          <w:szCs w:val="24"/>
          <w14:textFill>
            <w14:solidFill>
              <w14:schemeClr w14:val="tx1"/>
            </w14:solidFill>
          </w14:textFill>
        </w:rPr>
        <w:t>类标准</w:t>
      </w:r>
      <w:r>
        <w:rPr>
          <w:rFonts w:ascii="Times New Roman" w:hAnsi="Times New Roman" w:eastAsiaTheme="minorEastAsia"/>
          <w:color w:val="000000" w:themeColor="text1"/>
          <w:sz w:val="24"/>
          <w:szCs w:val="24"/>
          <w:lang w:val="zh-CN"/>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65</w:t>
      </w:r>
      <w:r>
        <w:rPr>
          <w:rFonts w:ascii="Times New Roman" w:hAnsi="Times New Roman" w:eastAsiaTheme="minorEastAsia"/>
          <w:color w:val="000000" w:themeColor="text1"/>
          <w:sz w:val="24"/>
          <w:szCs w:val="24"/>
          <w:lang w:val="zh-CN"/>
          <w14:textFill>
            <w14:solidFill>
              <w14:schemeClr w14:val="tx1"/>
            </w14:solidFill>
          </w14:textFill>
        </w:rPr>
        <w:t>dB(A))</w:t>
      </w:r>
      <w:r>
        <w:rPr>
          <w:rFonts w:ascii="Times New Roman" w:hAnsiTheme="minorEastAsia" w:eastAsiaTheme="minorEastAsia"/>
          <w:color w:val="000000" w:themeColor="text1"/>
          <w:sz w:val="24"/>
          <w:szCs w:val="24"/>
          <w:lang w:val="zh-CN"/>
          <w14:textFill>
            <w14:solidFill>
              <w14:schemeClr w14:val="tx1"/>
            </w14:solidFill>
          </w14:textFill>
        </w:rPr>
        <w:t>，夜间监测值</w:t>
      </w:r>
      <w:r>
        <w:rPr>
          <w:rFonts w:ascii="Times New Roman" w:hAnsi="Times New Roman" w:eastAsiaTheme="minorEastAsia"/>
          <w:color w:val="000000" w:themeColor="text1"/>
          <w:sz w:val="24"/>
          <w:szCs w:val="24"/>
          <w:lang w:val="zh-CN"/>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5</w:t>
      </w:r>
      <w:r>
        <w:rPr>
          <w:rFonts w:ascii="Times New Roman" w:hAnsi="Times New Roman" w:eastAsiaTheme="minorEastAsia"/>
          <w:color w:val="000000" w:themeColor="text1"/>
          <w:sz w:val="24"/>
          <w:szCs w:val="24"/>
          <w:lang w:val="zh-CN"/>
          <w14:textFill>
            <w14:solidFill>
              <w14:schemeClr w14:val="tx1"/>
            </w14:solidFill>
          </w14:textFill>
        </w:rPr>
        <w:t>dB(A))</w:t>
      </w:r>
      <w:r>
        <w:rPr>
          <w:rFonts w:ascii="Times New Roman" w:hAnsiTheme="minorEastAsia" w:eastAsiaTheme="minorEastAsia"/>
          <w:color w:val="000000" w:themeColor="text1"/>
          <w:sz w:val="24"/>
          <w:szCs w:val="24"/>
          <w:lang w:val="zh-CN"/>
          <w14:textFill>
            <w14:solidFill>
              <w14:schemeClr w14:val="tx1"/>
            </w14:solidFill>
          </w14:textFill>
        </w:rPr>
        <w:t>。</w:t>
      </w:r>
      <w:r>
        <w:rPr>
          <w:rFonts w:ascii="Times New Roman" w:hAnsiTheme="minorEastAsia" w:eastAsiaTheme="minorEastAsia"/>
          <w:color w:val="000000" w:themeColor="text1"/>
          <w:sz w:val="24"/>
          <w:szCs w:val="24"/>
          <w14:textFill>
            <w14:solidFill>
              <w14:schemeClr w14:val="tx1"/>
            </w14:solidFill>
          </w14:textFill>
        </w:rPr>
        <w:t>企业厂界噪声满足《声环境质量标准》</w:t>
      </w:r>
      <w:r>
        <w:rPr>
          <w:rFonts w:ascii="Times New Roman" w:hAnsi="Times New Roman" w:eastAsiaTheme="minorEastAsia"/>
          <w:color w:val="000000" w:themeColor="text1"/>
          <w:sz w:val="24"/>
          <w:szCs w:val="24"/>
          <w14:textFill>
            <w14:solidFill>
              <w14:schemeClr w14:val="tx1"/>
            </w14:solidFill>
          </w14:textFill>
        </w:rPr>
        <w:t xml:space="preserve">(GB </w:t>
      </w:r>
      <w:r>
        <w:rPr>
          <w:rFonts w:hint="eastAsia" w:ascii="Times New Roman" w:hAnsi="Times New Roman" w:eastAsiaTheme="minorEastAsia"/>
          <w:color w:val="000000" w:themeColor="text1"/>
          <w:sz w:val="24"/>
          <w:szCs w:val="24"/>
          <w14:textFill>
            <w14:solidFill>
              <w14:schemeClr w14:val="tx1"/>
            </w14:solidFill>
          </w14:textFill>
        </w:rPr>
        <w:t>3096</w:t>
      </w:r>
      <w:r>
        <w:rPr>
          <w:rFonts w:ascii="Times New Roman" w:hAnsi="Times New Roman" w:eastAsiaTheme="minorEastAsia"/>
          <w:color w:val="000000" w:themeColor="text1"/>
          <w:sz w:val="24"/>
          <w:szCs w:val="24"/>
          <w14:textFill>
            <w14:solidFill>
              <w14:schemeClr w14:val="tx1"/>
            </w14:solidFill>
          </w14:textFill>
        </w:rPr>
        <w:t>-2008)</w:t>
      </w:r>
      <w:r>
        <w:rPr>
          <w:rFonts w:ascii="Times New Roman" w:hAnsiTheme="minorEastAsia" w:eastAsiaTheme="minorEastAsia"/>
          <w:color w:val="000000" w:themeColor="text1"/>
          <w:sz w:val="24"/>
          <w:szCs w:val="24"/>
          <w14:textFill>
            <w14:solidFill>
              <w14:schemeClr w14:val="tx1"/>
            </w14:solidFill>
          </w14:textFill>
        </w:rPr>
        <w:t>中三类标准要求。</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ascii="Times New Roman" w:hAnsi="Times New Roman" w:eastAsiaTheme="minorEastAsia"/>
          <w:color w:val="000000" w:themeColor="text1"/>
          <w:sz w:val="24"/>
          <w:szCs w:val="24"/>
          <w14:textFill>
            <w14:solidFill>
              <w14:schemeClr w14:val="tx1"/>
            </w14:solidFill>
          </w14:textFill>
        </w:rPr>
        <w:t>4</w:t>
      </w:r>
      <w:r>
        <w:rPr>
          <w:rFonts w:ascii="Times New Roman" w:hAnsiTheme="minorEastAsia" w:eastAsiaTheme="minorEastAsia"/>
          <w:color w:val="000000" w:themeColor="text1"/>
          <w:sz w:val="24"/>
          <w:szCs w:val="24"/>
          <w14:textFill>
            <w14:solidFill>
              <w14:schemeClr w14:val="tx1"/>
            </w14:solidFill>
          </w14:textFill>
        </w:rPr>
        <w:t>）地下水环境质量现状</w:t>
      </w:r>
    </w:p>
    <w:p>
      <w:pPr>
        <w:spacing w:line="520" w:lineRule="exact"/>
        <w:ind w:firstLine="480" w:firstLineChars="200"/>
        <w:rPr>
          <w:rFonts w:ascii="Times New Roman" w:hAnsiTheme="minorEastAsia" w:eastAsiaTheme="minorEastAsia"/>
          <w:color w:val="000000" w:themeColor="text1"/>
          <w:sz w:val="24"/>
          <w:lang w:val="zh-TW" w:eastAsia="zh-TW"/>
          <w14:textFill>
            <w14:solidFill>
              <w14:schemeClr w14:val="tx1"/>
            </w14:solidFill>
          </w14:textFill>
        </w:rPr>
      </w:pPr>
      <w:r>
        <w:rPr>
          <w:rFonts w:ascii="Times New Roman" w:hAnsiTheme="minorEastAsia" w:eastAsiaTheme="minorEastAsia"/>
          <w:color w:val="000000" w:themeColor="text1"/>
          <w:sz w:val="24"/>
          <w:lang w:val="zh-TW" w:eastAsia="zh-TW"/>
          <w14:textFill>
            <w14:solidFill>
              <w14:schemeClr w14:val="tx1"/>
            </w14:solidFill>
          </w14:textFill>
        </w:rPr>
        <w:t>由监测统计结果可知，</w:t>
      </w:r>
      <w:r>
        <w:rPr>
          <w:rFonts w:hint="eastAsia" w:ascii="Times New Roman" w:hAnsiTheme="minorEastAsia" w:eastAsiaTheme="minorEastAsia"/>
          <w:color w:val="000000" w:themeColor="text1"/>
          <w:sz w:val="24"/>
          <w:lang w:val="zh-TW" w:eastAsia="zh-TW"/>
          <w14:textFill>
            <w14:solidFill>
              <w14:schemeClr w14:val="tx1"/>
            </w14:solidFill>
          </w14:textFill>
        </w:rPr>
        <w:t>除5#地下水监测点</w:t>
      </w:r>
      <w:r>
        <w:rPr>
          <w:rFonts w:hint="eastAsia" w:ascii="Times New Roman" w:hAnsiTheme="minorEastAsia" w:eastAsiaTheme="minorEastAsia"/>
          <w:color w:val="000000" w:themeColor="text1"/>
          <w:sz w:val="24"/>
          <w:lang w:val="zh-TW"/>
          <w14:textFill>
            <w14:solidFill>
              <w14:schemeClr w14:val="tx1"/>
            </w14:solidFill>
          </w14:textFill>
        </w:rPr>
        <w:t>（厂区外）</w:t>
      </w:r>
      <w:r>
        <w:rPr>
          <w:rFonts w:hint="eastAsia" w:ascii="Times New Roman" w:hAnsiTheme="minorEastAsia" w:eastAsiaTheme="minorEastAsia"/>
          <w:color w:val="000000" w:themeColor="text1"/>
          <w:sz w:val="24"/>
          <w:lang w:val="zh-TW" w:eastAsia="zh-TW"/>
          <w14:textFill>
            <w14:solidFill>
              <w14:schemeClr w14:val="tx1"/>
            </w14:solidFill>
          </w14:textFill>
        </w:rPr>
        <w:t>因</w:t>
      </w:r>
      <w:r>
        <w:rPr>
          <w:rFonts w:ascii="Times New Roman" w:hAnsiTheme="minorEastAsia" w:eastAsiaTheme="minorEastAsia"/>
          <w:color w:val="000000" w:themeColor="text1"/>
          <w:sz w:val="24"/>
          <w:lang w:val="zh-TW" w:eastAsia="zh-TW"/>
          <w14:textFill>
            <w14:solidFill>
              <w14:schemeClr w14:val="tx1"/>
            </w14:solidFill>
          </w14:textFill>
        </w:rPr>
        <w:t>受农业活动影响，有轻微的耗氧量超标</w:t>
      </w:r>
      <w:r>
        <w:rPr>
          <w:rFonts w:hint="eastAsia" w:ascii="Times New Roman" w:hAnsiTheme="minorEastAsia" w:eastAsiaTheme="minorEastAsia"/>
          <w:color w:val="000000" w:themeColor="text1"/>
          <w:sz w:val="24"/>
          <w:lang w:val="zh-TW" w:eastAsia="zh-TW"/>
          <w14:textFill>
            <w14:solidFill>
              <w14:schemeClr w14:val="tx1"/>
            </w14:solidFill>
          </w14:textFill>
        </w:rPr>
        <w:t>外，其余监测指标</w:t>
      </w:r>
      <w:r>
        <w:rPr>
          <w:rFonts w:ascii="Times New Roman" w:hAnsiTheme="minorEastAsia" w:eastAsiaTheme="minorEastAsia"/>
          <w:color w:val="000000" w:themeColor="text1"/>
          <w:sz w:val="24"/>
          <w:lang w:val="zh-TW" w:eastAsia="zh-TW"/>
          <w14:textFill>
            <w14:solidFill>
              <w14:schemeClr w14:val="tx1"/>
            </w14:solidFill>
          </w14:textFill>
        </w:rPr>
        <w:t>均</w:t>
      </w:r>
      <w:r>
        <w:rPr>
          <w:rFonts w:hint="eastAsia" w:ascii="Times New Roman" w:hAnsiTheme="minorEastAsia" w:eastAsiaTheme="minorEastAsia"/>
          <w:color w:val="000000" w:themeColor="text1"/>
          <w:sz w:val="24"/>
          <w:lang w:val="zh-TW" w:eastAsia="zh-TW"/>
          <w14:textFill>
            <w14:solidFill>
              <w14:schemeClr w14:val="tx1"/>
            </w14:solidFill>
          </w14:textFill>
        </w:rPr>
        <w:t>能够满足</w:t>
      </w:r>
      <w:r>
        <w:rPr>
          <w:rFonts w:ascii="Times New Roman" w:hAnsiTheme="minorEastAsia" w:eastAsiaTheme="minorEastAsia"/>
          <w:color w:val="000000" w:themeColor="text1"/>
          <w:sz w:val="24"/>
          <w:lang w:val="zh-TW" w:eastAsia="zh-TW"/>
          <w14:textFill>
            <w14:solidFill>
              <w14:schemeClr w14:val="tx1"/>
            </w14:solidFill>
          </w14:textFill>
        </w:rPr>
        <w:t>《地下水质量标准》（GB/T14848-1993）Ⅲ类水质标准。</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14:textFill>
            <w14:solidFill>
              <w14:schemeClr w14:val="tx1"/>
            </w14:solidFill>
          </w14:textFill>
        </w:rPr>
        <w:t>5</w:t>
      </w:r>
      <w:r>
        <w:rPr>
          <w:rFonts w:ascii="Times New Roman" w:hAnsiTheme="minorEastAsia" w:eastAsiaTheme="minorEastAsia"/>
          <w:color w:val="000000" w:themeColor="text1"/>
          <w:sz w:val="24"/>
          <w:szCs w:val="24"/>
          <w14:textFill>
            <w14:solidFill>
              <w14:schemeClr w14:val="tx1"/>
            </w14:solidFill>
          </w14:textFill>
        </w:rPr>
        <w:t>）</w:t>
      </w:r>
      <w:r>
        <w:rPr>
          <w:rFonts w:hint="eastAsia" w:ascii="Times New Roman" w:hAnsiTheme="minorEastAsia" w:eastAsiaTheme="minorEastAsia"/>
          <w:color w:val="000000" w:themeColor="text1"/>
          <w:sz w:val="24"/>
          <w:szCs w:val="24"/>
          <w14:textFill>
            <w14:solidFill>
              <w14:schemeClr w14:val="tx1"/>
            </w14:solidFill>
          </w14:textFill>
        </w:rPr>
        <w:t>土壤</w:t>
      </w:r>
      <w:r>
        <w:rPr>
          <w:rFonts w:ascii="Times New Roman" w:hAnsiTheme="minorEastAsia" w:eastAsiaTheme="minorEastAsia"/>
          <w:color w:val="000000" w:themeColor="text1"/>
          <w:sz w:val="24"/>
          <w:szCs w:val="24"/>
          <w14:textFill>
            <w14:solidFill>
              <w14:schemeClr w14:val="tx1"/>
            </w14:solidFill>
          </w14:textFill>
        </w:rPr>
        <w:t>环境质量现状</w:t>
      </w:r>
    </w:p>
    <w:p>
      <w:pPr>
        <w:pStyle w:val="428"/>
        <w:spacing w:line="520" w:lineRule="exact"/>
        <w:rPr>
          <w:rFonts w:hAnsi="Times New Roman" w:eastAsiaTheme="minorEastAsia"/>
          <w:color w:val="000000" w:themeColor="text1"/>
          <w14:textFill>
            <w14:solidFill>
              <w14:schemeClr w14:val="tx1"/>
            </w14:solidFill>
          </w14:textFill>
        </w:rPr>
      </w:pPr>
      <w:r>
        <w:rPr>
          <w:rFonts w:hint="eastAsia" w:hAnsiTheme="minorEastAsia" w:eastAsiaTheme="minorEastAsia"/>
          <w:color w:val="000000" w:themeColor="text1"/>
          <w:kern w:val="2"/>
          <w:szCs w:val="22"/>
          <w:lang w:val="zh-TW" w:bidi="ar-SA"/>
          <w14:textFill>
            <w14:solidFill>
              <w14:schemeClr w14:val="tx1"/>
            </w14:solidFill>
          </w14:textFill>
        </w:rPr>
        <w:t>监测结果表明，本项目评价区域</w:t>
      </w:r>
      <w:r>
        <w:rPr>
          <w:rFonts w:hint="eastAsia" w:hAnsiTheme="minorEastAsia" w:eastAsiaTheme="minorEastAsia"/>
          <w:color w:val="000000" w:themeColor="text1"/>
          <w:kern w:val="2"/>
          <w:szCs w:val="22"/>
          <w:lang w:val="zh-TW" w:eastAsia="zh-TW" w:bidi="ar-SA"/>
          <w14:textFill>
            <w14:solidFill>
              <w14:schemeClr w14:val="tx1"/>
            </w14:solidFill>
          </w14:textFill>
        </w:rPr>
        <w:t>土壤</w:t>
      </w:r>
      <w:r>
        <w:rPr>
          <w:rFonts w:hint="eastAsia" w:hAnsiTheme="minorEastAsia" w:eastAsiaTheme="minorEastAsia"/>
          <w:color w:val="000000" w:themeColor="text1"/>
          <w:kern w:val="2"/>
          <w:szCs w:val="22"/>
          <w:lang w:val="zh-TW" w:bidi="ar-SA"/>
          <w14:textFill>
            <w14:solidFill>
              <w14:schemeClr w14:val="tx1"/>
            </w14:solidFill>
          </w14:textFill>
        </w:rPr>
        <w:t>监测指标</w:t>
      </w:r>
      <w:r>
        <w:rPr>
          <w:rFonts w:hint="eastAsia" w:hAnsiTheme="minorEastAsia" w:eastAsiaTheme="minorEastAsia"/>
          <w:color w:val="000000" w:themeColor="text1"/>
          <w:kern w:val="2"/>
          <w:szCs w:val="22"/>
          <w:lang w:val="zh-TW" w:eastAsia="zh-TW" w:bidi="ar-SA"/>
          <w14:textFill>
            <w14:solidFill>
              <w14:schemeClr w14:val="tx1"/>
            </w14:solidFill>
          </w14:textFill>
        </w:rPr>
        <w:t>均</w:t>
      </w:r>
      <w:r>
        <w:rPr>
          <w:rFonts w:hint="eastAsia" w:hAnsiTheme="minorEastAsia" w:eastAsiaTheme="minorEastAsia"/>
          <w:color w:val="000000" w:themeColor="text1"/>
          <w:kern w:val="2"/>
          <w:szCs w:val="22"/>
          <w:lang w:val="zh-TW" w:bidi="ar-SA"/>
          <w14:textFill>
            <w14:solidFill>
              <w14:schemeClr w14:val="tx1"/>
            </w14:solidFill>
          </w14:textFill>
        </w:rPr>
        <w:t>能够</w:t>
      </w:r>
      <w:r>
        <w:rPr>
          <w:rFonts w:hint="eastAsia" w:hAnsiTheme="minorEastAsia" w:eastAsiaTheme="minorEastAsia"/>
          <w:color w:val="000000" w:themeColor="text1"/>
          <w:kern w:val="2"/>
          <w:szCs w:val="22"/>
          <w:lang w:val="zh-TW" w:eastAsia="zh-TW" w:bidi="ar-SA"/>
          <w14:textFill>
            <w14:solidFill>
              <w14:schemeClr w14:val="tx1"/>
            </w14:solidFill>
          </w14:textFill>
        </w:rPr>
        <w:t>满足《土壤环境质量建设用地土壤污染风险管控标准</w:t>
      </w:r>
      <w:r>
        <w:rPr>
          <w:rFonts w:hint="eastAsia" w:hAnsiTheme="minorEastAsia" w:eastAsiaTheme="minorEastAsia"/>
          <w:color w:val="000000" w:themeColor="text1"/>
          <w:kern w:val="2"/>
          <w:szCs w:val="22"/>
          <w:lang w:val="zh-TW" w:bidi="ar-SA"/>
          <w14:textFill>
            <w14:solidFill>
              <w14:schemeClr w14:val="tx1"/>
            </w14:solidFill>
          </w14:textFill>
        </w:rPr>
        <w:t>》</w:t>
      </w:r>
      <w:r>
        <w:rPr>
          <w:rFonts w:hint="eastAsia" w:hAnsiTheme="minorEastAsia" w:eastAsiaTheme="minorEastAsia"/>
          <w:color w:val="000000" w:themeColor="text1"/>
          <w:kern w:val="2"/>
          <w:szCs w:val="22"/>
          <w:lang w:val="zh-TW" w:eastAsia="zh-TW" w:bidi="ar-SA"/>
          <w14:textFill>
            <w14:solidFill>
              <w14:schemeClr w14:val="tx1"/>
            </w14:solidFill>
          </w14:textFill>
        </w:rPr>
        <w:t>（GB36600-2018）中的第二类用地筛选值要求。</w:t>
      </w:r>
    </w:p>
    <w:p>
      <w:pPr>
        <w:pStyle w:val="380"/>
        <w:adjustRightInd w:val="0"/>
        <w:snapToGrid w:val="0"/>
        <w:spacing w:before="120" w:beforeLines="50" w:after="48" w:afterLines="20" w:line="520" w:lineRule="exact"/>
        <w:ind w:firstLine="0" w:firstLineChars="0"/>
        <w:jc w:val="left"/>
        <w:outlineLvl w:val="2"/>
        <w:rPr>
          <w:rFonts w:ascii="Times New Roman" w:hAnsi="Times New Roman" w:eastAsia="黑体"/>
          <w:b/>
          <w:color w:val="000000" w:themeColor="text1"/>
          <w:sz w:val="32"/>
          <w:szCs w:val="32"/>
          <w14:textFill>
            <w14:solidFill>
              <w14:schemeClr w14:val="tx1"/>
            </w14:solidFill>
          </w14:textFill>
        </w:rPr>
      </w:pPr>
      <w:bookmarkStart w:id="916" w:name="_Toc18168"/>
      <w:r>
        <w:rPr>
          <w:rFonts w:hint="default" w:ascii="Times New Roman" w:hAnsi="Times New Roman" w:eastAsia="黑体"/>
          <w:b/>
          <w:color w:val="000000" w:themeColor="text1"/>
          <w:sz w:val="32"/>
          <w:szCs w:val="32"/>
          <w:lang w:val="en-US"/>
          <w14:textFill>
            <w14:solidFill>
              <w14:schemeClr w14:val="tx1"/>
            </w14:solidFill>
          </w14:textFill>
        </w:rPr>
        <w:t>12</w:t>
      </w:r>
      <w:r>
        <w:rPr>
          <w:rFonts w:hint="eastAsia" w:ascii="Times New Roman" w:hAnsi="Times New Roman" w:eastAsia="黑体"/>
          <w:b/>
          <w:color w:val="000000" w:themeColor="text1"/>
          <w:sz w:val="32"/>
          <w:szCs w:val="32"/>
          <w14:textFill>
            <w14:solidFill>
              <w14:schemeClr w14:val="tx1"/>
            </w14:solidFill>
          </w14:textFill>
        </w:rPr>
        <w:t>.4环境影响预测与评价结论</w:t>
      </w:r>
      <w:bookmarkEnd w:id="916"/>
    </w:p>
    <w:p>
      <w:pPr>
        <w:numPr>
          <w:ilvl w:val="0"/>
          <w:numId w:val="40"/>
        </w:num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地表水环境影响分析结论</w:t>
      </w:r>
    </w:p>
    <w:p>
      <w:pPr>
        <w:pStyle w:val="428"/>
        <w:spacing w:line="520" w:lineRule="exact"/>
        <w:rPr>
          <w:rFonts w:hAnsiTheme="minorEastAsia" w:eastAsiaTheme="minorEastAsia"/>
          <w:color w:val="000000" w:themeColor="text1"/>
          <w:kern w:val="2"/>
          <w:szCs w:val="22"/>
          <w:lang w:val="zh-TW" w:bidi="ar-SA"/>
          <w14:textFill>
            <w14:solidFill>
              <w14:schemeClr w14:val="tx1"/>
            </w14:solidFill>
          </w14:textFill>
        </w:rPr>
      </w:pPr>
      <w:r>
        <w:rPr>
          <w:rFonts w:hint="eastAsia" w:hAnsi="Times New Roman"/>
          <w:snapToGrid w:val="0"/>
          <w:color w:val="000000" w:themeColor="text1"/>
          <w14:textFill>
            <w14:solidFill>
              <w14:schemeClr w14:val="tx1"/>
            </w14:solidFill>
          </w14:textFill>
        </w:rPr>
        <w:t>本项目</w:t>
      </w:r>
      <w:r>
        <w:rPr>
          <w:rFonts w:hint="eastAsia"/>
          <w:snapToGrid w:val="0"/>
          <w:color w:val="000000" w:themeColor="text1"/>
          <w14:textFill>
            <w14:solidFill>
              <w14:schemeClr w14:val="tx1"/>
            </w14:solidFill>
          </w14:textFill>
        </w:rPr>
        <w:t>运营期</w:t>
      </w:r>
      <w:r>
        <w:rPr>
          <w:rFonts w:hint="eastAsia" w:hAnsi="Times New Roman"/>
          <w:snapToGrid w:val="0"/>
          <w:color w:val="000000" w:themeColor="text1"/>
          <w14:textFill>
            <w14:solidFill>
              <w14:schemeClr w14:val="tx1"/>
            </w14:solidFill>
          </w14:textFill>
        </w:rPr>
        <w:t>废水主要包括循环冷却水排水、污蒸汽冷凝液排水、蒸汽冷凝液排水、尾气洗涤废液、离心洗涤废水、生活污水；循环冷却水</w:t>
      </w:r>
      <w:r>
        <w:rPr>
          <w:rFonts w:hint="eastAsia"/>
          <w:snapToGrid w:val="0"/>
          <w:color w:val="000000" w:themeColor="text1"/>
          <w14:textFill>
            <w14:solidFill>
              <w14:schemeClr w14:val="tx1"/>
            </w14:solidFill>
          </w14:textFill>
        </w:rPr>
        <w:t>排水</w:t>
      </w:r>
      <w:r>
        <w:rPr>
          <w:rFonts w:hint="eastAsia" w:hAnsi="Times New Roman"/>
          <w:snapToGrid w:val="0"/>
          <w:color w:val="000000" w:themeColor="text1"/>
          <w14:textFill>
            <w14:solidFill>
              <w14:schemeClr w14:val="tx1"/>
            </w14:solidFill>
          </w14:textFill>
        </w:rPr>
        <w:t>作为清净下水经雨水管网排放；污蒸汽冷凝液部分回用于溶盐槽溶盐</w:t>
      </w:r>
      <w:r>
        <w:rPr>
          <w:rFonts w:hint="eastAsia"/>
          <w:snapToGrid w:val="0"/>
          <w:color w:val="000000" w:themeColor="text1"/>
          <w14:textFill>
            <w14:solidFill>
              <w14:schemeClr w14:val="tx1"/>
            </w14:solidFill>
          </w14:textFill>
        </w:rPr>
        <w:t>、</w:t>
      </w:r>
      <w:r>
        <w:rPr>
          <w:rFonts w:hint="eastAsia" w:hAnsi="Times New Roman"/>
          <w:snapToGrid w:val="0"/>
          <w:color w:val="000000" w:themeColor="text1"/>
          <w14:textFill>
            <w14:solidFill>
              <w14:schemeClr w14:val="tx1"/>
            </w14:solidFill>
          </w14:textFill>
        </w:rPr>
        <w:t>离心洗涤</w:t>
      </w:r>
      <w:r>
        <w:rPr>
          <w:rFonts w:hint="eastAsia"/>
          <w:snapToGrid w:val="0"/>
          <w:color w:val="000000" w:themeColor="text1"/>
          <w14:textFill>
            <w14:solidFill>
              <w14:schemeClr w14:val="tx1"/>
            </w14:solidFill>
          </w14:textFill>
        </w:rPr>
        <w:t>、尾气吸收、循环冷却补水</w:t>
      </w:r>
      <w:r>
        <w:rPr>
          <w:rFonts w:hint="eastAsia" w:hAnsi="Times New Roman"/>
          <w:snapToGrid w:val="0"/>
          <w:color w:val="000000" w:themeColor="text1"/>
          <w14:textFill>
            <w14:solidFill>
              <w14:schemeClr w14:val="tx1"/>
            </w14:solidFill>
          </w14:textFill>
        </w:rPr>
        <w:t>，多余部分作为清净下水经雨水管网排放；蒸汽冷凝液部分回用于厂区绿化洒水，多余部分作为清净下水经雨水管网排放；尾气洗涤废液定期泵送至中和槽回用于生产，离心洗涤废水</w:t>
      </w:r>
      <w:r>
        <w:rPr>
          <w:rFonts w:hint="eastAsia" w:hAnsiTheme="minorEastAsia" w:eastAsiaTheme="minorEastAsia"/>
          <w:color w:val="000000" w:themeColor="text1"/>
          <w:kern w:val="2"/>
          <w:lang w:bidi="ar-SA"/>
          <w14:textFill>
            <w14:solidFill>
              <w14:schemeClr w14:val="tx1"/>
            </w14:solidFill>
          </w14:textFill>
        </w:rPr>
        <w:t>经母液槽最终进入中和槽回用于生产，不外排</w:t>
      </w:r>
      <w:r>
        <w:rPr>
          <w:rFonts w:hint="eastAsia" w:hAnsiTheme="minorEastAsia"/>
          <w:color w:val="000000" w:themeColor="text1"/>
          <w:kern w:val="2"/>
          <w:lang w:bidi="ar-SA"/>
          <w14:textFill>
            <w14:solidFill>
              <w14:schemeClr w14:val="tx1"/>
            </w14:solidFill>
          </w14:textFill>
        </w:rPr>
        <w:t>；</w:t>
      </w:r>
      <w:r>
        <w:rPr>
          <w:rFonts w:hint="eastAsia" w:hAnsi="Times New Roman"/>
          <w:snapToGrid w:val="0"/>
          <w:color w:val="000000" w:themeColor="text1"/>
          <w14:textFill>
            <w14:solidFill>
              <w14:schemeClr w14:val="tx1"/>
            </w14:solidFill>
          </w14:textFill>
        </w:rPr>
        <w:t>生活污水经厂区化粪池收集处理后排入园区污水管网最终进入三板湖污水处理厂</w:t>
      </w:r>
      <w:r>
        <w:rPr>
          <w:rFonts w:hAnsi="Times New Roman"/>
          <w:color w:val="000000" w:themeColor="text1"/>
          <w14:textFill>
            <w14:solidFill>
              <w14:schemeClr w14:val="tx1"/>
            </w14:solidFill>
          </w14:textFill>
        </w:rPr>
        <w:t>处理后达到《城镇污水处理厂污染物排放标准》（GB18918-2002）规定一级A标准后排入长江，</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废水排放</w:t>
      </w:r>
      <w:r>
        <w:rPr>
          <w:color w:val="000000" w:themeColor="text1"/>
          <w14:textFill>
            <w14:solidFill>
              <w14:schemeClr w14:val="tx1"/>
            </w14:solidFill>
          </w14:textFill>
        </w:rPr>
        <w:t>对地表水</w:t>
      </w:r>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影响较小</w:t>
      </w:r>
      <w:r>
        <w:rPr>
          <w:rFonts w:hint="eastAsia" w:hAnsi="Times New Roman"/>
          <w:snapToGrid w:val="0"/>
          <w:color w:val="000000" w:themeColor="text1"/>
          <w14:textFill>
            <w14:solidFill>
              <w14:schemeClr w14:val="tx1"/>
            </w14:solidFill>
          </w14:textFill>
        </w:rPr>
        <w:t>。</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（2）大气环境影响预测与评价结论</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本项目运营期废气主要污染物氟化物、HCl、颗粒物排放浓度能够满足《无机化学工业污染物排放标准》（GB31573-2015）表3中限值要求，且各污染物的短期浓度贡献值最大浓度占标率均小于 1%，各污染物预测最大落地浓度值能够满足相应环境质量标准的要求，对区域环境空气质量影响较小。</w:t>
      </w:r>
      <w:r>
        <w:rPr>
          <w:rFonts w:ascii="Times New Roman" w:hAnsiTheme="minorEastAsia" w:eastAsiaTheme="minorEastAsia"/>
          <w:color w:val="000000" w:themeColor="text1"/>
          <w:sz w:val="24"/>
          <w:szCs w:val="24"/>
          <w14:textFill>
            <w14:solidFill>
              <w14:schemeClr w14:val="tx1"/>
            </w14:solidFill>
          </w14:textFill>
        </w:rPr>
        <w:t>本</w:t>
      </w:r>
      <w:r>
        <w:rPr>
          <w:rFonts w:hint="eastAsia" w:ascii="Times New Roman" w:hAnsiTheme="minorEastAsia" w:eastAsiaTheme="minorEastAsia"/>
          <w:color w:val="000000" w:themeColor="text1"/>
          <w:sz w:val="24"/>
          <w:szCs w:val="24"/>
          <w14:textFill>
            <w14:solidFill>
              <w14:schemeClr w14:val="tx1"/>
            </w14:solidFill>
          </w14:textFill>
        </w:rPr>
        <w:t>项目</w:t>
      </w:r>
      <w:r>
        <w:rPr>
          <w:rFonts w:ascii="Times New Roman" w:hAnsiTheme="minorEastAsia" w:eastAsiaTheme="minorEastAsia"/>
          <w:color w:val="000000" w:themeColor="text1"/>
          <w:sz w:val="24"/>
          <w:szCs w:val="24"/>
          <w14:textFill>
            <w14:solidFill>
              <w14:schemeClr w14:val="tx1"/>
            </w14:solidFill>
          </w14:textFill>
        </w:rPr>
        <w:t>大气环境影响可接受。</w:t>
      </w:r>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（3）噪声环境影响预测与评价结论</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在对噪声源采取隔声及距离衰减等污染防治措施后，厂界环境噪声级可控制在《工业企业厂界环境噪声排放标准》（GB12348-2008）3类标准限值内。</w:t>
      </w:r>
    </w:p>
    <w:p>
      <w:pPr>
        <w:spacing w:line="520" w:lineRule="exact"/>
        <w:ind w:firstLine="480" w:firstLineChars="200"/>
        <w:rPr>
          <w:color w:val="000000" w:themeColor="text1"/>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（4）土壤环境影响分析结论</w:t>
      </w:r>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根据土壤环境现状调查及土壤预测，在严格采取评价提出的环保措施前提下，本项目土壤环境影响可接受。</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（5）地下水环境影响分析结论</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建设</w:t>
      </w:r>
      <w:r>
        <w:rPr>
          <w:rFonts w:ascii="Times New Roman" w:hAnsiTheme="minorEastAsia" w:eastAsiaTheme="minorEastAsia"/>
          <w:color w:val="000000" w:themeColor="text1"/>
          <w:sz w:val="24"/>
          <w14:textFill>
            <w14:solidFill>
              <w14:schemeClr w14:val="tx1"/>
            </w14:solidFill>
          </w14:textFill>
        </w:rPr>
        <w:t>单位应在建设过程中严格落实各项地下水污染防治工程（防渗）措施，并在运营过程中做好例行巡视工作，发现渗漏等问题应及时补救；做好例行的地下水跟踪监测工作，出现地下水污染时，及时发现与补救，将污染控制在厂界范围内。在每年的停</w:t>
      </w:r>
      <w:r>
        <w:rPr>
          <w:rFonts w:hint="eastAsia" w:ascii="Times New Roman" w:hAnsiTheme="minorEastAsia" w:eastAsiaTheme="minorEastAsia"/>
          <w:color w:val="000000" w:themeColor="text1"/>
          <w:sz w:val="24"/>
          <w14:textFill>
            <w14:solidFill>
              <w14:schemeClr w14:val="tx1"/>
            </w14:solidFill>
          </w14:textFill>
        </w:rPr>
        <w:t>车</w:t>
      </w:r>
      <w:r>
        <w:rPr>
          <w:rFonts w:ascii="Times New Roman" w:hAnsiTheme="minorEastAsia" w:eastAsiaTheme="minorEastAsia"/>
          <w:color w:val="000000" w:themeColor="text1"/>
          <w:sz w:val="24"/>
          <w14:textFill>
            <w14:solidFill>
              <w14:schemeClr w14:val="tx1"/>
            </w14:solidFill>
          </w14:textFill>
        </w:rPr>
        <w:t>检修过程中，若发现废水收集、输送和处理系统存在防渗结构破损、缺失等问题，及时采取补救措施。在采取上述措施的情况下，拟建项目废水对地下水环境影响可控</w:t>
      </w:r>
      <w:r>
        <w:rPr>
          <w:rFonts w:hint="eastAsia" w:ascii="Times New Roman" w:hAnsiTheme="minorEastAsia" w:eastAsiaTheme="minorEastAsia"/>
          <w:color w:val="000000" w:themeColor="text1"/>
          <w:sz w:val="24"/>
          <w14:textFill>
            <w14:solidFill>
              <w14:schemeClr w14:val="tx1"/>
            </w14:solidFill>
          </w14:textFill>
        </w:rPr>
        <w:t>。</w:t>
      </w:r>
    </w:p>
    <w:p>
      <w:pPr>
        <w:rPr>
          <w:color w:val="000000" w:themeColor="text1"/>
          <w14:textFill>
            <w14:solidFill>
              <w14:schemeClr w14:val="tx1"/>
            </w14:solidFill>
          </w14:textFill>
        </w:rPr>
      </w:pP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（6）固废影响分析结论</w:t>
      </w:r>
    </w:p>
    <w:p>
      <w:pPr>
        <w:spacing w:line="520" w:lineRule="exact"/>
        <w:ind w:firstLine="480" w:firstLineChars="200"/>
        <w:rPr>
          <w:color w:val="000000" w:themeColor="text1"/>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本</w:t>
      </w:r>
      <w:r>
        <w:rPr>
          <w:rFonts w:ascii="Times New Roman" w:hAnsiTheme="minorEastAsia" w:eastAsiaTheme="minorEastAsia"/>
          <w:color w:val="000000" w:themeColor="text1"/>
          <w:sz w:val="24"/>
          <w14:textFill>
            <w14:solidFill>
              <w14:schemeClr w14:val="tx1"/>
            </w14:solidFill>
          </w14:textFill>
        </w:rPr>
        <w:t>项目</w:t>
      </w:r>
      <w:r>
        <w:rPr>
          <w:rFonts w:hint="eastAsia" w:ascii="Times New Roman" w:hAnsiTheme="minorEastAsia" w:eastAsiaTheme="minorEastAsia"/>
          <w:color w:val="000000" w:themeColor="text1"/>
          <w:sz w:val="24"/>
          <w14:textFill>
            <w14:solidFill>
              <w14:schemeClr w14:val="tx1"/>
            </w14:solidFill>
          </w14:textFill>
        </w:rPr>
        <w:t>在运营过程中严格落实各项固废防治措施，</w:t>
      </w:r>
      <w:r>
        <w:rPr>
          <w:rFonts w:ascii="Times New Roman" w:hAnsiTheme="minorEastAsia" w:eastAsiaTheme="minorEastAsia"/>
          <w:color w:val="000000" w:themeColor="text1"/>
          <w:sz w:val="24"/>
          <w14:textFill>
            <w14:solidFill>
              <w14:schemeClr w14:val="tx1"/>
            </w14:solidFill>
          </w14:textFill>
        </w:rPr>
        <w:t>所有固体废物均</w:t>
      </w:r>
      <w:r>
        <w:rPr>
          <w:rFonts w:hint="eastAsia" w:ascii="Times New Roman" w:hAnsiTheme="minorEastAsia" w:eastAsiaTheme="minorEastAsia"/>
          <w:color w:val="000000" w:themeColor="text1"/>
          <w:sz w:val="24"/>
          <w14:textFill>
            <w14:solidFill>
              <w14:schemeClr w14:val="tx1"/>
            </w14:solidFill>
          </w14:textFill>
        </w:rPr>
        <w:t>能</w:t>
      </w:r>
      <w:r>
        <w:rPr>
          <w:rFonts w:ascii="Times New Roman" w:hAnsiTheme="minorEastAsia" w:eastAsiaTheme="minorEastAsia"/>
          <w:color w:val="000000" w:themeColor="text1"/>
          <w:sz w:val="24"/>
          <w14:textFill>
            <w14:solidFill>
              <w14:schemeClr w14:val="tx1"/>
            </w14:solidFill>
          </w14:textFill>
        </w:rPr>
        <w:t>得到妥善处置，对周围环境影响较小</w:t>
      </w:r>
      <w:r>
        <w:rPr>
          <w:rFonts w:hint="eastAsia" w:ascii="Times New Roman" w:hAnsiTheme="minorEastAsia" w:eastAsiaTheme="minorEastAsia"/>
          <w:color w:val="000000" w:themeColor="text1"/>
          <w:sz w:val="24"/>
          <w14:textFill>
            <w14:solidFill>
              <w14:schemeClr w14:val="tx1"/>
            </w14:solidFill>
          </w14:textFill>
        </w:rPr>
        <w:t>。</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（7）环境风险分评价结论</w:t>
      </w:r>
    </w:p>
    <w:p>
      <w:pPr>
        <w:spacing w:line="520" w:lineRule="exact"/>
        <w:ind w:firstLine="480" w:firstLineChars="200"/>
        <w:rPr>
          <w:rFonts w:ascii="Times New Roman" w:hAnsiTheme="minorEastAsia"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建设单位应按本环评提出的意见，做好各项风险的预防和应急措施，一旦发生事故，依靠完善的事故应急措施则能及时控制事故，有效防止事故的蔓延，项目的环境风险影响是可以接受的。</w:t>
      </w:r>
    </w:p>
    <w:p>
      <w:pPr>
        <w:pStyle w:val="380"/>
        <w:adjustRightInd w:val="0"/>
        <w:snapToGrid w:val="0"/>
        <w:spacing w:before="120" w:beforeLines="50" w:after="48" w:afterLines="20" w:line="520" w:lineRule="exact"/>
        <w:ind w:firstLine="0" w:firstLineChars="0"/>
        <w:jc w:val="left"/>
        <w:outlineLvl w:val="2"/>
        <w:rPr>
          <w:color w:val="000000" w:themeColor="text1"/>
          <w14:textFill>
            <w14:solidFill>
              <w14:schemeClr w14:val="tx1"/>
            </w14:solidFill>
          </w14:textFill>
        </w:rPr>
      </w:pPr>
      <w:bookmarkStart w:id="917" w:name="_Toc6411"/>
      <w:r>
        <w:rPr>
          <w:rFonts w:hint="default" w:ascii="Times New Roman" w:hAnsi="Times New Roman" w:eastAsia="黑体"/>
          <w:b/>
          <w:color w:val="000000" w:themeColor="text1"/>
          <w:sz w:val="32"/>
          <w:szCs w:val="32"/>
          <w:lang w:val="en-US"/>
          <w14:textFill>
            <w14:solidFill>
              <w14:schemeClr w14:val="tx1"/>
            </w14:solidFill>
          </w14:textFill>
        </w:rPr>
        <w:t>12</w:t>
      </w:r>
      <w:r>
        <w:rPr>
          <w:rFonts w:hint="eastAsia" w:ascii="Times New Roman" w:hAnsi="Times New Roman" w:eastAsia="黑体"/>
          <w:b/>
          <w:color w:val="000000" w:themeColor="text1"/>
          <w:sz w:val="32"/>
          <w:szCs w:val="32"/>
          <w14:textFill>
            <w14:solidFill>
              <w14:schemeClr w14:val="tx1"/>
            </w14:solidFill>
          </w14:textFill>
        </w:rPr>
        <w:t>.5主要环境保护措施</w:t>
      </w:r>
      <w:bookmarkEnd w:id="917"/>
    </w:p>
    <w:p>
      <w:pPr>
        <w:spacing w:line="520" w:lineRule="exact"/>
        <w:ind w:firstLine="480" w:firstLineChars="200"/>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（1）废水污染防治措施</w:t>
      </w:r>
    </w:p>
    <w:p>
      <w:pPr>
        <w:pStyle w:val="385"/>
        <w:adjustRightInd w:val="0"/>
        <w:snapToGrid w:val="0"/>
        <w:spacing w:line="520" w:lineRule="exact"/>
        <w:ind w:firstLine="480"/>
        <w:rPr>
          <w:rFonts w:eastAsiaTheme="minorEastAsia"/>
          <w:color w:val="000000" w:themeColor="text1"/>
          <w14:textFill>
            <w14:solidFill>
              <w14:schemeClr w14:val="tx1"/>
            </w14:solidFill>
          </w14:textFill>
        </w:rPr>
      </w:pPr>
      <w:r>
        <w:rPr>
          <w:rFonts w:hint="eastAsia" w:hAnsiTheme="minorEastAsia" w:eastAsiaTheme="minorEastAsia"/>
          <w:color w:val="000000" w:themeColor="text1"/>
          <w14:textFill>
            <w14:solidFill>
              <w14:schemeClr w14:val="tx1"/>
            </w14:solidFill>
          </w14:textFill>
        </w:rPr>
        <w:t>本项目运营期废水主要包括循环冷却水排水、污蒸汽冷凝液排水、蒸汽冷凝液排水、尾气洗涤废液、离心洗涤废水、生活污水；循环冷却水排水作为清净下水经雨水管网排放；污蒸汽冷凝液部分回用于溶盐槽溶盐、离心洗涤、尾气吸收、循环冷却补水，多余部分作为清净下水经雨水管网排放；蒸汽冷凝液部分回用于厂区绿化洒水，多余部分作为清净下水经雨水管网排放。生活污水经厂区化粪池（处理能力5m</w:t>
      </w:r>
      <w:r>
        <w:rPr>
          <w:rFonts w:hint="eastAsia" w:hAnsiTheme="minorEastAsia" w:eastAsiaTheme="minorEastAsia"/>
          <w:color w:val="000000" w:themeColor="text1"/>
          <w:vertAlign w:val="superscript"/>
          <w14:textFill>
            <w14:solidFill>
              <w14:schemeClr w14:val="tx1"/>
            </w14:solidFill>
          </w14:textFill>
        </w:rPr>
        <w:t>3</w:t>
      </w:r>
      <w:r>
        <w:rPr>
          <w:rFonts w:hint="eastAsia" w:hAnsiTheme="minorEastAsia" w:eastAsiaTheme="minorEastAsia"/>
          <w:color w:val="000000" w:themeColor="text1"/>
          <w14:textFill>
            <w14:solidFill>
              <w14:schemeClr w14:val="tx1"/>
            </w14:solidFill>
          </w14:textFill>
        </w:rPr>
        <w:t>/d）收集处理后排入园区污水管网最终进入三板湖污水处理厂深度处理，</w:t>
      </w:r>
      <w:r>
        <w:rPr>
          <w:rFonts w:hint="eastAsia"/>
          <w:snapToGrid w:val="0"/>
          <w:color w:val="000000" w:themeColor="text1"/>
          <w14:textFill>
            <w14:solidFill>
              <w14:schemeClr w14:val="tx1"/>
            </w14:solidFill>
          </w14:textFill>
        </w:rPr>
        <w:t>尾气洗涤废液、离心洗涤废水进入系统回用于生产能够有效回收废水中的氟，提高氟收率，避免含氟废水外排。综上，本项目废水治理措施可行。</w:t>
      </w:r>
    </w:p>
    <w:p>
      <w:pPr>
        <w:spacing w:line="520" w:lineRule="exact"/>
        <w:ind w:firstLine="480" w:firstLineChars="200"/>
        <w:outlineLvl w:val="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 xml:space="preserve"> </w:t>
      </w:r>
      <w:bookmarkStart w:id="918" w:name="_Toc24907"/>
      <w:bookmarkStart w:id="919" w:name="_Toc30973"/>
      <w:bookmarkStart w:id="920" w:name="_Toc20508"/>
      <w:bookmarkStart w:id="921" w:name="_Toc9030"/>
      <w:bookmarkStart w:id="922" w:name="_Toc28956"/>
      <w:r>
        <w:rPr>
          <w:rFonts w:hint="eastAsia" w:ascii="Times New Roman" w:hAnsi="Times New Roman" w:eastAsiaTheme="minorEastAsia"/>
          <w:color w:val="000000" w:themeColor="text1"/>
          <w:sz w:val="24"/>
          <w14:textFill>
            <w14:solidFill>
              <w14:schemeClr w14:val="tx1"/>
            </w14:solidFill>
          </w14:textFill>
        </w:rPr>
        <w:t>（2）</w:t>
      </w:r>
      <w:bookmarkEnd w:id="918"/>
      <w:bookmarkEnd w:id="919"/>
      <w:bookmarkEnd w:id="920"/>
      <w:r>
        <w:rPr>
          <w:rFonts w:hint="eastAsia" w:ascii="Times New Roman" w:hAnsiTheme="minorEastAsia" w:eastAsiaTheme="minorEastAsia"/>
          <w:color w:val="000000" w:themeColor="text1"/>
          <w:sz w:val="24"/>
          <w14:textFill>
            <w14:solidFill>
              <w14:schemeClr w14:val="tx1"/>
            </w14:solidFill>
          </w14:textFill>
        </w:rPr>
        <w:t>废气污染防治措施</w:t>
      </w:r>
      <w:bookmarkEnd w:id="921"/>
      <w:bookmarkEnd w:id="922"/>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hint="eastAsia" w:cs="Times New Roman" w:hAnsiTheme="minorEastAsia" w:eastAsiaTheme="minorEastAsia"/>
          <w:color w:val="000000" w:themeColor="text1"/>
          <w14:textFill>
            <w14:solidFill>
              <w14:schemeClr w14:val="tx1"/>
            </w14:solidFill>
          </w14:textFill>
        </w:rPr>
        <w:t>本项目运营期废气主要包括溶盐、调浆过程中产生的投料粉尘，氟硅酸储罐、含氟废酸储槽、溶硅槽、氟硅酸合成槽进出料产生的呼吸废气，氟硅酸钠产品烘干废气</w:t>
      </w:r>
      <w:r>
        <w:rPr>
          <w:rFonts w:cs="Times New Roman"/>
          <w:color w:val="000000" w:themeColor="text1"/>
          <w14:textFill>
            <w14:solidFill>
              <w14:schemeClr w14:val="tx1"/>
            </w14:solidFill>
          </w14:textFill>
        </w:rPr>
        <w:t>。</w:t>
      </w:r>
    </w:p>
    <w:p>
      <w:pPr>
        <w:pStyle w:val="385"/>
        <w:adjustRightInd w:val="0"/>
        <w:snapToGrid w:val="0"/>
        <w:spacing w:line="520" w:lineRule="exact"/>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呼吸废气</w:t>
      </w:r>
      <w:r>
        <w:rPr>
          <w:rFonts w:hint="eastAsia"/>
          <w:color w:val="000000" w:themeColor="text1"/>
          <w14:textFill>
            <w14:solidFill>
              <w14:schemeClr w14:val="tx1"/>
            </w14:solidFill>
          </w14:textFill>
        </w:rPr>
        <w:t>通过密闭气相管道收集引至1套酸性尾气吸收系统</w:t>
      </w:r>
      <w:r>
        <w:rPr>
          <w:rFonts w:hint="eastAsia" w:cs="Times New Roman"/>
          <w:color w:val="000000" w:themeColor="text1"/>
          <w14:textFill>
            <w14:solidFill>
              <w14:schemeClr w14:val="tx1"/>
            </w14:solidFill>
          </w14:textFill>
        </w:rPr>
        <w:t>（2级水洗+1级碱洗）</w:t>
      </w:r>
      <w:r>
        <w:rPr>
          <w:rFonts w:hint="eastAsia"/>
          <w:color w:val="000000" w:themeColor="text1"/>
          <w14:textFill>
            <w14:solidFill>
              <w14:schemeClr w14:val="tx1"/>
            </w14:solidFill>
          </w14:textFill>
        </w:rPr>
        <w:t>处理后经15m高排气筒DA001排放；</w:t>
      </w:r>
      <w:r>
        <w:rPr>
          <w:rFonts w:hint="eastAsia" w:cs="Times New Roman"/>
          <w:color w:val="000000" w:themeColor="text1"/>
          <w14:textFill>
            <w14:solidFill>
              <w14:schemeClr w14:val="tx1"/>
            </w14:solidFill>
          </w14:textFill>
        </w:rPr>
        <w:t>投料粉尘经负压集气管道集中收集后接入1套中性尾气吸收系统（2级水洗+1级碱洗）处理后经15m高排气筒DA002排放；烘干废气</w:t>
      </w:r>
      <w:r>
        <w:rPr>
          <w:rFonts w:hint="eastAsia"/>
          <w:color w:val="000000" w:themeColor="text1"/>
          <w14:textFill>
            <w14:solidFill>
              <w14:schemeClr w14:val="tx1"/>
            </w14:solidFill>
          </w14:textFill>
        </w:rPr>
        <w:t>通过密闭气相管道收集后经1套布袋除尘器处理后经15m高排气筒DA003排放。</w:t>
      </w:r>
    </w:p>
    <w:p>
      <w:pPr>
        <w:pStyle w:val="385"/>
        <w:adjustRightInd w:val="0"/>
        <w:snapToGrid w:val="0"/>
        <w:spacing w:line="5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经采取以上废气治理措施进行处理后，本项目废气污染物氟化物、HCl、颗粒物排放浓度能够满足《无机化学工业污染物排放标准》（GB31573-2015）表</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中限值要求，废气治理措施可行。</w:t>
      </w:r>
    </w:p>
    <w:p>
      <w:pPr>
        <w:spacing w:line="520" w:lineRule="exact"/>
        <w:ind w:firstLine="480" w:firstLineChars="200"/>
        <w:outlineLvl w:val="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 xml:space="preserve"> </w:t>
      </w:r>
      <w:bookmarkStart w:id="923" w:name="_Toc11980"/>
      <w:bookmarkStart w:id="924" w:name="_Toc3065"/>
      <w:r>
        <w:rPr>
          <w:rFonts w:hint="eastAsia" w:ascii="Times New Roman" w:hAnsi="Times New Roman" w:eastAsiaTheme="minorEastAsia"/>
          <w:color w:val="000000" w:themeColor="text1"/>
          <w:sz w:val="24"/>
          <w14:textFill>
            <w14:solidFill>
              <w14:schemeClr w14:val="tx1"/>
            </w14:solidFill>
          </w14:textFill>
        </w:rPr>
        <w:t>（3）噪声</w:t>
      </w:r>
      <w:r>
        <w:rPr>
          <w:rFonts w:hint="eastAsia" w:ascii="Times New Roman" w:hAnsiTheme="minorEastAsia" w:eastAsiaTheme="minorEastAsia"/>
          <w:color w:val="000000" w:themeColor="text1"/>
          <w:sz w:val="24"/>
          <w14:textFill>
            <w14:solidFill>
              <w14:schemeClr w14:val="tx1"/>
            </w14:solidFill>
          </w14:textFill>
        </w:rPr>
        <w:t>污染防治措施</w:t>
      </w:r>
      <w:bookmarkEnd w:id="923"/>
      <w:bookmarkEnd w:id="924"/>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①</w:t>
      </w:r>
      <w:r>
        <w:rPr>
          <w:rFonts w:ascii="Times New Roman" w:hAnsiTheme="minorEastAsia" w:eastAsiaTheme="minorEastAsia"/>
          <w:color w:val="000000" w:themeColor="text1"/>
          <w:sz w:val="24"/>
          <w14:textFill>
            <w14:solidFill>
              <w14:schemeClr w14:val="tx1"/>
            </w14:solidFill>
          </w14:textFill>
        </w:rPr>
        <w:t>设备选型上充分考虑选择低噪声型号设备；对高噪声设备安装减震垫、隔声罩，对风机进行隔振、消声；并加强设备运行管理，对各机械设备应定期检查、维修，使各机械设备保持良好的工作状态。</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②</w:t>
      </w:r>
      <w:r>
        <w:rPr>
          <w:rFonts w:ascii="Times New Roman" w:hAnsiTheme="minorEastAsia" w:eastAsiaTheme="minorEastAsia"/>
          <w:color w:val="000000" w:themeColor="text1"/>
          <w:sz w:val="24"/>
          <w14:textFill>
            <w14:solidFill>
              <w14:schemeClr w14:val="tx1"/>
            </w14:solidFill>
          </w14:textFill>
        </w:rPr>
        <w:t>项目生产车间安装隔声门窗，生产时关闭门窗，车间可安装吸声消声装置，以保证车间隔声达到</w:t>
      </w:r>
      <w:r>
        <w:rPr>
          <w:rFonts w:hint="eastAsia" w:ascii="Times New Roman" w:hAnsi="Times New Roman" w:eastAsiaTheme="minorEastAsia"/>
          <w:color w:val="000000" w:themeColor="text1"/>
          <w:sz w:val="24"/>
          <w14:textFill>
            <w14:solidFill>
              <w14:schemeClr w14:val="tx1"/>
            </w14:solidFill>
          </w14:textFill>
        </w:rPr>
        <w:t>25</w:t>
      </w:r>
      <w:r>
        <w:rPr>
          <w:rFonts w:ascii="Times New Roman" w:hAnsi="Times New Roman" w:eastAsiaTheme="minorEastAsia"/>
          <w:color w:val="000000" w:themeColor="text1"/>
          <w:sz w:val="24"/>
          <w14:textFill>
            <w14:solidFill>
              <w14:schemeClr w14:val="tx1"/>
            </w14:solidFill>
          </w14:textFill>
        </w:rPr>
        <w:t>dB</w:t>
      </w:r>
      <w:r>
        <w:rPr>
          <w:rFonts w:ascii="Times New Roman" w:hAnsiTheme="minorEastAsia" w:eastAsiaTheme="minorEastAsia"/>
          <w:color w:val="000000" w:themeColor="text1"/>
          <w:sz w:val="24"/>
          <w14:textFill>
            <w14:solidFill>
              <w14:schemeClr w14:val="tx1"/>
            </w14:solidFill>
          </w14:textFill>
        </w:rPr>
        <w:t>以上；合理布局车间设备位置，必要时对高噪声设备设置单独隔间；厂区种植绿化树林带和灌木草地。</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heme="minorEastAsia" w:eastAsiaTheme="minorEastAsia"/>
          <w:color w:val="000000" w:themeColor="text1"/>
          <w:sz w:val="24"/>
          <w14:textFill>
            <w14:solidFill>
              <w14:schemeClr w14:val="tx1"/>
            </w14:solidFill>
          </w14:textFill>
        </w:rPr>
        <w:t>③</w:t>
      </w:r>
      <w:r>
        <w:rPr>
          <w:rFonts w:ascii="Times New Roman" w:hAnsiTheme="minorEastAsia" w:eastAsiaTheme="minorEastAsia"/>
          <w:color w:val="000000" w:themeColor="text1"/>
          <w:sz w:val="24"/>
          <w14:textFill>
            <w14:solidFill>
              <w14:schemeClr w14:val="tx1"/>
            </w14:solidFill>
          </w14:textFill>
        </w:rPr>
        <w:t>对放置于车间外的各类风机、泵等高噪声设备进行减振、降噪处理，并应安装隔声箱体，尽可能降低噪声影响。通过上述噪声防治措施，厂界噪声至少可降低</w:t>
      </w:r>
      <w:r>
        <w:rPr>
          <w:rFonts w:ascii="Times New Roman" w:hAnsi="Times New Roman" w:eastAsiaTheme="minorEastAsia"/>
          <w:color w:val="000000" w:themeColor="text1"/>
          <w:sz w:val="24"/>
          <w14:textFill>
            <w14:solidFill>
              <w14:schemeClr w14:val="tx1"/>
            </w14:solidFill>
          </w14:textFill>
        </w:rPr>
        <w:t>20~30dB(A)</w:t>
      </w:r>
      <w:r>
        <w:rPr>
          <w:rFonts w:ascii="Times New Roman" w:hAnsiTheme="minorEastAsia" w:eastAsiaTheme="minorEastAsia"/>
          <w:color w:val="000000" w:themeColor="text1"/>
          <w:sz w:val="24"/>
          <w14:textFill>
            <w14:solidFill>
              <w14:schemeClr w14:val="tx1"/>
            </w14:solidFill>
          </w14:textFill>
        </w:rPr>
        <w:t>以上，最大程度满足噪声环境标准要求。</w:t>
      </w:r>
    </w:p>
    <w:p>
      <w:pPr>
        <w:adjustRightInd w:val="0"/>
        <w:snapToGrid w:val="0"/>
        <w:spacing w:line="520" w:lineRule="exact"/>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Times New Roman" w:hAnsi="Times New Roman" w:eastAsiaTheme="minorEastAsia"/>
          <w:color w:val="000000" w:themeColor="text1"/>
          <w:sz w:val="24"/>
          <w14:textFill>
            <w14:solidFill>
              <w14:schemeClr w14:val="tx1"/>
            </w14:solidFill>
          </w14:textFill>
        </w:rPr>
        <w:t>经过上述措施隔音降噪后，通过距离衰减及绿化隔声降噪、厂界噪声能够达到《工业企业厂界环境噪声排放标准》（GB12348-2008）3类标准。由于该项目的噪声设备属于常见噪声源，采用的控制措施是成熟和定型的，从技术角度讲是可靠的，经济上是合理的，拟建项目噪声治理措施总体上是可行的。</w:t>
      </w:r>
    </w:p>
    <w:p>
      <w:pPr>
        <w:spacing w:line="520" w:lineRule="exact"/>
        <w:ind w:firstLine="480" w:firstLineChars="200"/>
        <w:outlineLvl w:val="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 xml:space="preserve"> </w:t>
      </w:r>
      <w:bookmarkStart w:id="925" w:name="_Toc7155"/>
      <w:bookmarkStart w:id="926" w:name="_Toc26723"/>
      <w:r>
        <w:rPr>
          <w:rFonts w:hint="eastAsia" w:ascii="Times New Roman" w:hAnsi="Times New Roman" w:eastAsiaTheme="minorEastAsia"/>
          <w:color w:val="000000" w:themeColor="text1"/>
          <w:sz w:val="24"/>
          <w14:textFill>
            <w14:solidFill>
              <w14:schemeClr w14:val="tx1"/>
            </w14:solidFill>
          </w14:textFill>
        </w:rPr>
        <w:t>（4）固废</w:t>
      </w:r>
      <w:r>
        <w:rPr>
          <w:rFonts w:hint="eastAsia" w:ascii="Times New Roman" w:hAnsiTheme="minorEastAsia" w:eastAsiaTheme="minorEastAsia"/>
          <w:color w:val="000000" w:themeColor="text1"/>
          <w:sz w:val="24"/>
          <w14:textFill>
            <w14:solidFill>
              <w14:schemeClr w14:val="tx1"/>
            </w14:solidFill>
          </w14:textFill>
        </w:rPr>
        <w:t>污染防治措施</w:t>
      </w:r>
      <w:bookmarkEnd w:id="925"/>
      <w:bookmarkEnd w:id="926"/>
    </w:p>
    <w:p>
      <w:pPr>
        <w:pStyle w:val="431"/>
        <w:spacing w:line="50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本项目运营期固废主要包括废包装材料、生活垃圾、布袋除尘器收集粉尘、压滤废渣、废机油。废包装材料经集中收集后交由物资部门回收处理；</w:t>
      </w:r>
      <w:r>
        <w:rPr>
          <w:rFonts w:ascii="Times New Roman"/>
          <w:bCs/>
          <w:color w:val="000000" w:themeColor="text1"/>
          <w14:textFill>
            <w14:solidFill>
              <w14:schemeClr w14:val="tx1"/>
            </w14:solidFill>
          </w14:textFill>
        </w:rPr>
        <w:t>生活垃圾由厂区垃圾箱收集后，由环卫部门定期清理</w:t>
      </w:r>
      <w:r>
        <w:rPr>
          <w:rFonts w:hint="eastAsia" w:ascii="Times New Roman"/>
          <w:bCs/>
          <w:color w:val="000000" w:themeColor="text1"/>
          <w14:textFill>
            <w14:solidFill>
              <w14:schemeClr w14:val="tx1"/>
            </w14:solidFill>
          </w14:textFill>
        </w:rPr>
        <w:t>；布袋除尘器收集粉尘集中收集后作为产品外售；压滤废渣经集中收集后外售砖厂综合利用；废机油</w:t>
      </w:r>
      <w:r>
        <w:rPr>
          <w:rFonts w:hint="eastAsia" w:ascii="Times New Roman" w:hAnsi="Times New Roman"/>
          <w:bCs/>
          <w:color w:val="000000" w:themeColor="text1"/>
          <w14:textFill>
            <w14:solidFill>
              <w14:schemeClr w14:val="tx1"/>
            </w14:solidFill>
          </w14:textFill>
        </w:rPr>
        <w:t>收集暂存于危废暂存间，定期委托有资质单位进行清运处置。</w:t>
      </w:r>
    </w:p>
    <w:p>
      <w:pPr>
        <w:spacing w:line="520" w:lineRule="exact"/>
        <w:ind w:firstLine="480" w:firstLineChars="200"/>
        <w:outlineLvl w:val="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 xml:space="preserve"> </w:t>
      </w:r>
      <w:bookmarkStart w:id="927" w:name="_Toc709"/>
      <w:bookmarkStart w:id="928" w:name="_Toc18834"/>
      <w:r>
        <w:rPr>
          <w:rFonts w:hint="eastAsia" w:ascii="Times New Roman" w:hAnsi="Times New Roman" w:eastAsiaTheme="minorEastAsia"/>
          <w:color w:val="000000" w:themeColor="text1"/>
          <w:sz w:val="24"/>
          <w14:textFill>
            <w14:solidFill>
              <w14:schemeClr w14:val="tx1"/>
            </w14:solidFill>
          </w14:textFill>
        </w:rPr>
        <w:t>（5）地下水</w:t>
      </w:r>
      <w:r>
        <w:rPr>
          <w:rFonts w:hint="eastAsia" w:ascii="Times New Roman" w:hAnsiTheme="minorEastAsia" w:eastAsiaTheme="minorEastAsia"/>
          <w:color w:val="000000" w:themeColor="text1"/>
          <w:sz w:val="24"/>
          <w14:textFill>
            <w14:solidFill>
              <w14:schemeClr w14:val="tx1"/>
            </w14:solidFill>
          </w14:textFill>
        </w:rPr>
        <w:t>污染防治措施</w:t>
      </w:r>
      <w:bookmarkEnd w:id="927"/>
      <w:bookmarkEnd w:id="928"/>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项目防渗及防腐措施施工建设时严格按照以下要求进行建设。为避免物料泄漏对地下水产生影响，建设单位采取的措施包括：</w:t>
      </w:r>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①厂区地基整体防渗要求：厂区地坪应能够满足百年一遇的防洪要求，且能够保证厂区地坪在地下水丰水期最高水位以上。</w:t>
      </w:r>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w:t>
      </w:r>
      <w:r>
        <w:rPr>
          <w:rFonts w:hint="eastAsia" w:cs="Times New Roman"/>
          <w:color w:val="000000" w:themeColor="text1"/>
          <w14:textFill>
            <w14:solidFill>
              <w14:schemeClr w14:val="tx1"/>
            </w14:solidFill>
          </w14:textFill>
        </w:rPr>
        <w:t>重点污染防治区：指位于地下或半地下的生产功能单元，污染地下水环境的物料长期储存或泄漏不容易及时发现或处理的区域。重点污染区防渗标准：操作条件下的单位面积渗透量不大于厚度为6m，饱和渗透系数≤10 -7 cm/s 防渗层的渗透量，防渗能力与《危险废物填埋场污染控制标准》（GB18598-2001）第 6.5.1 条等效。</w:t>
      </w:r>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w:t>
      </w:r>
      <w:r>
        <w:rPr>
          <w:rFonts w:hint="eastAsia" w:cs="Times New Roman"/>
          <w:color w:val="000000" w:themeColor="text1"/>
          <w14:textFill>
            <w14:solidFill>
              <w14:schemeClr w14:val="tx1"/>
            </w14:solidFill>
          </w14:textFill>
        </w:rPr>
        <w:t>一般污染防治区：指裸露地面的生产功能单元，污染地下水环境的物料泄漏容易及时发现和处理的区域。对于一般污染防治区，参照《一般工业固体废物贮存、处置场污染控制标准》（GB18599－2001）Ⅱ类场进行设计。一般污染区防渗标准：操作条件下的单位面积渗透量不大于厚度为 1.5m，渗透系数≤10 -7 cm/s 防渗层的渗透量，防渗能力与《一般工业固体废物贮存、处置场污染控制标准》（GB18599－2001）第 6.2.1 条等效。</w:t>
      </w:r>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④非污染防治区：该区域由于基本没有污染，按常规工程进行设计和建设，一般采取地面水泥硬化措施。</w:t>
      </w:r>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cs="Times New Roman" w:hAnsiTheme="minorEastAsia" w:eastAsiaTheme="minorEastAsia"/>
          <w:color w:val="000000" w:themeColor="text1"/>
          <w14:textFill>
            <w14:solidFill>
              <w14:schemeClr w14:val="tx1"/>
            </w14:solidFill>
          </w14:textFill>
        </w:rPr>
        <w:t>采取以上措施后，可以有效地控制</w:t>
      </w:r>
      <w:r>
        <w:rPr>
          <w:rFonts w:hint="eastAsia" w:cs="Times New Roman" w:hAnsiTheme="minorEastAsia" w:eastAsiaTheme="minorEastAsia"/>
          <w:color w:val="000000" w:themeColor="text1"/>
          <w14:textFill>
            <w14:solidFill>
              <w14:schemeClr w14:val="tx1"/>
            </w14:solidFill>
          </w14:textFill>
        </w:rPr>
        <w:t>本项目</w:t>
      </w:r>
      <w:r>
        <w:rPr>
          <w:rFonts w:cs="Times New Roman" w:hAnsiTheme="minorEastAsia" w:eastAsiaTheme="minorEastAsia"/>
          <w:color w:val="000000" w:themeColor="text1"/>
          <w14:textFill>
            <w14:solidFill>
              <w14:schemeClr w14:val="tx1"/>
            </w14:solidFill>
          </w14:textFill>
        </w:rPr>
        <w:t>对厂区附近地下水造成污染，</w:t>
      </w:r>
      <w:r>
        <w:rPr>
          <w:rFonts w:hint="eastAsia" w:cs="Times New Roman" w:hAnsiTheme="minorEastAsia" w:eastAsiaTheme="minorEastAsia"/>
          <w:color w:val="000000" w:themeColor="text1"/>
          <w14:textFill>
            <w14:solidFill>
              <w14:schemeClr w14:val="tx1"/>
            </w14:solidFill>
          </w14:textFill>
        </w:rPr>
        <w:t>项目运营期</w:t>
      </w:r>
      <w:r>
        <w:rPr>
          <w:rFonts w:cs="Times New Roman" w:hAnsiTheme="minorEastAsia" w:eastAsiaTheme="minorEastAsia"/>
          <w:color w:val="000000" w:themeColor="text1"/>
          <w14:textFill>
            <w14:solidFill>
              <w14:schemeClr w14:val="tx1"/>
            </w14:solidFill>
          </w14:textFill>
        </w:rPr>
        <w:t>对周围地下水不会造成明显影响。</w:t>
      </w:r>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（6）风险防范措施</w:t>
      </w:r>
    </w:p>
    <w:p>
      <w:pPr>
        <w:pStyle w:val="385"/>
        <w:adjustRightInd w:val="0"/>
        <w:snapToGrid w:val="0"/>
        <w:spacing w:line="520" w:lineRule="exact"/>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涉及的主要风险物质为氢氧化钠、氢氟酸、氟硅酸、氟硅酸钠，无重大危险源。可能发生的环境风险事故主要包括氟硅酸、废酸（15%氟硅酸+2%氢氟酸）、氟硅酸钠生产及运输过程中发生泄漏污染地下水、土壤。废气处理系统发生故障导致废气事故排放，污染大气环境，事故应急池事故废水泄漏污染地下水、土壤。危险废物发生泄漏污染地下水、土壤。</w:t>
      </w:r>
      <w:r>
        <w:rPr>
          <w:color w:val="000000" w:themeColor="text1"/>
          <w14:textFill>
            <w14:solidFill>
              <w14:schemeClr w14:val="tx1"/>
            </w14:solidFill>
          </w14:textFill>
        </w:rPr>
        <w:t>建设单位认真落实</w:t>
      </w:r>
      <w:r>
        <w:rPr>
          <w:rFonts w:hint="eastAsia"/>
          <w:color w:val="000000" w:themeColor="text1"/>
          <w14:textFill>
            <w14:solidFill>
              <w14:schemeClr w14:val="tx1"/>
            </w14:solidFill>
          </w14:textFill>
        </w:rPr>
        <w:t>本评价提出的</w:t>
      </w:r>
      <w:r>
        <w:rPr>
          <w:color w:val="000000" w:themeColor="text1"/>
          <w14:textFill>
            <w14:solidFill>
              <w14:schemeClr w14:val="tx1"/>
            </w14:solidFill>
          </w14:textFill>
        </w:rPr>
        <w:t>相关风险防范措施、严格管理，能有效地防止</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等事故的发生；一旦发生事故，依靠完善的安全防护设施和事故应急措施则能及时控制事故，防止事故的蔓延。项目的环境风险影响是可以接受的。</w:t>
      </w:r>
    </w:p>
    <w:p>
      <w:pPr>
        <w:pStyle w:val="380"/>
        <w:adjustRightInd w:val="0"/>
        <w:snapToGrid w:val="0"/>
        <w:spacing w:before="120" w:beforeLines="50" w:after="48" w:afterLines="20" w:line="520" w:lineRule="exact"/>
        <w:ind w:firstLine="0" w:firstLineChars="0"/>
        <w:jc w:val="left"/>
        <w:outlineLvl w:val="2"/>
        <w:rPr>
          <w:color w:val="000000" w:themeColor="text1"/>
          <w14:textFill>
            <w14:solidFill>
              <w14:schemeClr w14:val="tx1"/>
            </w14:solidFill>
          </w14:textFill>
        </w:rPr>
      </w:pPr>
      <w:bookmarkStart w:id="929" w:name="_Toc2668"/>
      <w:r>
        <w:rPr>
          <w:rFonts w:hint="default" w:ascii="Times New Roman" w:hAnsi="Times New Roman" w:eastAsia="黑体"/>
          <w:b/>
          <w:color w:val="000000" w:themeColor="text1"/>
          <w:sz w:val="32"/>
          <w:szCs w:val="32"/>
          <w:lang w:val="en-US"/>
          <w14:textFill>
            <w14:solidFill>
              <w14:schemeClr w14:val="tx1"/>
            </w14:solidFill>
          </w14:textFill>
        </w:rPr>
        <w:t>12</w:t>
      </w:r>
      <w:r>
        <w:rPr>
          <w:rFonts w:hint="eastAsia" w:ascii="Times New Roman" w:hAnsi="Times New Roman" w:eastAsia="黑体"/>
          <w:b/>
          <w:color w:val="000000" w:themeColor="text1"/>
          <w:sz w:val="32"/>
          <w:szCs w:val="32"/>
          <w14:textFill>
            <w14:solidFill>
              <w14:schemeClr w14:val="tx1"/>
            </w14:solidFill>
          </w14:textFill>
        </w:rPr>
        <w:t>.6总量控制结论</w:t>
      </w:r>
      <w:bookmarkEnd w:id="929"/>
    </w:p>
    <w:p>
      <w:pPr>
        <w:spacing w:line="520" w:lineRule="exact"/>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heme="minorEastAsia" w:eastAsiaTheme="minorEastAsia"/>
          <w:color w:val="000000" w:themeColor="text1"/>
          <w:sz w:val="24"/>
          <w:szCs w:val="24"/>
          <w14:textFill>
            <w14:solidFill>
              <w14:schemeClr w14:val="tx1"/>
            </w14:solidFill>
          </w14:textFill>
        </w:rPr>
        <w:t>本项目全部建成后，全厂污染物排放总量为：</w:t>
      </w:r>
      <w:r>
        <w:rPr>
          <w:rFonts w:hint="eastAsia" w:ascii="Times New Roman" w:hAnsiTheme="minorEastAsia" w:eastAsiaTheme="minorEastAsia"/>
          <w:color w:val="000000" w:themeColor="text1"/>
          <w:sz w:val="24"/>
          <w:szCs w:val="24"/>
          <w14:textFill>
            <w14:solidFill>
              <w14:schemeClr w14:val="tx1"/>
            </w14:solidFill>
          </w14:textFill>
        </w:rPr>
        <w:t>烟粉尘：</w:t>
      </w:r>
      <w:r>
        <w:rPr>
          <w:rFonts w:hint="eastAsia" w:ascii="Times New Roman" w:hAnsi="Times New Roman" w:eastAsiaTheme="minorEastAsia"/>
          <w:color w:val="000000" w:themeColor="text1"/>
          <w:sz w:val="24"/>
          <w:szCs w:val="24"/>
          <w14:textFill>
            <w14:solidFill>
              <w14:schemeClr w14:val="tx1"/>
            </w14:solidFill>
          </w14:textFill>
        </w:rPr>
        <w:t>0.</w:t>
      </w:r>
      <w:r>
        <w:rPr>
          <w:rFonts w:hint="default" w:ascii="Times New Roman" w:hAnsi="Times New Roman" w:eastAsiaTheme="minorEastAsia"/>
          <w:color w:val="000000" w:themeColor="text1"/>
          <w:sz w:val="24"/>
          <w:szCs w:val="24"/>
          <w:lang w:val="en-US"/>
          <w14:textFill>
            <w14:solidFill>
              <w14:schemeClr w14:val="tx1"/>
            </w14:solidFill>
          </w14:textFill>
        </w:rPr>
        <w:t>282</w:t>
      </w:r>
      <w:r>
        <w:rPr>
          <w:rFonts w:ascii="Times New Roman" w:hAnsi="Times New Roman" w:eastAsiaTheme="minorEastAsia"/>
          <w:bCs/>
          <w:color w:val="000000" w:themeColor="text1"/>
          <w:sz w:val="24"/>
          <w:szCs w:val="24"/>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t/a</w:t>
      </w:r>
    </w:p>
    <w:p>
      <w:pPr>
        <w:spacing w:line="520" w:lineRule="exact"/>
        <w:ind w:firstLine="480" w:firstLineChars="200"/>
        <w:jc w:val="left"/>
        <w:rPr>
          <w:rFonts w:ascii="Times New Roman" w:hAnsiTheme="minorEastAsia" w:eastAsiaTheme="minorEastAsia"/>
          <w:color w:val="000000" w:themeColor="text1"/>
          <w:sz w:val="24"/>
          <w:szCs w:val="24"/>
          <w14:textFill>
            <w14:solidFill>
              <w14:schemeClr w14:val="tx1"/>
            </w14:solidFill>
          </w14:textFill>
        </w:rPr>
      </w:pPr>
      <w:r>
        <w:rPr>
          <w:rFonts w:hint="eastAsia" w:ascii="Times New Roman" w:hAnsiTheme="minorEastAsia" w:eastAsiaTheme="minorEastAsia"/>
          <w:color w:val="000000" w:themeColor="text1"/>
          <w:sz w:val="24"/>
          <w:szCs w:val="24"/>
          <w14:textFill>
            <w14:solidFill>
              <w14:schemeClr w14:val="tx1"/>
            </w14:solidFill>
          </w14:textFill>
        </w:rPr>
        <w:t>本项目所在区域上一年度PM2.5年平均浓度超标，实施二氧化硫、氮氧化物、烟粉尘三项污染物2倍削减替代。</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930" w:name="_Toc926"/>
      <w:r>
        <w:rPr>
          <w:rFonts w:hint="default" w:ascii="Times New Roman" w:hAnsi="Times New Roman" w:eastAsia="黑体"/>
          <w:b/>
          <w:color w:val="000000" w:themeColor="text1"/>
          <w:sz w:val="32"/>
          <w:szCs w:val="32"/>
          <w:lang w:val="en-US"/>
          <w14:textFill>
            <w14:solidFill>
              <w14:schemeClr w14:val="tx1"/>
            </w14:solidFill>
          </w14:textFill>
        </w:rPr>
        <w:t>12</w:t>
      </w:r>
      <w:r>
        <w:rPr>
          <w:rFonts w:ascii="Times New Roman" w:hAnsi="Times New Roman" w:eastAsia="黑体"/>
          <w:b/>
          <w:color w:val="000000" w:themeColor="text1"/>
          <w:sz w:val="32"/>
          <w:szCs w:val="32"/>
          <w14:textFill>
            <w14:solidFill>
              <w14:schemeClr w14:val="tx1"/>
            </w14:solidFill>
          </w14:textFill>
        </w:rPr>
        <w:t>.7</w:t>
      </w:r>
      <w:r>
        <w:rPr>
          <w:rFonts w:hint="eastAsia" w:ascii="黑体" w:hAnsi="黑体" w:eastAsia="黑体"/>
          <w:b/>
          <w:color w:val="000000" w:themeColor="text1"/>
          <w:sz w:val="32"/>
          <w:szCs w:val="32"/>
          <w14:textFill>
            <w14:solidFill>
              <w14:schemeClr w14:val="tx1"/>
            </w14:solidFill>
          </w14:textFill>
        </w:rPr>
        <w:t>评价总</w:t>
      </w:r>
      <w:r>
        <w:rPr>
          <w:rFonts w:ascii="黑体" w:hAnsi="黑体" w:eastAsia="黑体"/>
          <w:b/>
          <w:color w:val="000000" w:themeColor="text1"/>
          <w:sz w:val="32"/>
          <w:szCs w:val="32"/>
          <w14:textFill>
            <w14:solidFill>
              <w14:schemeClr w14:val="tx1"/>
            </w14:solidFill>
          </w14:textFill>
        </w:rPr>
        <w:t>结论</w:t>
      </w:r>
      <w:bookmarkEnd w:id="930"/>
    </w:p>
    <w:p>
      <w:pPr>
        <w:autoSpaceDE w:val="0"/>
        <w:autoSpaceDN w:val="0"/>
        <w:spacing w:line="520" w:lineRule="exact"/>
        <w:ind w:firstLine="482" w:firstLineChars="200"/>
        <w:rPr>
          <w:rFonts w:ascii="Times New Roman" w:hAnsi="Times New Roman" w:eastAsiaTheme="minorEastAsia"/>
          <w:b/>
          <w:color w:val="000000" w:themeColor="text1"/>
          <w:sz w:val="24"/>
          <w14:textFill>
            <w14:solidFill>
              <w14:schemeClr w14:val="tx1"/>
            </w14:solidFill>
          </w14:textFill>
        </w:rPr>
      </w:pPr>
      <w:r>
        <w:rPr>
          <w:rFonts w:hint="eastAsia" w:ascii="Times New Roman" w:hAnsiTheme="minorEastAsia" w:eastAsiaTheme="minorEastAsia"/>
          <w:b/>
          <w:color w:val="000000" w:themeColor="text1"/>
          <w:sz w:val="24"/>
          <w14:textFill>
            <w14:solidFill>
              <w14:schemeClr w14:val="tx1"/>
            </w14:solidFill>
          </w14:textFill>
        </w:rPr>
        <w:t>氟硅酸钠生产加工项目一期</w:t>
      </w:r>
      <w:r>
        <w:rPr>
          <w:rFonts w:ascii="Times New Roman" w:hAnsiTheme="minorEastAsia" w:eastAsiaTheme="minorEastAsia"/>
          <w:b/>
          <w:color w:val="000000" w:themeColor="text1"/>
          <w:sz w:val="24"/>
          <w14:textFill>
            <w14:solidFill>
              <w14:schemeClr w14:val="tx1"/>
            </w14:solidFill>
          </w14:textFill>
        </w:rPr>
        <w:t>的建设符合相关产业政策、环保政策以及各项规划要求，项目组成、选址、布局、规模、工艺合理可行，</w:t>
      </w:r>
      <w:r>
        <w:rPr>
          <w:rFonts w:hint="eastAsia" w:ascii="Times New Roman" w:hAnsiTheme="minorEastAsia" w:eastAsiaTheme="minorEastAsia"/>
          <w:b/>
          <w:color w:val="000000" w:themeColor="text1"/>
          <w:sz w:val="24"/>
          <w14:textFill>
            <w14:solidFill>
              <w14:schemeClr w14:val="tx1"/>
            </w14:solidFill>
          </w14:textFill>
        </w:rPr>
        <w:t>项目资源利用率高、能耗低、环保治理措施先进合理，</w:t>
      </w:r>
      <w:r>
        <w:rPr>
          <w:rFonts w:ascii="Times New Roman" w:hAnsiTheme="minorEastAsia" w:eastAsiaTheme="minorEastAsia"/>
          <w:b/>
          <w:color w:val="000000" w:themeColor="text1"/>
          <w:sz w:val="24"/>
          <w14:textFill>
            <w14:solidFill>
              <w14:schemeClr w14:val="tx1"/>
            </w14:solidFill>
          </w14:textFill>
        </w:rPr>
        <w:t>具有较好的环境和经济效益，同时有利于当地经济发展和人民生活质量的提高，得到当地公众的支持。</w:t>
      </w:r>
    </w:p>
    <w:p>
      <w:pPr>
        <w:spacing w:line="520" w:lineRule="exact"/>
        <w:ind w:firstLine="482" w:firstLineChars="200"/>
        <w:rPr>
          <w:rFonts w:ascii="Times New Roman" w:hAnsiTheme="minorEastAsia" w:eastAsiaTheme="minorEastAsia"/>
          <w:b/>
          <w:color w:val="000000" w:themeColor="text1"/>
          <w:sz w:val="24"/>
          <w14:textFill>
            <w14:solidFill>
              <w14:schemeClr w14:val="tx1"/>
            </w14:solidFill>
          </w14:textFill>
        </w:rPr>
      </w:pPr>
      <w:r>
        <w:rPr>
          <w:rFonts w:ascii="Times New Roman" w:hAnsiTheme="minorEastAsia" w:eastAsiaTheme="minorEastAsia"/>
          <w:b/>
          <w:color w:val="000000" w:themeColor="text1"/>
          <w:sz w:val="24"/>
          <w14:textFill>
            <w14:solidFill>
              <w14:schemeClr w14:val="tx1"/>
            </w14:solidFill>
          </w14:textFill>
        </w:rPr>
        <w:t>本项目在运行过程中将产生一定的废气、废水、噪声及固体废物的污染，在严格落实各项环境影响减缓措施、实施环境管理与监测计划以及环境风险防范措施以后，各类污染物可达标排放，符合总量控制及清洁生产的要求。在认真落实各项环保措施、严格执行</w:t>
      </w:r>
      <w:r>
        <w:rPr>
          <w:rFonts w:ascii="Times New Roman" w:hAnsi="Times New Roman" w:eastAsiaTheme="minorEastAsia"/>
          <w:b/>
          <w:color w:val="000000" w:themeColor="text1"/>
          <w:sz w:val="24"/>
          <w14:textFill>
            <w14:solidFill>
              <w14:schemeClr w14:val="tx1"/>
            </w14:solidFill>
          </w14:textFill>
        </w:rPr>
        <w:t>“</w:t>
      </w:r>
      <w:r>
        <w:rPr>
          <w:rFonts w:ascii="Times New Roman" w:hAnsiTheme="minorEastAsia" w:eastAsiaTheme="minorEastAsia"/>
          <w:b/>
          <w:color w:val="000000" w:themeColor="text1"/>
          <w:sz w:val="24"/>
          <w14:textFill>
            <w14:solidFill>
              <w14:schemeClr w14:val="tx1"/>
            </w14:solidFill>
          </w14:textFill>
        </w:rPr>
        <w:t>三同时</w:t>
      </w:r>
      <w:r>
        <w:rPr>
          <w:rFonts w:ascii="Times New Roman" w:hAnsi="Times New Roman" w:eastAsiaTheme="minorEastAsia"/>
          <w:b/>
          <w:color w:val="000000" w:themeColor="text1"/>
          <w:sz w:val="24"/>
          <w14:textFill>
            <w14:solidFill>
              <w14:schemeClr w14:val="tx1"/>
            </w14:solidFill>
          </w14:textFill>
        </w:rPr>
        <w:t>”</w:t>
      </w:r>
      <w:r>
        <w:rPr>
          <w:rFonts w:ascii="Times New Roman" w:hAnsiTheme="minorEastAsia" w:eastAsiaTheme="minorEastAsia"/>
          <w:b/>
          <w:color w:val="000000" w:themeColor="text1"/>
          <w:sz w:val="24"/>
          <w14:textFill>
            <w14:solidFill>
              <w14:schemeClr w14:val="tx1"/>
            </w14:solidFill>
          </w14:textFill>
        </w:rPr>
        <w:t>制度及国家环保法律法规、加强环境管理的前提下，从环境保护角度分析，本项目的建设是可行的。</w:t>
      </w:r>
    </w:p>
    <w:p>
      <w:pPr>
        <w:pStyle w:val="380"/>
        <w:adjustRightInd w:val="0"/>
        <w:snapToGrid w:val="0"/>
        <w:spacing w:before="120" w:beforeLines="50" w:after="48" w:afterLines="20" w:line="520" w:lineRule="exact"/>
        <w:ind w:firstLine="0" w:firstLineChars="0"/>
        <w:jc w:val="left"/>
        <w:outlineLvl w:val="2"/>
        <w:rPr>
          <w:rFonts w:ascii="黑体" w:hAnsi="黑体" w:eastAsia="黑体"/>
          <w:b/>
          <w:color w:val="000000" w:themeColor="text1"/>
          <w:sz w:val="32"/>
          <w:szCs w:val="32"/>
          <w14:textFill>
            <w14:solidFill>
              <w14:schemeClr w14:val="tx1"/>
            </w14:solidFill>
          </w14:textFill>
        </w:rPr>
      </w:pPr>
      <w:bookmarkStart w:id="931" w:name="_Toc30570"/>
      <w:bookmarkStart w:id="932" w:name="_Toc27130"/>
      <w:r>
        <w:rPr>
          <w:rFonts w:hint="default" w:ascii="Times New Roman" w:hAnsi="Times New Roman" w:eastAsia="黑体"/>
          <w:b/>
          <w:color w:val="000000" w:themeColor="text1"/>
          <w:sz w:val="32"/>
          <w:szCs w:val="32"/>
          <w:lang w:val="en-US"/>
          <w14:textFill>
            <w14:solidFill>
              <w14:schemeClr w14:val="tx1"/>
            </w14:solidFill>
          </w14:textFill>
        </w:rPr>
        <w:t>12</w:t>
      </w:r>
      <w:r>
        <w:rPr>
          <w:rFonts w:ascii="Times New Roman" w:hAnsi="Times New Roman" w:eastAsia="黑体"/>
          <w:b/>
          <w:color w:val="000000" w:themeColor="text1"/>
          <w:sz w:val="32"/>
          <w:szCs w:val="32"/>
          <w14:textFill>
            <w14:solidFill>
              <w14:schemeClr w14:val="tx1"/>
            </w14:solidFill>
          </w14:textFill>
        </w:rPr>
        <w:t>.8</w:t>
      </w:r>
      <w:r>
        <w:rPr>
          <w:rFonts w:ascii="黑体" w:hAnsi="黑体" w:eastAsia="黑体"/>
          <w:b/>
          <w:color w:val="000000" w:themeColor="text1"/>
          <w:sz w:val="32"/>
          <w:szCs w:val="32"/>
          <w14:textFill>
            <w14:solidFill>
              <w14:schemeClr w14:val="tx1"/>
            </w14:solidFill>
          </w14:textFill>
        </w:rPr>
        <w:t>建议</w:t>
      </w:r>
      <w:bookmarkEnd w:id="931"/>
      <w:bookmarkEnd w:id="932"/>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（1）充分重视公众对拟建项目的关注，及时回应公众提出的问题，建立有效的信息发布渠道和沟通机制。</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加强事故风险防范管理，并落实到生产的每个环节，将事故发生概率降到最低限度。同时，将各项应急处理措施落实到实处，并对职工经常进行环保安全教育，定期进行应急、安全演习，提高安全生产意识。</w:t>
      </w:r>
    </w:p>
    <w:p>
      <w:pPr>
        <w:spacing w:line="520" w:lineRule="exact"/>
        <w:ind w:firstLine="480" w:firstLineChars="200"/>
        <w:rPr>
          <w:rFonts w:ascii="Times New Roman" w:hAnsi="Times New Roman"/>
          <w:color w:val="000000" w:themeColor="text1"/>
          <w:sz w:val="24"/>
          <w:szCs w:val="24"/>
          <w14:textFill>
            <w14:solidFill>
              <w14:schemeClr w14:val="tx1"/>
            </w14:solidFill>
          </w14:textFill>
        </w:rPr>
      </w:pPr>
    </w:p>
    <w:sectPr>
      <w:pgSz w:w="11906" w:h="16838"/>
      <w:pgMar w:top="1418" w:right="1418" w:bottom="1418" w:left="1418"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roman"/>
    <w:pitch w:val="default"/>
    <w:sig w:usb0="A00002FF" w:usb1="28CFFCFA" w:usb2="00000016" w:usb3="00000000" w:csb0="00100001"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魏碑简体">
    <w:altName w:val="宋体"/>
    <w:panose1 w:val="00000000000000000000"/>
    <w:charset w:val="86"/>
    <w:family w:val="auto"/>
    <w:pitch w:val="default"/>
    <w:sig w:usb0="00000000" w:usb1="00000000" w:usb2="00000010" w:usb3="00000000" w:csb0="00040000" w:csb1="00000000"/>
  </w:font>
  <w:font w:name="ST Song">
    <w:altName w:val="宋体"/>
    <w:panose1 w:val="00000000000000000000"/>
    <w:charset w:val="86"/>
    <w:family w:val="roman"/>
    <w:pitch w:val="default"/>
    <w:sig w:usb0="00000000" w:usb1="00000000" w:usb2="00000010" w:usb3="00000000" w:csb0="00040000" w:csb1="00000000"/>
  </w:font>
  <w:font w:name="方正楷体简体">
    <w:altName w:val="宋体"/>
    <w:panose1 w:val="00000000000000000000"/>
    <w:charset w:val="86"/>
    <w:family w:val="script"/>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华文新魏">
    <w:panose1 w:val="02010800040101010101"/>
    <w:charset w:val="86"/>
    <w:family w:val="auto"/>
    <w:pitch w:val="default"/>
    <w:sig w:usb0="00000001" w:usb1="080F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Roman PS">
    <w:altName w:val="Times New Roman"/>
    <w:panose1 w:val="00000000000000000000"/>
    <w:charset w:val="00"/>
    <w:family w:val="roman"/>
    <w:pitch w:val="default"/>
    <w:sig w:usb0="00000000" w:usb1="00000000" w:usb2="00000000" w:usb3="00000000" w:csb0="00000001" w:csb1="00000000"/>
  </w:font>
  <w:font w:name="Comic Sans MS">
    <w:panose1 w:val="030F0702030302020204"/>
    <w:charset w:val="00"/>
    <w:family w:val="script"/>
    <w:pitch w:val="default"/>
    <w:sig w:usb0="00000287" w:usb1="40000013" w:usb2="00000000" w:usb3="00000000" w:csb0="2000009F" w:csb1="00000000"/>
  </w:font>
  <w:font w:name="新宋体">
    <w:panose1 w:val="02010609030101010101"/>
    <w:charset w:val="86"/>
    <w:family w:val="modern"/>
    <w:pitch w:val="default"/>
    <w:sig w:usb0="0000000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隶书">
    <w:panose1 w:val="0201050906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Consolas">
    <w:panose1 w:val="020B0609020204030204"/>
    <w:charset w:val="00"/>
    <w:family w:val="modern"/>
    <w:pitch w:val="default"/>
    <w:sig w:usb0="E10002FF" w:usb1="4000FCFF" w:usb2="00000009" w:usb3="00000000" w:csb0="6000019F" w:csb1="DFD70000"/>
  </w:font>
  <w:font w:name="Georgia">
    <w:panose1 w:val="02040502050405020303"/>
    <w:charset w:val="00"/>
    <w:family w:val="roman"/>
    <w:pitch w:val="default"/>
    <w:sig w:usb0="00000287" w:usb1="00000000" w:usb2="00000000" w:usb3="00000000" w:csb0="2000009F" w:csb1="00000000"/>
  </w:font>
  <w:font w:name="Verdana">
    <w:panose1 w:val="020B0604030504040204"/>
    <w:charset w:val="00"/>
    <w:family w:val="swiss"/>
    <w:pitch w:val="default"/>
    <w:sig w:usb0="A10006FF" w:usb1="4000205B" w:usb2="00000010" w:usb3="00000000" w:csb0="2000019F" w:csb1="00000000"/>
  </w:font>
  <w:font w:name="宋体-方正超大字符集">
    <w:altName w:val="宋体"/>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orbel">
    <w:panose1 w:val="020B0503020204020204"/>
    <w:charset w:val="00"/>
    <w:family w:val="swiss"/>
    <w:pitch w:val="default"/>
    <w:sig w:usb0="A00002EF" w:usb1="4000A44B" w:usb2="00000000" w:usb3="00000000" w:csb0="2000019F" w:csb1="00000000"/>
  </w:font>
  <w:font w:name="Dotum">
    <w:panose1 w:val="020B0600000101010101"/>
    <w:charset w:val="81"/>
    <w:family w:val="swiss"/>
    <w:pitch w:val="default"/>
    <w:sig w:usb0="B00002AF" w:usb1="69D77CFB" w:usb2="00000030" w:usb3="00000000" w:csb0="4008009F" w:csb1="DFD70000"/>
  </w:font>
  <w:font w:name="华文细黑">
    <w:panose1 w:val="02010600040101010101"/>
    <w:charset w:val="86"/>
    <w:family w:val="auto"/>
    <w:pitch w:val="default"/>
    <w:sig w:usb0="00000287" w:usb1="080F0000" w:usb2="00000000" w:usb3="00000000" w:csb0="0004009F" w:csb1="DFD70000"/>
  </w:font>
  <w:font w:name="_GB2312">
    <w:altName w:val="Times New Roman"/>
    <w:panose1 w:val="00000000000000000000"/>
    <w:charset w:val="00"/>
    <w:family w:val="roma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体">
    <w:altName w:val="宋体"/>
    <w:panose1 w:val="00000000000000000000"/>
    <w:charset w:val="86"/>
    <w:family w:val="auto"/>
    <w:pitch w:val="default"/>
    <w:sig w:usb0="00000000" w:usb1="00000000" w:usb2="0000001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Black">
    <w:panose1 w:val="020B0A04020102020204"/>
    <w:charset w:val="00"/>
    <w:family w:val="swiss"/>
    <w:pitch w:val="default"/>
    <w:sig w:usb0="00000287" w:usb1="00000000" w:usb2="00000000" w:usb3="00000000" w:csb0="2000009F" w:csb1="DFD70000"/>
  </w:font>
  <w:font w:name="汉鼎简特宋">
    <w:altName w:val="宋体"/>
    <w:panose1 w:val="00000000000000000000"/>
    <w:charset w:val="86"/>
    <w:family w:val="modern"/>
    <w:pitch w:val="default"/>
    <w:sig w:usb0="00000000" w:usb1="00000000" w:usb2="00000010" w:usb3="00000000" w:csb0="00040000" w:csb1="00000000"/>
  </w:font>
  <w:font w:name="華康中黑體">
    <w:altName w:val="Microsoft JhengHei"/>
    <w:panose1 w:val="00000000000000000000"/>
    <w:charset w:val="88"/>
    <w:family w:val="modern"/>
    <w:pitch w:val="default"/>
    <w:sig w:usb0="00000000" w:usb1="00000000" w:usb2="00000016" w:usb3="00000000" w:csb0="00100000" w:csb1="00000000"/>
  </w:font>
  <w:font w:name="Microsoft JhengHei">
    <w:panose1 w:val="020B0604030504040204"/>
    <w:charset w:val="88"/>
    <w:family w:val="auto"/>
    <w:pitch w:val="default"/>
    <w:sig w:usb0="00000087" w:usb1="28AF4000" w:usb2="00000016" w:usb3="00000000" w:csb0="00100009" w:csb1="00000000"/>
  </w:font>
  <w:font w:name="DFKai-SB">
    <w:panose1 w:val="03000509000000000000"/>
    <w:charset w:val="88"/>
    <w:family w:val="script"/>
    <w:pitch w:val="default"/>
    <w:sig w:usb0="00000003" w:usb1="082E0000" w:usb2="00000016" w:usb3="00000000" w:csb0="00100001" w:csb1="00000000"/>
  </w:font>
  <w:font w:name="TimesNewRomanPSMT">
    <w:altName w:val="Times New Roman"/>
    <w:panose1 w:val="00000000000000000000"/>
    <w:charset w:val="00"/>
    <w:family w:val="auto"/>
    <w:pitch w:val="default"/>
    <w:sig w:usb0="00000000" w:usb1="00000000" w:usb2="00000000" w:usb3="00000000" w:csb0="00000001" w:csb1="00000000"/>
  </w:font>
  <w:font w:name="TimesNewRomanPS-BoldM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0"/>
      </w:pBdr>
      <w:rPr>
        <w:sz w:val="18"/>
        <w:szCs w:val="18"/>
      </w:rPr>
    </w:pPr>
    <w:r>
      <w:rPr>
        <w:rFonts w:hint="eastAsia" w:asciiTheme="majorHAnsi" w:hAnsiTheme="majorHAnsi"/>
        <w:sz w:val="18"/>
        <w:szCs w:val="18"/>
        <w:lang w:val="zh-CN"/>
      </w:rPr>
      <w:t>—</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r>
      <w:rPr>
        <w:rFonts w:hint="eastAsia" w:asciiTheme="majorHAnsi" w:hAnsiTheme="majorHAnsi"/>
        <w:sz w:val="18"/>
        <w:szCs w:val="18"/>
        <w:lang w:val="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0"/>
      </w:pBdr>
      <w:rPr>
        <w:sz w:val="18"/>
        <w:szCs w:val="18"/>
      </w:rPr>
    </w:pPr>
    <w:r>
      <w:rPr>
        <w:rFonts w:hint="eastAsia" w:asciiTheme="majorHAnsi" w:hAnsiTheme="majorHAnsi"/>
        <w:sz w:val="18"/>
        <w:szCs w:val="18"/>
        <w:lang w:val="zh-CN"/>
      </w:rPr>
      <w:t>—</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57</w:t>
    </w:r>
    <w:r>
      <w:rPr>
        <w:rFonts w:ascii="Times New Roman" w:hAnsi="Times New Roman" w:cs="Times New Roman"/>
      </w:rPr>
      <w:fldChar w:fldCharType="end"/>
    </w:r>
    <w:r>
      <w:rPr>
        <w:rFonts w:hint="eastAsia" w:asciiTheme="majorHAnsi" w:hAnsiTheme="majorHAnsi"/>
        <w:sz w:val="18"/>
        <w:szCs w:val="18"/>
        <w:lang w:val="zh-CN"/>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0"/>
      </w:pBdr>
      <w:rPr>
        <w:sz w:val="18"/>
        <w:szCs w:val="18"/>
      </w:rPr>
    </w:pPr>
    <w:r>
      <w:rPr>
        <w:rFonts w:hint="eastAsia" w:asciiTheme="majorHAnsi" w:hAnsiTheme="majorHAnsi"/>
        <w:sz w:val="18"/>
        <w:szCs w:val="18"/>
        <w:lang w:val="zh-CN"/>
      </w:rPr>
      <w:t>—</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126</w:t>
    </w:r>
    <w:r>
      <w:rPr>
        <w:rFonts w:ascii="Times New Roman" w:hAnsi="Times New Roman" w:cs="Times New Roman"/>
      </w:rPr>
      <w:fldChar w:fldCharType="end"/>
    </w:r>
    <w:r>
      <w:rPr>
        <w:rFonts w:hint="eastAsia" w:asciiTheme="majorHAnsi" w:hAnsiTheme="majorHAnsi"/>
        <w:sz w:val="18"/>
        <w:szCs w:val="18"/>
        <w:lang w:val="zh-CN"/>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0"/>
      </w:pBdr>
      <w:rPr>
        <w:sz w:val="18"/>
        <w:szCs w:val="18"/>
      </w:rPr>
    </w:pPr>
    <w:r>
      <w:rPr>
        <w:rFonts w:hint="eastAsia" w:asciiTheme="majorHAnsi" w:hAnsiTheme="majorHAnsi"/>
        <w:sz w:val="18"/>
        <w:szCs w:val="18"/>
        <w:lang w:val="zh-CN"/>
      </w:rPr>
      <w:t>—</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223</w:t>
    </w:r>
    <w:r>
      <w:rPr>
        <w:rFonts w:ascii="Times New Roman" w:hAnsi="Times New Roman" w:cs="Times New Roman"/>
      </w:rPr>
      <w:fldChar w:fldCharType="end"/>
    </w:r>
    <w:r>
      <w:rPr>
        <w:rFonts w:hint="eastAsia" w:asciiTheme="majorHAnsi" w:hAnsiTheme="majorHAnsi"/>
        <w:sz w:val="18"/>
        <w:szCs w:val="18"/>
        <w:lang w:val="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ascii="华文楷体" w:hAnsi="华文楷体" w:eastAsia="华文楷体"/>
      </w:rPr>
    </w:pPr>
    <w:r>
      <w:rPr>
        <w:rFonts w:hint="eastAsia" w:ascii="华文楷体" w:hAnsi="华文楷体" w:eastAsia="华文楷体"/>
        <w:szCs w:val="24"/>
      </w:rPr>
      <w:t>氟硅酸钠生产加工项目一期环境影响报告书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62129"/>
    <w:multiLevelType w:val="singleLevel"/>
    <w:tmpl w:val="86762129"/>
    <w:lvl w:ilvl="0" w:tentative="0">
      <w:start w:val="2"/>
      <w:numFmt w:val="decimal"/>
      <w:suff w:val="nothing"/>
      <w:lvlText w:val="%1、"/>
      <w:lvlJc w:val="left"/>
    </w:lvl>
  </w:abstractNum>
  <w:abstractNum w:abstractNumId="1">
    <w:nsid w:val="A5C79D2C"/>
    <w:multiLevelType w:val="singleLevel"/>
    <w:tmpl w:val="A5C79D2C"/>
    <w:lvl w:ilvl="0" w:tentative="0">
      <w:start w:val="1"/>
      <w:numFmt w:val="decimal"/>
      <w:suff w:val="nothing"/>
      <w:lvlText w:val="（%1）"/>
      <w:lvlJc w:val="left"/>
    </w:lvl>
  </w:abstractNum>
  <w:abstractNum w:abstractNumId="2">
    <w:nsid w:val="B35B2C0A"/>
    <w:multiLevelType w:val="singleLevel"/>
    <w:tmpl w:val="B35B2C0A"/>
    <w:lvl w:ilvl="0" w:tentative="0">
      <w:start w:val="1"/>
      <w:numFmt w:val="decimal"/>
      <w:suff w:val="nothing"/>
      <w:lvlText w:val="%1、"/>
      <w:lvlJc w:val="left"/>
    </w:lvl>
  </w:abstractNum>
  <w:abstractNum w:abstractNumId="3">
    <w:nsid w:val="E45AA200"/>
    <w:multiLevelType w:val="singleLevel"/>
    <w:tmpl w:val="E45AA200"/>
    <w:lvl w:ilvl="0" w:tentative="0">
      <w:start w:val="1"/>
      <w:numFmt w:val="decimal"/>
      <w:suff w:val="nothing"/>
      <w:lvlText w:val="（%1）"/>
      <w:lvlJc w:val="left"/>
    </w:lvl>
  </w:abstractNum>
  <w:abstractNum w:abstractNumId="4">
    <w:nsid w:val="EAF7258E"/>
    <w:multiLevelType w:val="singleLevel"/>
    <w:tmpl w:val="EAF7258E"/>
    <w:lvl w:ilvl="0" w:tentative="0">
      <w:start w:val="1"/>
      <w:numFmt w:val="lowerLetter"/>
      <w:lvlText w:val="%1."/>
      <w:lvlJc w:val="left"/>
      <w:pPr>
        <w:tabs>
          <w:tab w:val="left" w:pos="312"/>
        </w:tabs>
      </w:pPr>
    </w:lvl>
  </w:abstractNum>
  <w:abstractNum w:abstractNumId="5">
    <w:nsid w:val="FE1FD9F5"/>
    <w:multiLevelType w:val="singleLevel"/>
    <w:tmpl w:val="FE1FD9F5"/>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7">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8">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9">
    <w:nsid w:val="FFFFFF80"/>
    <w:multiLevelType w:val="singleLevel"/>
    <w:tmpl w:val="FFFFFF80"/>
    <w:lvl w:ilvl="0" w:tentative="0">
      <w:start w:val="1"/>
      <w:numFmt w:val="bullet"/>
      <w:pStyle w:val="3"/>
      <w:lvlText w:val=""/>
      <w:lvlJc w:val="left"/>
      <w:pPr>
        <w:tabs>
          <w:tab w:val="left" w:pos="2040"/>
        </w:tabs>
        <w:ind w:left="2040" w:leftChars="800" w:hanging="360" w:hangingChars="200"/>
      </w:pPr>
      <w:rPr>
        <w:rFonts w:hint="default" w:ascii="Wingdings" w:hAnsi="Wingdings"/>
      </w:rPr>
    </w:lvl>
  </w:abstractNum>
  <w:abstractNum w:abstractNumId="10">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11">
    <w:nsid w:val="FFFFFF82"/>
    <w:multiLevelType w:val="singleLevel"/>
    <w:tmpl w:val="FFFFFF82"/>
    <w:lvl w:ilvl="0" w:tentative="0">
      <w:start w:val="1"/>
      <w:numFmt w:val="bullet"/>
      <w:pStyle w:val="35"/>
      <w:lvlText w:val=""/>
      <w:lvlJc w:val="left"/>
      <w:pPr>
        <w:tabs>
          <w:tab w:val="left" w:pos="1200"/>
        </w:tabs>
        <w:ind w:left="1200" w:leftChars="400" w:hanging="360" w:hangingChars="200"/>
      </w:pPr>
      <w:rPr>
        <w:rFonts w:hint="default" w:ascii="Wingdings" w:hAnsi="Wingdings"/>
      </w:rPr>
    </w:lvl>
  </w:abstractNum>
  <w:abstractNum w:abstractNumId="12">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13">
    <w:nsid w:val="06D06BD2"/>
    <w:multiLevelType w:val="singleLevel"/>
    <w:tmpl w:val="06D06BD2"/>
    <w:lvl w:ilvl="0" w:tentative="0">
      <w:start w:val="1"/>
      <w:numFmt w:val="decimal"/>
      <w:suff w:val="nothing"/>
      <w:lvlText w:val="（%1）"/>
      <w:lvlJc w:val="left"/>
    </w:lvl>
  </w:abstractNum>
  <w:abstractNum w:abstractNumId="14">
    <w:nsid w:val="06FD419F"/>
    <w:multiLevelType w:val="multilevel"/>
    <w:tmpl w:val="06FD419F"/>
    <w:lvl w:ilvl="0" w:tentative="0">
      <w:start w:val="1"/>
      <w:numFmt w:val="decimal"/>
      <w:lvlText w:val="%1."/>
      <w:lvlJc w:val="left"/>
      <w:pPr>
        <w:tabs>
          <w:tab w:val="left" w:pos="125"/>
        </w:tabs>
        <w:ind w:left="125" w:hanging="425"/>
      </w:pPr>
      <w:rPr>
        <w:rFonts w:hint="default" w:ascii="Times New Roman" w:hAnsi="Times New Roman" w:eastAsia="仿宋_GB2312"/>
        <w:b/>
        <w:i w:val="0"/>
        <w:sz w:val="44"/>
        <w:szCs w:val="44"/>
      </w:rPr>
    </w:lvl>
    <w:lvl w:ilvl="1" w:tentative="0">
      <w:start w:val="1"/>
      <w:numFmt w:val="decimal"/>
      <w:lvlText w:val="1.%2"/>
      <w:lvlJc w:val="left"/>
      <w:pPr>
        <w:tabs>
          <w:tab w:val="left" w:pos="267"/>
        </w:tabs>
        <w:ind w:left="267" w:hanging="567"/>
      </w:pPr>
      <w:rPr>
        <w:rFonts w:hint="default" w:ascii="Times New Roman" w:hAnsi="Times New Roman" w:eastAsia="仿宋_GB2312"/>
        <w:b/>
        <w:i w:val="0"/>
        <w:sz w:val="32"/>
        <w:szCs w:val="32"/>
      </w:rPr>
    </w:lvl>
    <w:lvl w:ilvl="2" w:tentative="0">
      <w:start w:val="1"/>
      <w:numFmt w:val="decimal"/>
      <w:lvlRestart w:val="1"/>
      <w:pStyle w:val="273"/>
      <w:lvlText w:val="1.3.%3"/>
      <w:lvlJc w:val="left"/>
      <w:pPr>
        <w:tabs>
          <w:tab w:val="left" w:pos="567"/>
        </w:tabs>
        <w:ind w:left="567" w:hanging="567"/>
      </w:pPr>
      <w:rPr>
        <w:rFonts w:hint="eastAsia" w:eastAsia="仿宋_GB2312"/>
        <w:b/>
        <w:i w:val="0"/>
        <w:iCs w:val="0"/>
        <w:caps w:val="0"/>
        <w:strike w:val="0"/>
        <w:dstrike w:val="0"/>
        <w:outline w:val="0"/>
        <w:shadow w:val="0"/>
        <w:emboss w:val="0"/>
        <w:imprint w:val="0"/>
        <w:snapToGrid w:val="0"/>
        <w:vanish w:val="0"/>
        <w:spacing w:val="0"/>
        <w:position w:val="0"/>
        <w:sz w:val="28"/>
        <w:szCs w:val="28"/>
        <w:u w:val="none"/>
        <w:vertAlign w:val="baseline"/>
      </w:rPr>
    </w:lvl>
    <w:lvl w:ilvl="3" w:tentative="0">
      <w:start w:val="1"/>
      <w:numFmt w:val="decimal"/>
      <w:isLgl/>
      <w:lvlText w:val="%1.%2.%3.%4"/>
      <w:lvlJc w:val="left"/>
      <w:pPr>
        <w:tabs>
          <w:tab w:val="left" w:pos="567"/>
        </w:tabs>
        <w:ind w:left="567" w:hanging="567"/>
      </w:pPr>
      <w:rPr>
        <w:rFonts w:hint="default" w:ascii="Times New Roman" w:hAnsi="Times New Roman" w:eastAsia="仿宋_GB2312"/>
        <w:b/>
        <w:i w:val="0"/>
        <w:sz w:val="28"/>
      </w:rPr>
    </w:lvl>
    <w:lvl w:ilvl="4" w:tentative="0">
      <w:start w:val="1"/>
      <w:numFmt w:val="decimal"/>
      <w:lvlText w:val="%1.%2.%3.%4.%5."/>
      <w:lvlJc w:val="left"/>
      <w:pPr>
        <w:tabs>
          <w:tab w:val="left" w:pos="692"/>
        </w:tabs>
        <w:ind w:left="692" w:hanging="992"/>
      </w:pPr>
      <w:rPr>
        <w:rFonts w:hint="eastAsia"/>
      </w:rPr>
    </w:lvl>
    <w:lvl w:ilvl="5" w:tentative="0">
      <w:start w:val="1"/>
      <w:numFmt w:val="decimal"/>
      <w:lvlText w:val="%1.%2.%3.%4.%5.%6."/>
      <w:lvlJc w:val="left"/>
      <w:pPr>
        <w:tabs>
          <w:tab w:val="left" w:pos="834"/>
        </w:tabs>
        <w:ind w:left="834" w:hanging="1134"/>
      </w:pPr>
      <w:rPr>
        <w:rFonts w:hint="eastAsia"/>
      </w:rPr>
    </w:lvl>
    <w:lvl w:ilvl="6" w:tentative="0">
      <w:start w:val="1"/>
      <w:numFmt w:val="decimal"/>
      <w:lvlText w:val="%1.%2.%3.%4.%5.%6.%7."/>
      <w:lvlJc w:val="left"/>
      <w:pPr>
        <w:tabs>
          <w:tab w:val="left" w:pos="976"/>
        </w:tabs>
        <w:ind w:left="976" w:hanging="1276"/>
      </w:pPr>
      <w:rPr>
        <w:rFonts w:hint="eastAsia"/>
      </w:rPr>
    </w:lvl>
    <w:lvl w:ilvl="7" w:tentative="0">
      <w:start w:val="1"/>
      <w:numFmt w:val="decimal"/>
      <w:lvlText w:val="%1.%2.%3.%4.%5.%6.%7.%8."/>
      <w:lvlJc w:val="left"/>
      <w:pPr>
        <w:tabs>
          <w:tab w:val="left" w:pos="1118"/>
        </w:tabs>
        <w:ind w:left="1118" w:hanging="1418"/>
      </w:pPr>
      <w:rPr>
        <w:rFonts w:hint="eastAsia"/>
      </w:rPr>
    </w:lvl>
    <w:lvl w:ilvl="8" w:tentative="0">
      <w:start w:val="1"/>
      <w:numFmt w:val="decimal"/>
      <w:lvlText w:val="%1.%2.%3.%4.%5.%6.%7.%8.%9."/>
      <w:lvlJc w:val="left"/>
      <w:pPr>
        <w:tabs>
          <w:tab w:val="left" w:pos="1259"/>
        </w:tabs>
        <w:ind w:left="1259" w:hanging="1559"/>
      </w:pPr>
      <w:rPr>
        <w:rFonts w:hint="eastAsia"/>
      </w:rPr>
    </w:lvl>
  </w:abstractNum>
  <w:abstractNum w:abstractNumId="15">
    <w:nsid w:val="0D577CFF"/>
    <w:multiLevelType w:val="multilevel"/>
    <w:tmpl w:val="0D577CFF"/>
    <w:lvl w:ilvl="0" w:tentative="0">
      <w:start w:val="1"/>
      <w:numFmt w:val="decimal"/>
      <w:lvlText w:val="%1"/>
      <w:lvlJc w:val="left"/>
      <w:pPr>
        <w:tabs>
          <w:tab w:val="left" w:pos="432"/>
        </w:tabs>
        <w:ind w:left="432" w:hanging="432"/>
      </w:pPr>
      <w:rPr>
        <w:rFonts w:hint="eastAsia" w:ascii="Times New Roman" w:hAnsi="Times New Roman" w:eastAsia="宋体"/>
        <w:b/>
        <w:i w:val="0"/>
        <w:sz w:val="32"/>
      </w:rPr>
    </w:lvl>
    <w:lvl w:ilvl="1" w:tentative="0">
      <w:start w:val="1"/>
      <w:numFmt w:val="decimal"/>
      <w:lvlText w:val="%1.%2"/>
      <w:lvlJc w:val="left"/>
      <w:pPr>
        <w:tabs>
          <w:tab w:val="left" w:pos="576"/>
        </w:tabs>
        <w:ind w:left="576" w:hanging="576"/>
      </w:pPr>
      <w:rPr>
        <w:rFonts w:hint="eastAsia" w:ascii="Times New Roman" w:hAnsi="Times New Roman" w:eastAsia="宋体"/>
        <w:b/>
        <w:i w:val="0"/>
        <w:sz w:val="28"/>
      </w:rPr>
    </w:lvl>
    <w:lvl w:ilvl="2" w:tentative="0">
      <w:start w:val="1"/>
      <w:numFmt w:val="decimal"/>
      <w:lvlText w:val="%1.%2.%3"/>
      <w:lvlJc w:val="left"/>
      <w:pPr>
        <w:tabs>
          <w:tab w:val="left" w:pos="720"/>
        </w:tabs>
        <w:ind w:left="720" w:hanging="720"/>
      </w:pPr>
      <w:rPr>
        <w:rFonts w:hint="eastAsia" w:ascii="Times New Roman" w:hAnsi="Times New Roman" w:eastAsia="黑体"/>
        <w:sz w:val="28"/>
      </w:rPr>
    </w:lvl>
    <w:lvl w:ilvl="3" w:tentative="0">
      <w:start w:val="1"/>
      <w:numFmt w:val="decimal"/>
      <w:lvlText w:val="%1.%2.%3.%4"/>
      <w:lvlJc w:val="left"/>
      <w:pPr>
        <w:tabs>
          <w:tab w:val="left" w:pos="864"/>
        </w:tabs>
        <w:ind w:left="864" w:hanging="864"/>
      </w:pPr>
      <w:rPr>
        <w:rFonts w:hint="default" w:ascii="Times New Roman" w:hAnsi="Times New Roman" w:eastAsia="宋体" w:cs="Times New Roman"/>
        <w:b/>
        <w:i w:val="0"/>
        <w:sz w:val="24"/>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6">
    <w:nsid w:val="17135EDC"/>
    <w:multiLevelType w:val="multilevel"/>
    <w:tmpl w:val="17135EDC"/>
    <w:lvl w:ilvl="0" w:tentative="0">
      <w:start w:val="1"/>
      <w:numFmt w:val="decimal"/>
      <w:lvlText w:val="%1."/>
      <w:lvlJc w:val="left"/>
      <w:pPr>
        <w:tabs>
          <w:tab w:val="left" w:pos="845"/>
        </w:tabs>
        <w:ind w:left="845" w:hanging="425"/>
      </w:pPr>
      <w:rPr>
        <w:rFonts w:hint="default" w:ascii="Times New Roman" w:hAnsi="Times New Roman" w:eastAsia="仿宋_GB2312"/>
        <w:b/>
        <w:i w:val="0"/>
        <w:sz w:val="44"/>
        <w:szCs w:val="44"/>
      </w:rPr>
    </w:lvl>
    <w:lvl w:ilvl="1" w:tentative="0">
      <w:start w:val="1"/>
      <w:numFmt w:val="decimal"/>
      <w:lvlText w:val="5.%2"/>
      <w:lvlJc w:val="left"/>
      <w:pPr>
        <w:tabs>
          <w:tab w:val="left" w:pos="567"/>
        </w:tabs>
        <w:ind w:left="567" w:hanging="567"/>
      </w:pPr>
      <w:rPr>
        <w:rFonts w:hint="default" w:ascii="Times New Roman" w:hAnsi="Times New Roman" w:eastAsia="仿宋_GB2312"/>
        <w:b/>
        <w:i w:val="0"/>
        <w:sz w:val="32"/>
        <w:szCs w:val="32"/>
      </w:rPr>
    </w:lvl>
    <w:lvl w:ilvl="2" w:tentative="0">
      <w:start w:val="1"/>
      <w:numFmt w:val="decimal"/>
      <w:pStyle w:val="297"/>
      <w:lvlText w:val="5.1.%3"/>
      <w:lvlJc w:val="left"/>
      <w:pPr>
        <w:tabs>
          <w:tab w:val="left" w:pos="567"/>
        </w:tabs>
        <w:ind w:left="567" w:hanging="567"/>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lvlText w:val="%1.%2.%3.%4"/>
      <w:lvlJc w:val="left"/>
      <w:pPr>
        <w:tabs>
          <w:tab w:val="left" w:pos="1441"/>
        </w:tabs>
        <w:ind w:left="1441" w:hanging="1021"/>
      </w:pPr>
      <w:rPr>
        <w:rFonts w:hint="default" w:ascii="Times New Roman" w:hAnsi="Times New Roman" w:eastAsia="仿宋_GB2312"/>
        <w:b/>
        <w:i w:val="0"/>
        <w:sz w:val="28"/>
      </w:rPr>
    </w:lvl>
    <w:lvl w:ilvl="4" w:tentative="0">
      <w:start w:val="1"/>
      <w:numFmt w:val="decimal"/>
      <w:lvlText w:val="%1.%2.%3.%4.%5."/>
      <w:lvlJc w:val="left"/>
      <w:pPr>
        <w:tabs>
          <w:tab w:val="left" w:pos="1412"/>
        </w:tabs>
        <w:ind w:left="1412" w:hanging="992"/>
      </w:pPr>
      <w:rPr>
        <w:rFonts w:hint="eastAsia"/>
      </w:rPr>
    </w:lvl>
    <w:lvl w:ilvl="5" w:tentative="0">
      <w:start w:val="1"/>
      <w:numFmt w:val="decimal"/>
      <w:lvlText w:val="%1.%2.%3.%4.%5.%6."/>
      <w:lvlJc w:val="left"/>
      <w:pPr>
        <w:tabs>
          <w:tab w:val="left" w:pos="1554"/>
        </w:tabs>
        <w:ind w:left="1554" w:hanging="1134"/>
      </w:pPr>
      <w:rPr>
        <w:rFonts w:hint="eastAsia"/>
      </w:rPr>
    </w:lvl>
    <w:lvl w:ilvl="6" w:tentative="0">
      <w:start w:val="1"/>
      <w:numFmt w:val="decimal"/>
      <w:lvlText w:val="%1.%2.%3.%4.%5.%6.%7."/>
      <w:lvlJc w:val="left"/>
      <w:pPr>
        <w:tabs>
          <w:tab w:val="left" w:pos="1696"/>
        </w:tabs>
        <w:ind w:left="1696" w:hanging="1276"/>
      </w:pPr>
      <w:rPr>
        <w:rFonts w:hint="eastAsia"/>
      </w:rPr>
    </w:lvl>
    <w:lvl w:ilvl="7" w:tentative="0">
      <w:start w:val="1"/>
      <w:numFmt w:val="decimal"/>
      <w:lvlText w:val="%1.%2.%3.%4.%5.%6.%7.%8."/>
      <w:lvlJc w:val="left"/>
      <w:pPr>
        <w:tabs>
          <w:tab w:val="left" w:pos="1838"/>
        </w:tabs>
        <w:ind w:left="1838" w:hanging="1418"/>
      </w:pPr>
      <w:rPr>
        <w:rFonts w:hint="eastAsia"/>
      </w:rPr>
    </w:lvl>
    <w:lvl w:ilvl="8" w:tentative="0">
      <w:start w:val="1"/>
      <w:numFmt w:val="decimal"/>
      <w:lvlText w:val="%1.%2.%3.%4.%5.%6.%7.%8.%9."/>
      <w:lvlJc w:val="left"/>
      <w:pPr>
        <w:tabs>
          <w:tab w:val="left" w:pos="1979"/>
        </w:tabs>
        <w:ind w:left="1979" w:hanging="1559"/>
      </w:pPr>
      <w:rPr>
        <w:rFonts w:hint="eastAsia"/>
      </w:rPr>
    </w:lvl>
  </w:abstractNum>
  <w:abstractNum w:abstractNumId="17">
    <w:nsid w:val="1A490F98"/>
    <w:multiLevelType w:val="multilevel"/>
    <w:tmpl w:val="1A490F98"/>
    <w:lvl w:ilvl="0" w:tentative="0">
      <w:start w:val="1"/>
      <w:numFmt w:val="decimal"/>
      <w:lvlText w:val="%1."/>
      <w:lvlJc w:val="left"/>
      <w:pPr>
        <w:tabs>
          <w:tab w:val="left" w:pos="845"/>
        </w:tabs>
        <w:ind w:left="845" w:hanging="425"/>
      </w:pPr>
      <w:rPr>
        <w:rFonts w:hint="default" w:ascii="Times New Roman" w:hAnsi="Times New Roman" w:eastAsia="仿宋_GB2312"/>
        <w:b/>
        <w:i w:val="0"/>
        <w:sz w:val="44"/>
        <w:szCs w:val="44"/>
      </w:rPr>
    </w:lvl>
    <w:lvl w:ilvl="1" w:tentative="0">
      <w:start w:val="1"/>
      <w:numFmt w:val="decimal"/>
      <w:pStyle w:val="296"/>
      <w:lvlText w:val="5.%2"/>
      <w:lvlJc w:val="left"/>
      <w:pPr>
        <w:tabs>
          <w:tab w:val="left" w:pos="567"/>
        </w:tabs>
        <w:ind w:left="567" w:hanging="567"/>
      </w:pPr>
      <w:rPr>
        <w:rFonts w:hint="default" w:ascii="Times New Roman" w:hAnsi="Times New Roman" w:eastAsia="仿宋_GB2312"/>
        <w:b/>
        <w:i w:val="0"/>
        <w:sz w:val="32"/>
        <w:szCs w:val="32"/>
      </w:rPr>
    </w:lvl>
    <w:lvl w:ilvl="2" w:tentative="0">
      <w:start w:val="1"/>
      <w:numFmt w:val="decimal"/>
      <w:lvlText w:val="%1.%2.%3"/>
      <w:lvlJc w:val="left"/>
      <w:pPr>
        <w:tabs>
          <w:tab w:val="left" w:pos="1514"/>
        </w:tabs>
        <w:ind w:left="1514" w:hanging="794"/>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lvlText w:val="%1.%2.%3.%4"/>
      <w:lvlJc w:val="left"/>
      <w:pPr>
        <w:tabs>
          <w:tab w:val="left" w:pos="1441"/>
        </w:tabs>
        <w:ind w:left="1441" w:hanging="1021"/>
      </w:pPr>
      <w:rPr>
        <w:rFonts w:hint="default" w:ascii="Times New Roman" w:hAnsi="Times New Roman" w:eastAsia="仿宋_GB2312"/>
        <w:b/>
        <w:i w:val="0"/>
        <w:sz w:val="28"/>
      </w:rPr>
    </w:lvl>
    <w:lvl w:ilvl="4" w:tentative="0">
      <w:start w:val="1"/>
      <w:numFmt w:val="decimal"/>
      <w:lvlText w:val="%1.%2.%3.%4.%5."/>
      <w:lvlJc w:val="left"/>
      <w:pPr>
        <w:tabs>
          <w:tab w:val="left" w:pos="1412"/>
        </w:tabs>
        <w:ind w:left="1412" w:hanging="992"/>
      </w:pPr>
      <w:rPr>
        <w:rFonts w:hint="eastAsia"/>
      </w:rPr>
    </w:lvl>
    <w:lvl w:ilvl="5" w:tentative="0">
      <w:start w:val="1"/>
      <w:numFmt w:val="decimal"/>
      <w:lvlText w:val="%1.%2.%3.%4.%5.%6."/>
      <w:lvlJc w:val="left"/>
      <w:pPr>
        <w:tabs>
          <w:tab w:val="left" w:pos="1554"/>
        </w:tabs>
        <w:ind w:left="1554" w:hanging="1134"/>
      </w:pPr>
      <w:rPr>
        <w:rFonts w:hint="eastAsia"/>
      </w:rPr>
    </w:lvl>
    <w:lvl w:ilvl="6" w:tentative="0">
      <w:start w:val="1"/>
      <w:numFmt w:val="decimal"/>
      <w:lvlText w:val="%1.%2.%3.%4.%5.%6.%7."/>
      <w:lvlJc w:val="left"/>
      <w:pPr>
        <w:tabs>
          <w:tab w:val="left" w:pos="1696"/>
        </w:tabs>
        <w:ind w:left="1696" w:hanging="1276"/>
      </w:pPr>
      <w:rPr>
        <w:rFonts w:hint="eastAsia"/>
      </w:rPr>
    </w:lvl>
    <w:lvl w:ilvl="7" w:tentative="0">
      <w:start w:val="1"/>
      <w:numFmt w:val="decimal"/>
      <w:lvlText w:val="%1.%2.%3.%4.%5.%6.%7.%8."/>
      <w:lvlJc w:val="left"/>
      <w:pPr>
        <w:tabs>
          <w:tab w:val="left" w:pos="1838"/>
        </w:tabs>
        <w:ind w:left="1838" w:hanging="1418"/>
      </w:pPr>
      <w:rPr>
        <w:rFonts w:hint="eastAsia"/>
      </w:rPr>
    </w:lvl>
    <w:lvl w:ilvl="8" w:tentative="0">
      <w:start w:val="1"/>
      <w:numFmt w:val="decimal"/>
      <w:lvlText w:val="%1.%2.%3.%4.%5.%6.%7.%8.%9."/>
      <w:lvlJc w:val="left"/>
      <w:pPr>
        <w:tabs>
          <w:tab w:val="left" w:pos="1979"/>
        </w:tabs>
        <w:ind w:left="1979" w:hanging="1559"/>
      </w:pPr>
      <w:rPr>
        <w:rFonts w:hint="eastAsia"/>
      </w:rPr>
    </w:lvl>
  </w:abstractNum>
  <w:abstractNum w:abstractNumId="18">
    <w:nsid w:val="1C9D71B2"/>
    <w:multiLevelType w:val="multilevel"/>
    <w:tmpl w:val="1C9D71B2"/>
    <w:lvl w:ilvl="0" w:tentative="0">
      <w:start w:val="1"/>
      <w:numFmt w:val="decimal"/>
      <w:pStyle w:val="1682"/>
      <w:lvlText w:val="%1)"/>
      <w:lvlJc w:val="left"/>
      <w:pPr>
        <w:tabs>
          <w:tab w:val="left" w:pos="420"/>
        </w:tabs>
        <w:ind w:left="420" w:hanging="420"/>
      </w:pPr>
    </w:lvl>
    <w:lvl w:ilvl="1" w:tentative="0">
      <w:start w:val="1"/>
      <w:numFmt w:val="decimal"/>
      <w:pStyle w:val="1835"/>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D981398"/>
    <w:multiLevelType w:val="multilevel"/>
    <w:tmpl w:val="1D981398"/>
    <w:lvl w:ilvl="0" w:tentative="0">
      <w:start w:val="1"/>
      <w:numFmt w:val="decimal"/>
      <w:lvlText w:val="%1"/>
      <w:lvlJc w:val="left"/>
      <w:pPr>
        <w:tabs>
          <w:tab w:val="left" w:pos="432"/>
        </w:tabs>
        <w:ind w:left="432" w:hanging="432"/>
      </w:pPr>
      <w:rPr>
        <w:rFonts w:hint="default" w:ascii="Times New Roman" w:hAnsi="Times New Roman" w:cs="Times New Roman"/>
        <w:b/>
        <w:sz w:val="36"/>
        <w:szCs w:val="36"/>
      </w:rPr>
    </w:lvl>
    <w:lvl w:ilvl="1" w:tentative="0">
      <w:start w:val="1"/>
      <w:numFmt w:val="decimal"/>
      <w:suff w:val="nothing"/>
      <w:lvlText w:val="%1.%2"/>
      <w:lvlJc w:val="left"/>
      <w:pPr>
        <w:ind w:left="576" w:hanging="576"/>
      </w:pPr>
      <w:rPr>
        <w:rFonts w:hint="eastAsia"/>
      </w:rPr>
    </w:lvl>
    <w:lvl w:ilvl="2" w:tentative="0">
      <w:start w:val="1"/>
      <w:numFmt w:val="decimal"/>
      <w:pStyle w:val="393"/>
      <w:suff w:val="nothing"/>
      <w:lvlText w:val="%1.%2.%3"/>
      <w:lvlJc w:val="left"/>
      <w:pPr>
        <w:ind w:left="142" w:firstLine="0"/>
      </w:pPr>
      <w:rPr>
        <w:rFonts w:hint="default" w:ascii="Times New Roman" w:hAnsi="Times New Roman" w:eastAsia="黑体"/>
        <w:b/>
        <w:i w:val="0"/>
        <w:sz w:val="28"/>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0">
    <w:nsid w:val="1FDF749B"/>
    <w:multiLevelType w:val="multilevel"/>
    <w:tmpl w:val="1FDF749B"/>
    <w:lvl w:ilvl="0" w:tentative="0">
      <w:start w:val="1"/>
      <w:numFmt w:val="decimal"/>
      <w:lvlText w:val="%1"/>
      <w:lvlJc w:val="left"/>
      <w:pPr>
        <w:tabs>
          <w:tab w:val="left" w:pos="432"/>
        </w:tabs>
        <w:ind w:left="432" w:hanging="432"/>
      </w:pPr>
      <w:rPr>
        <w:rFonts w:hint="eastAsia" w:ascii="Times New Roman" w:hAnsi="Times New Roman" w:eastAsia="宋体"/>
        <w:b/>
        <w:i w:val="0"/>
        <w:sz w:val="32"/>
      </w:rPr>
    </w:lvl>
    <w:lvl w:ilvl="1" w:tentative="0">
      <w:start w:val="1"/>
      <w:numFmt w:val="decimal"/>
      <w:lvlText w:val="%1.%2"/>
      <w:lvlJc w:val="left"/>
      <w:pPr>
        <w:tabs>
          <w:tab w:val="left" w:pos="576"/>
        </w:tabs>
        <w:ind w:left="576" w:hanging="576"/>
      </w:pPr>
      <w:rPr>
        <w:rFonts w:hint="eastAsia" w:ascii="Times New Roman" w:hAnsi="Times New Roman" w:eastAsia="宋体"/>
        <w:b/>
        <w:i w:val="0"/>
        <w:sz w:val="28"/>
      </w:rPr>
    </w:lvl>
    <w:lvl w:ilvl="2" w:tentative="0">
      <w:start w:val="1"/>
      <w:numFmt w:val="decimal"/>
      <w:lvlText w:val="%1.%2.%3"/>
      <w:lvlJc w:val="left"/>
      <w:pPr>
        <w:tabs>
          <w:tab w:val="left" w:pos="720"/>
        </w:tabs>
        <w:ind w:left="720" w:hanging="720"/>
      </w:pPr>
      <w:rPr>
        <w:rFonts w:hint="eastAsia" w:ascii="Times New Roman" w:hAnsi="Times New Roman" w:eastAsia="黑体"/>
        <w:sz w:val="28"/>
      </w:rPr>
    </w:lvl>
    <w:lvl w:ilvl="3" w:tentative="0">
      <w:start w:val="1"/>
      <w:numFmt w:val="decimal"/>
      <w:pStyle w:val="405"/>
      <w:lvlText w:val="%1.%2.%3.%4"/>
      <w:lvlJc w:val="left"/>
      <w:pPr>
        <w:tabs>
          <w:tab w:val="left" w:pos="864"/>
        </w:tabs>
        <w:ind w:left="864" w:hanging="864"/>
      </w:pPr>
      <w:rPr>
        <w:rFonts w:hint="eastAsia" w:ascii="宋体" w:hAnsi="Times New Roman" w:eastAsia="宋体"/>
        <w:b w:val="0"/>
        <w:i w:val="0"/>
        <w:sz w:val="24"/>
      </w:rPr>
    </w:lvl>
    <w:lvl w:ilvl="4" w:tentative="0">
      <w:start w:val="1"/>
      <w:numFmt w:val="decimal"/>
      <w:lvlText w:val="%1.%2.%3.%4.%5"/>
      <w:lvlJc w:val="left"/>
      <w:pPr>
        <w:tabs>
          <w:tab w:val="left" w:pos="1008"/>
        </w:tabs>
        <w:ind w:left="1008" w:hanging="1008"/>
      </w:pPr>
      <w:rPr>
        <w:rFonts w:hint="default" w:ascii="Times New Roman" w:hAnsi="Times New Roman" w:cs="Times New Roman"/>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1">
    <w:nsid w:val="239CFAC1"/>
    <w:multiLevelType w:val="singleLevel"/>
    <w:tmpl w:val="239CFAC1"/>
    <w:lvl w:ilvl="0" w:tentative="0">
      <w:start w:val="1"/>
      <w:numFmt w:val="decimal"/>
      <w:suff w:val="nothing"/>
      <w:lvlText w:val="（%1）"/>
      <w:lvlJc w:val="left"/>
    </w:lvl>
  </w:abstractNum>
  <w:abstractNum w:abstractNumId="22">
    <w:nsid w:val="263752A7"/>
    <w:multiLevelType w:val="multilevel"/>
    <w:tmpl w:val="263752A7"/>
    <w:lvl w:ilvl="0" w:tentative="0">
      <w:start w:val="1"/>
      <w:numFmt w:val="decimal"/>
      <w:lvlText w:val="%1."/>
      <w:lvlJc w:val="left"/>
      <w:pPr>
        <w:tabs>
          <w:tab w:val="left" w:pos="987"/>
        </w:tabs>
        <w:ind w:left="987" w:hanging="425"/>
      </w:pPr>
      <w:rPr>
        <w:rFonts w:hint="default" w:ascii="Times New Roman" w:hAnsi="Times New Roman" w:eastAsia="仿宋_GB2312"/>
        <w:b/>
        <w:i w:val="0"/>
        <w:sz w:val="44"/>
        <w:szCs w:val="44"/>
      </w:rPr>
    </w:lvl>
    <w:lvl w:ilvl="1" w:tentative="0">
      <w:start w:val="1"/>
      <w:numFmt w:val="decimal"/>
      <w:lvlText w:val="3.%2"/>
      <w:lvlJc w:val="left"/>
      <w:pPr>
        <w:tabs>
          <w:tab w:val="left" w:pos="567"/>
        </w:tabs>
        <w:ind w:left="567" w:hanging="567"/>
      </w:pPr>
      <w:rPr>
        <w:rFonts w:hint="default" w:ascii="Times New Roman" w:hAnsi="Times New Roman" w:eastAsia="仿宋_GB2312"/>
        <w:b/>
        <w:i w:val="0"/>
        <w:sz w:val="32"/>
        <w:szCs w:val="32"/>
      </w:rPr>
    </w:lvl>
    <w:lvl w:ilvl="2" w:tentative="0">
      <w:start w:val="1"/>
      <w:numFmt w:val="decimal"/>
      <w:pStyle w:val="268"/>
      <w:lvlText w:val="%1.%2.%3"/>
      <w:lvlJc w:val="left"/>
      <w:pPr>
        <w:tabs>
          <w:tab w:val="left" w:pos="567"/>
        </w:tabs>
        <w:ind w:left="567" w:hanging="567"/>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lvlText w:val="%1.%2.%3.%4"/>
      <w:lvlJc w:val="left"/>
      <w:pPr>
        <w:tabs>
          <w:tab w:val="left" w:pos="1583"/>
        </w:tabs>
        <w:ind w:left="1583" w:hanging="1021"/>
      </w:pPr>
      <w:rPr>
        <w:rFonts w:hint="default" w:ascii="Times New Roman" w:hAnsi="Times New Roman" w:eastAsia="仿宋_GB2312"/>
        <w:b/>
        <w:i w:val="0"/>
        <w:sz w:val="28"/>
      </w:rPr>
    </w:lvl>
    <w:lvl w:ilvl="4" w:tentative="0">
      <w:start w:val="1"/>
      <w:numFmt w:val="decimal"/>
      <w:lvlText w:val="%1.%2.%3.%4.%5."/>
      <w:lvlJc w:val="left"/>
      <w:pPr>
        <w:tabs>
          <w:tab w:val="left" w:pos="1554"/>
        </w:tabs>
        <w:ind w:left="1554" w:hanging="992"/>
      </w:pPr>
      <w:rPr>
        <w:rFonts w:hint="eastAsia"/>
      </w:rPr>
    </w:lvl>
    <w:lvl w:ilvl="5" w:tentative="0">
      <w:start w:val="1"/>
      <w:numFmt w:val="decimal"/>
      <w:lvlText w:val="%1.%2.%3.%4.%5.%6."/>
      <w:lvlJc w:val="left"/>
      <w:pPr>
        <w:tabs>
          <w:tab w:val="left" w:pos="1696"/>
        </w:tabs>
        <w:ind w:left="1696" w:hanging="1134"/>
      </w:pPr>
      <w:rPr>
        <w:rFonts w:hint="eastAsia"/>
      </w:rPr>
    </w:lvl>
    <w:lvl w:ilvl="6" w:tentative="0">
      <w:start w:val="1"/>
      <w:numFmt w:val="decimal"/>
      <w:lvlText w:val="%1.%2.%3.%4.%5.%6.%7."/>
      <w:lvlJc w:val="left"/>
      <w:pPr>
        <w:tabs>
          <w:tab w:val="left" w:pos="1838"/>
        </w:tabs>
        <w:ind w:left="1838" w:hanging="1276"/>
      </w:pPr>
      <w:rPr>
        <w:rFonts w:hint="eastAsia"/>
      </w:rPr>
    </w:lvl>
    <w:lvl w:ilvl="7" w:tentative="0">
      <w:start w:val="1"/>
      <w:numFmt w:val="decimal"/>
      <w:lvlText w:val="%1.%2.%3.%4.%5.%6.%7.%8."/>
      <w:lvlJc w:val="left"/>
      <w:pPr>
        <w:tabs>
          <w:tab w:val="left" w:pos="1980"/>
        </w:tabs>
        <w:ind w:left="1980" w:hanging="1418"/>
      </w:pPr>
      <w:rPr>
        <w:rFonts w:hint="eastAsia"/>
      </w:rPr>
    </w:lvl>
    <w:lvl w:ilvl="8" w:tentative="0">
      <w:start w:val="1"/>
      <w:numFmt w:val="decimal"/>
      <w:lvlText w:val="%1.%2.%3.%4.%5.%6.%7.%8.%9."/>
      <w:lvlJc w:val="left"/>
      <w:pPr>
        <w:tabs>
          <w:tab w:val="left" w:pos="2121"/>
        </w:tabs>
        <w:ind w:left="2121" w:hanging="1559"/>
      </w:pPr>
      <w:rPr>
        <w:rFonts w:hint="eastAsia"/>
      </w:rPr>
    </w:lvl>
  </w:abstractNum>
  <w:abstractNum w:abstractNumId="23">
    <w:nsid w:val="288074E8"/>
    <w:multiLevelType w:val="multilevel"/>
    <w:tmpl w:val="288074E8"/>
    <w:lvl w:ilvl="0" w:tentative="0">
      <w:start w:val="1"/>
      <w:numFmt w:val="none"/>
      <w:lvlText w:val="7."/>
      <w:lvlJc w:val="left"/>
      <w:pPr>
        <w:tabs>
          <w:tab w:val="left" w:pos="625"/>
        </w:tabs>
        <w:ind w:left="625" w:hanging="425"/>
      </w:pPr>
      <w:rPr>
        <w:rFonts w:hint="default" w:ascii="Times New Roman" w:hAnsi="Times New Roman" w:eastAsia="仿宋_GB2312"/>
        <w:b/>
        <w:i w:val="0"/>
        <w:sz w:val="44"/>
        <w:szCs w:val="44"/>
      </w:rPr>
    </w:lvl>
    <w:lvl w:ilvl="1" w:tentative="0">
      <w:start w:val="1"/>
      <w:numFmt w:val="decimal"/>
      <w:lvlText w:val="7.%2"/>
      <w:lvlJc w:val="left"/>
      <w:pPr>
        <w:tabs>
          <w:tab w:val="left" w:pos="767"/>
        </w:tabs>
        <w:ind w:left="767" w:hanging="567"/>
      </w:pPr>
      <w:rPr>
        <w:rFonts w:hint="default" w:ascii="Times New Roman" w:hAnsi="Times New Roman" w:eastAsia="仿宋_GB2312"/>
        <w:b/>
        <w:i w:val="0"/>
        <w:sz w:val="32"/>
        <w:szCs w:val="32"/>
      </w:rPr>
    </w:lvl>
    <w:lvl w:ilvl="2" w:tentative="0">
      <w:start w:val="1"/>
      <w:numFmt w:val="decimal"/>
      <w:lvlText w:val="7.2.%3"/>
      <w:lvlJc w:val="left"/>
      <w:pPr>
        <w:tabs>
          <w:tab w:val="left" w:pos="767"/>
        </w:tabs>
        <w:ind w:left="767" w:hanging="567"/>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305"/>
      <w:isLgl/>
      <w:lvlText w:val="7.2.1.%4"/>
      <w:lvlJc w:val="left"/>
      <w:pPr>
        <w:tabs>
          <w:tab w:val="left" w:pos="567"/>
        </w:tabs>
        <w:ind w:left="567" w:hanging="567"/>
      </w:pPr>
      <w:rPr>
        <w:rFonts w:hint="default" w:ascii="Times New Roman" w:hAnsi="Times New Roman" w:eastAsia="仿宋_GB2312"/>
        <w:b/>
        <w:i w:val="0"/>
        <w:color w:val="auto"/>
        <w:sz w:val="28"/>
      </w:rPr>
    </w:lvl>
    <w:lvl w:ilvl="4" w:tentative="0">
      <w:start w:val="1"/>
      <w:numFmt w:val="decimal"/>
      <w:lvlText w:val="%1.%2.%3.%4.%5."/>
      <w:lvlJc w:val="left"/>
      <w:pPr>
        <w:tabs>
          <w:tab w:val="left" w:pos="1192"/>
        </w:tabs>
        <w:ind w:left="1192" w:hanging="992"/>
      </w:pPr>
      <w:rPr>
        <w:rFonts w:hint="eastAsia"/>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24">
    <w:nsid w:val="28F44ADF"/>
    <w:multiLevelType w:val="multilevel"/>
    <w:tmpl w:val="28F44ADF"/>
    <w:lvl w:ilvl="0" w:tentative="0">
      <w:start w:val="1"/>
      <w:numFmt w:val="decimal"/>
      <w:pStyle w:val="2043"/>
      <w:lvlText w:val="%1.1.1"/>
      <w:lvlJc w:val="left"/>
      <w:pPr>
        <w:ind w:left="618" w:hanging="420"/>
      </w:pPr>
      <w:rPr>
        <w:rFonts w:hint="default" w:ascii="Times New Roman" w:hAnsi="Times New Roman" w:eastAsia="黑体" w:cs="Times New Roman"/>
        <w:b/>
        <w:i w:val="0"/>
        <w:color w:val="auto"/>
        <w:sz w:val="28"/>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2ADA21B6"/>
    <w:multiLevelType w:val="multilevel"/>
    <w:tmpl w:val="2ADA21B6"/>
    <w:lvl w:ilvl="0" w:tentative="0">
      <w:start w:val="1"/>
      <w:numFmt w:val="decimal"/>
      <w:pStyle w:val="1829"/>
      <w:lvlText w:val="%1）"/>
      <w:lvlJc w:val="left"/>
      <w:pPr>
        <w:tabs>
          <w:tab w:val="left" w:pos="984"/>
        </w:tabs>
        <w:ind w:left="0" w:firstLine="624"/>
      </w:pPr>
      <w:rPr>
        <w:rFonts w:hint="default" w:ascii="Times New Roman" w:hAnsi="Times New Roman" w:eastAsia="宋体" w:cs="Times New Roman"/>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2C0E699E"/>
    <w:multiLevelType w:val="singleLevel"/>
    <w:tmpl w:val="2C0E699E"/>
    <w:lvl w:ilvl="0" w:tentative="0">
      <w:start w:val="1"/>
      <w:numFmt w:val="decimal"/>
      <w:suff w:val="nothing"/>
      <w:lvlText w:val="（%1）"/>
      <w:lvlJc w:val="left"/>
    </w:lvl>
  </w:abstractNum>
  <w:abstractNum w:abstractNumId="27">
    <w:nsid w:val="33F17428"/>
    <w:multiLevelType w:val="multilevel"/>
    <w:tmpl w:val="33F17428"/>
    <w:lvl w:ilvl="0" w:tentative="0">
      <w:start w:val="1"/>
      <w:numFmt w:val="bullet"/>
      <w:pStyle w:val="165"/>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28">
    <w:nsid w:val="3B5695B2"/>
    <w:multiLevelType w:val="singleLevel"/>
    <w:tmpl w:val="3B5695B2"/>
    <w:lvl w:ilvl="0" w:tentative="0">
      <w:start w:val="1"/>
      <w:numFmt w:val="decimal"/>
      <w:suff w:val="nothing"/>
      <w:lvlText w:val="（%1）"/>
      <w:lvlJc w:val="left"/>
    </w:lvl>
  </w:abstractNum>
  <w:abstractNum w:abstractNumId="29">
    <w:nsid w:val="3C87440E"/>
    <w:multiLevelType w:val="multilevel"/>
    <w:tmpl w:val="3C87440E"/>
    <w:lvl w:ilvl="0" w:tentative="0">
      <w:start w:val="1"/>
      <w:numFmt w:val="decimal"/>
      <w:lvlText w:val="第%1章  "/>
      <w:lvlJc w:val="left"/>
      <w:pPr>
        <w:tabs>
          <w:tab w:val="left" w:pos="1080"/>
        </w:tabs>
        <w:ind w:left="567" w:hanging="567"/>
      </w:pPr>
      <w:rPr>
        <w:rFonts w:hint="default" w:ascii="Times New Roman" w:hAnsi="Times New Roman" w:eastAsia="宋体" w:cs="Times New Roman"/>
        <w:b/>
        <w:i w:val="0"/>
        <w:sz w:val="32"/>
      </w:rPr>
    </w:lvl>
    <w:lvl w:ilvl="1" w:tentative="0">
      <w:start w:val="1"/>
      <w:numFmt w:val="decimal"/>
      <w:lvlText w:val="%2"/>
      <w:lvlJc w:val="left"/>
      <w:pPr>
        <w:tabs>
          <w:tab w:val="left" w:pos="567"/>
        </w:tabs>
        <w:ind w:left="567" w:hanging="567"/>
      </w:pPr>
      <w:rPr>
        <w:rFonts w:hint="default" w:ascii="Times New Roman" w:hAnsi="Times New Roman" w:eastAsia="黑体" w:cs="Times New Roman"/>
        <w:b/>
        <w:i w:val="0"/>
        <w:sz w:val="32"/>
      </w:rPr>
    </w:lvl>
    <w:lvl w:ilvl="2" w:tentative="0">
      <w:start w:val="1"/>
      <w:numFmt w:val="decimal"/>
      <w:lvlText w:val="%2.%3"/>
      <w:lvlJc w:val="left"/>
      <w:pPr>
        <w:tabs>
          <w:tab w:val="left" w:pos="567"/>
        </w:tabs>
        <w:ind w:left="567" w:hanging="567"/>
      </w:pPr>
      <w:rPr>
        <w:rFonts w:hint="default" w:ascii="Times New Roman" w:hAnsi="Times New Roman" w:eastAsia="黑体" w:cs="Times New Roman"/>
        <w:b/>
        <w:i w:val="0"/>
        <w:sz w:val="24"/>
      </w:rPr>
    </w:lvl>
    <w:lvl w:ilvl="3" w:tentative="0">
      <w:start w:val="1"/>
      <w:numFmt w:val="decimal"/>
      <w:pStyle w:val="1858"/>
      <w:lvlText w:val="%2.%3.%4"/>
      <w:lvlJc w:val="left"/>
      <w:pPr>
        <w:tabs>
          <w:tab w:val="left" w:pos="720"/>
        </w:tabs>
        <w:ind w:left="720" w:hanging="720"/>
      </w:pPr>
      <w:rPr>
        <w:rFonts w:hint="default" w:ascii="Times New Roman" w:hAnsi="Times New Roman" w:eastAsia="宋体" w:cs="Times New Roman"/>
        <w:b/>
        <w:i w:val="0"/>
        <w:spacing w:val="0"/>
        <w:w w:val="100"/>
        <w:sz w:val="24"/>
      </w:rPr>
    </w:lvl>
    <w:lvl w:ilvl="4" w:tentative="0">
      <w:start w:val="1"/>
      <w:numFmt w:val="decimal"/>
      <w:lvlText w:val="%2.%3.%4.%5"/>
      <w:lvlJc w:val="left"/>
      <w:pPr>
        <w:tabs>
          <w:tab w:val="left" w:pos="974"/>
        </w:tabs>
        <w:ind w:left="974" w:hanging="720"/>
      </w:pPr>
      <w:rPr>
        <w:rFonts w:hint="default" w:ascii="Times New Roman" w:hAnsi="Times New Roman" w:eastAsia="宋体" w:cs="Times New Roman"/>
        <w:b/>
        <w:i w:val="0"/>
        <w:sz w:val="24"/>
      </w:rPr>
    </w:lvl>
    <w:lvl w:ilvl="5" w:tentative="0">
      <w:start w:val="1"/>
      <w:numFmt w:val="decimal"/>
      <w:lvlText w:val="%2.%3.%4.%5.%6"/>
      <w:lvlJc w:val="left"/>
      <w:pPr>
        <w:tabs>
          <w:tab w:val="left" w:pos="1152"/>
        </w:tabs>
        <w:ind w:left="1152" w:hanging="1152"/>
      </w:pPr>
      <w:rPr>
        <w:rFonts w:hint="default" w:ascii="Times New Roman" w:hAnsi="Times New Roman" w:cs="Times New Roman"/>
      </w:rPr>
    </w:lvl>
    <w:lvl w:ilvl="6" w:tentative="0">
      <w:start w:val="1"/>
      <w:numFmt w:val="decimal"/>
      <w:lvlText w:val="%2.%3.%4.%5.%6.%7"/>
      <w:lvlJc w:val="left"/>
      <w:pPr>
        <w:tabs>
          <w:tab w:val="left" w:pos="1440"/>
        </w:tabs>
        <w:ind w:left="1296" w:hanging="1296"/>
      </w:pPr>
    </w:lvl>
    <w:lvl w:ilvl="7" w:tentative="0">
      <w:start w:val="1"/>
      <w:numFmt w:val="decimal"/>
      <w:lvlText w:val="%2.%3.%4.%5.%6.%7.%8"/>
      <w:lvlJc w:val="left"/>
      <w:pPr>
        <w:tabs>
          <w:tab w:val="left" w:pos="1800"/>
        </w:tabs>
        <w:ind w:left="1440" w:hanging="1440"/>
      </w:pPr>
    </w:lvl>
    <w:lvl w:ilvl="8" w:tentative="0">
      <w:start w:val="1"/>
      <w:numFmt w:val="decimal"/>
      <w:lvlText w:val="%2.%3.%4.%5.%6.%7.%8.%9"/>
      <w:lvlJc w:val="left"/>
      <w:pPr>
        <w:tabs>
          <w:tab w:val="left" w:pos="2160"/>
        </w:tabs>
        <w:ind w:left="1584" w:hanging="1584"/>
      </w:pPr>
    </w:lvl>
  </w:abstractNum>
  <w:abstractNum w:abstractNumId="30">
    <w:nsid w:val="45E65EA9"/>
    <w:multiLevelType w:val="multilevel"/>
    <w:tmpl w:val="45E65EA9"/>
    <w:lvl w:ilvl="0" w:tentative="0">
      <w:start w:val="1"/>
      <w:numFmt w:val="decimal"/>
      <w:lvlText w:val="%1."/>
      <w:lvlJc w:val="left"/>
      <w:pPr>
        <w:tabs>
          <w:tab w:val="left" w:pos="1309"/>
        </w:tabs>
        <w:ind w:left="1309" w:hanging="425"/>
      </w:pPr>
      <w:rPr>
        <w:rFonts w:hint="default" w:ascii="Times New Roman" w:hAnsi="Times New Roman" w:eastAsia="仿宋_GB2312"/>
        <w:b/>
        <w:i w:val="0"/>
        <w:sz w:val="44"/>
        <w:szCs w:val="44"/>
      </w:rPr>
    </w:lvl>
    <w:lvl w:ilvl="1" w:tentative="0">
      <w:start w:val="1"/>
      <w:numFmt w:val="decimal"/>
      <w:lvlText w:val="3.%2"/>
      <w:lvlJc w:val="left"/>
      <w:pPr>
        <w:tabs>
          <w:tab w:val="left" w:pos="889"/>
        </w:tabs>
        <w:ind w:left="889" w:hanging="567"/>
      </w:pPr>
      <w:rPr>
        <w:rFonts w:hint="default" w:ascii="Times New Roman" w:hAnsi="Times New Roman" w:eastAsia="仿宋_GB2312"/>
        <w:b/>
        <w:i w:val="0"/>
        <w:sz w:val="32"/>
        <w:szCs w:val="32"/>
      </w:rPr>
    </w:lvl>
    <w:lvl w:ilvl="2" w:tentative="0">
      <w:start w:val="1"/>
      <w:numFmt w:val="decimal"/>
      <w:pStyle w:val="291"/>
      <w:lvlText w:val="3.2.%3"/>
      <w:lvlJc w:val="left"/>
      <w:pPr>
        <w:tabs>
          <w:tab w:val="left" w:pos="567"/>
        </w:tabs>
        <w:ind w:left="567" w:hanging="567"/>
      </w:pPr>
      <w:rPr>
        <w:rFonts w:hint="default" w:ascii="Times New Roman" w:hAnsi="Times New Roman" w:eastAsia="仿宋_GB2312" w:cs="Times New Roman"/>
        <w:b/>
        <w:i w:val="0"/>
        <w:iCs w:val="0"/>
        <w:caps w:val="0"/>
        <w:strike w:val="0"/>
        <w:dstrike w:val="0"/>
        <w:outline w:val="0"/>
        <w:shadow w:val="0"/>
        <w:emboss w:val="0"/>
        <w:imprint w:val="0"/>
        <w:vanish w:val="0"/>
        <w:spacing w:val="0"/>
        <w:position w:val="0"/>
        <w:sz w:val="28"/>
        <w:szCs w:val="28"/>
        <w:u w:val="none"/>
        <w:vertAlign w:val="baseline"/>
      </w:rPr>
    </w:lvl>
    <w:lvl w:ilvl="3" w:tentative="0">
      <w:start w:val="1"/>
      <w:numFmt w:val="decimal"/>
      <w:isLgl/>
      <w:lvlText w:val="%1.%2.%3.%4"/>
      <w:lvlJc w:val="left"/>
      <w:pPr>
        <w:tabs>
          <w:tab w:val="left" w:pos="1905"/>
        </w:tabs>
        <w:ind w:left="1905" w:hanging="1021"/>
      </w:pPr>
      <w:rPr>
        <w:rFonts w:hint="default" w:ascii="Times New Roman" w:hAnsi="Times New Roman" w:eastAsia="仿宋_GB2312"/>
        <w:b/>
        <w:i w:val="0"/>
        <w:sz w:val="28"/>
      </w:rPr>
    </w:lvl>
    <w:lvl w:ilvl="4" w:tentative="0">
      <w:start w:val="1"/>
      <w:numFmt w:val="decimal"/>
      <w:lvlText w:val="%1.%2.%3.%4.%5."/>
      <w:lvlJc w:val="left"/>
      <w:pPr>
        <w:tabs>
          <w:tab w:val="left" w:pos="1876"/>
        </w:tabs>
        <w:ind w:left="1876" w:hanging="992"/>
      </w:pPr>
      <w:rPr>
        <w:rFonts w:hint="eastAsia"/>
      </w:rPr>
    </w:lvl>
    <w:lvl w:ilvl="5" w:tentative="0">
      <w:start w:val="1"/>
      <w:numFmt w:val="decimal"/>
      <w:lvlText w:val="%1.%2.%3.%4.%5.%6."/>
      <w:lvlJc w:val="left"/>
      <w:pPr>
        <w:tabs>
          <w:tab w:val="left" w:pos="2018"/>
        </w:tabs>
        <w:ind w:left="2018" w:hanging="1134"/>
      </w:pPr>
      <w:rPr>
        <w:rFonts w:hint="eastAsia"/>
      </w:rPr>
    </w:lvl>
    <w:lvl w:ilvl="6" w:tentative="0">
      <w:start w:val="1"/>
      <w:numFmt w:val="decimal"/>
      <w:lvlText w:val="%1.%2.%3.%4.%5.%6.%7."/>
      <w:lvlJc w:val="left"/>
      <w:pPr>
        <w:tabs>
          <w:tab w:val="left" w:pos="2160"/>
        </w:tabs>
        <w:ind w:left="2160" w:hanging="1276"/>
      </w:pPr>
      <w:rPr>
        <w:rFonts w:hint="eastAsia"/>
      </w:rPr>
    </w:lvl>
    <w:lvl w:ilvl="7" w:tentative="0">
      <w:start w:val="1"/>
      <w:numFmt w:val="decimal"/>
      <w:lvlText w:val="%1.%2.%3.%4.%5.%6.%7.%8."/>
      <w:lvlJc w:val="left"/>
      <w:pPr>
        <w:tabs>
          <w:tab w:val="left" w:pos="2302"/>
        </w:tabs>
        <w:ind w:left="2302" w:hanging="1418"/>
      </w:pPr>
      <w:rPr>
        <w:rFonts w:hint="eastAsia"/>
      </w:rPr>
    </w:lvl>
    <w:lvl w:ilvl="8" w:tentative="0">
      <w:start w:val="1"/>
      <w:numFmt w:val="decimal"/>
      <w:lvlText w:val="%1.%2.%3.%4.%5.%6.%7.%8.%9."/>
      <w:lvlJc w:val="left"/>
      <w:pPr>
        <w:tabs>
          <w:tab w:val="left" w:pos="2443"/>
        </w:tabs>
        <w:ind w:left="2443" w:hanging="1559"/>
      </w:pPr>
      <w:rPr>
        <w:rFonts w:hint="eastAsia"/>
      </w:rPr>
    </w:lvl>
  </w:abstractNum>
  <w:abstractNum w:abstractNumId="31">
    <w:nsid w:val="47210CEB"/>
    <w:multiLevelType w:val="multilevel"/>
    <w:tmpl w:val="47210CEB"/>
    <w:lvl w:ilvl="0" w:tentative="0">
      <w:start w:val="1"/>
      <w:numFmt w:val="none"/>
      <w:lvlText w:val="7."/>
      <w:lvlJc w:val="left"/>
      <w:pPr>
        <w:tabs>
          <w:tab w:val="left" w:pos="425"/>
        </w:tabs>
        <w:ind w:left="425" w:hanging="425"/>
      </w:pPr>
      <w:rPr>
        <w:rFonts w:hint="default" w:ascii="Times New Roman" w:hAnsi="Times New Roman" w:eastAsia="仿宋_GB2312"/>
        <w:b/>
        <w:i w:val="0"/>
        <w:sz w:val="44"/>
        <w:szCs w:val="44"/>
      </w:rPr>
    </w:lvl>
    <w:lvl w:ilvl="1" w:tentative="0">
      <w:start w:val="1"/>
      <w:numFmt w:val="decimal"/>
      <w:lvlText w:val="7.%2"/>
      <w:lvlJc w:val="left"/>
      <w:pPr>
        <w:tabs>
          <w:tab w:val="left" w:pos="567"/>
        </w:tabs>
        <w:ind w:left="567" w:hanging="567"/>
      </w:pPr>
      <w:rPr>
        <w:rFonts w:hint="default" w:ascii="Times New Roman" w:hAnsi="Times New Roman" w:eastAsia="仿宋_GB2312"/>
        <w:b/>
        <w:i w:val="0"/>
        <w:sz w:val="32"/>
        <w:szCs w:val="32"/>
      </w:rPr>
    </w:lvl>
    <w:lvl w:ilvl="2" w:tentative="0">
      <w:start w:val="1"/>
      <w:numFmt w:val="decimal"/>
      <w:lvlText w:val="7.2.%3"/>
      <w:lvlJc w:val="left"/>
      <w:pPr>
        <w:tabs>
          <w:tab w:val="left" w:pos="567"/>
        </w:tabs>
        <w:ind w:left="567" w:hanging="567"/>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304"/>
      <w:isLgl/>
      <w:lvlText w:val="7.1.2.%4"/>
      <w:lvlJc w:val="left"/>
      <w:pPr>
        <w:tabs>
          <w:tab w:val="left" w:pos="567"/>
        </w:tabs>
        <w:ind w:left="567" w:hanging="567"/>
      </w:pPr>
      <w:rPr>
        <w:rFonts w:hint="default" w:ascii="Times New Roman" w:hAnsi="Times New Roman" w:eastAsia="仿宋_GB2312"/>
        <w:b/>
        <w:i w:val="0"/>
        <w:color w:val="auto"/>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2">
    <w:nsid w:val="4C1D282D"/>
    <w:multiLevelType w:val="multilevel"/>
    <w:tmpl w:val="4C1D282D"/>
    <w:lvl w:ilvl="0" w:tentative="0">
      <w:start w:val="1"/>
      <w:numFmt w:val="decimal"/>
      <w:lvlText w:val="%1"/>
      <w:lvlJc w:val="left"/>
      <w:pPr>
        <w:tabs>
          <w:tab w:val="left" w:pos="432"/>
        </w:tabs>
        <w:ind w:left="432" w:hanging="432"/>
      </w:pPr>
      <w:rPr>
        <w:rFonts w:hint="eastAsia" w:ascii="Times New Roman" w:hAnsi="Times New Roman" w:eastAsia="宋体"/>
        <w:b/>
        <w:i w:val="0"/>
        <w:sz w:val="32"/>
      </w:rPr>
    </w:lvl>
    <w:lvl w:ilvl="1" w:tentative="0">
      <w:start w:val="1"/>
      <w:numFmt w:val="decimal"/>
      <w:lvlText w:val="%1.%2"/>
      <w:lvlJc w:val="left"/>
      <w:pPr>
        <w:tabs>
          <w:tab w:val="left" w:pos="576"/>
        </w:tabs>
        <w:ind w:left="576" w:hanging="576"/>
      </w:pPr>
      <w:rPr>
        <w:rFonts w:hint="eastAsia" w:ascii="Times New Roman" w:hAnsi="Times New Roman" w:eastAsia="宋体"/>
        <w:b/>
        <w:i w:val="0"/>
        <w:sz w:val="28"/>
      </w:rPr>
    </w:lvl>
    <w:lvl w:ilvl="2" w:tentative="0">
      <w:start w:val="1"/>
      <w:numFmt w:val="decimal"/>
      <w:lvlText w:val="%1.%2.%3"/>
      <w:lvlJc w:val="left"/>
      <w:pPr>
        <w:tabs>
          <w:tab w:val="left" w:pos="720"/>
        </w:tabs>
        <w:ind w:left="720" w:hanging="720"/>
      </w:pPr>
      <w:rPr>
        <w:rFonts w:hint="eastAsia" w:ascii="Times New Roman" w:hAnsi="Times New Roman" w:eastAsia="黑体"/>
        <w:sz w:val="28"/>
      </w:rPr>
    </w:lvl>
    <w:lvl w:ilvl="3" w:tentative="0">
      <w:start w:val="1"/>
      <w:numFmt w:val="decimal"/>
      <w:lvlText w:val="%1.%2.%3.%4"/>
      <w:lvlJc w:val="left"/>
      <w:pPr>
        <w:tabs>
          <w:tab w:val="left" w:pos="864"/>
        </w:tabs>
        <w:ind w:left="864" w:hanging="864"/>
      </w:pPr>
      <w:rPr>
        <w:rFonts w:hint="default" w:ascii="Times New Roman" w:hAnsi="Times New Roman" w:eastAsia="宋体" w:cs="Times New Roman"/>
        <w:b/>
        <w:i w:val="0"/>
        <w:sz w:val="24"/>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3">
    <w:nsid w:val="57D42990"/>
    <w:multiLevelType w:val="multilevel"/>
    <w:tmpl w:val="57D42990"/>
    <w:lvl w:ilvl="0" w:tentative="0">
      <w:start w:val="1"/>
      <w:numFmt w:val="decimal"/>
      <w:pStyle w:val="5"/>
      <w:lvlText w:val="%1."/>
      <w:lvlJc w:val="left"/>
      <w:pPr>
        <w:ind w:left="432" w:hanging="432"/>
      </w:pPr>
      <w:rPr>
        <w:rFonts w:hint="default"/>
      </w:rPr>
    </w:lvl>
    <w:lvl w:ilvl="1" w:tentative="0">
      <w:start w:val="1"/>
      <w:numFmt w:val="decimal"/>
      <w:pStyle w:val="6"/>
      <w:lvlText w:val="%1.%2."/>
      <w:lvlJc w:val="left"/>
      <w:pPr>
        <w:ind w:left="575" w:hanging="575"/>
      </w:pPr>
      <w:rPr>
        <w:rFonts w:hint="default"/>
      </w:rPr>
    </w:lvl>
    <w:lvl w:ilvl="2" w:tentative="0">
      <w:start w:val="1"/>
      <w:numFmt w:val="decimal"/>
      <w:pStyle w:val="7"/>
      <w:lvlText w:val="%1.%2.%3."/>
      <w:lvlJc w:val="left"/>
      <w:pPr>
        <w:ind w:left="720" w:hanging="720"/>
      </w:pPr>
      <w:rPr>
        <w:rFonts w:hint="default"/>
      </w:rPr>
    </w:lvl>
    <w:lvl w:ilvl="3" w:tentative="0">
      <w:start w:val="1"/>
      <w:numFmt w:val="decimal"/>
      <w:pStyle w:val="8"/>
      <w:lvlText w:val="%1.%2.%3.%4."/>
      <w:lvlJc w:val="left"/>
      <w:pPr>
        <w:ind w:left="864" w:hanging="864"/>
      </w:pPr>
      <w:rPr>
        <w:rFonts w:hint="default"/>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abstractNum w:abstractNumId="34">
    <w:nsid w:val="61176F0D"/>
    <w:multiLevelType w:val="multilevel"/>
    <w:tmpl w:val="61176F0D"/>
    <w:lvl w:ilvl="0" w:tentative="0">
      <w:start w:val="1"/>
      <w:numFmt w:val="none"/>
      <w:lvlText w:val="7."/>
      <w:lvlJc w:val="left"/>
      <w:pPr>
        <w:tabs>
          <w:tab w:val="left" w:pos="825"/>
        </w:tabs>
        <w:ind w:left="825" w:hanging="425"/>
      </w:pPr>
      <w:rPr>
        <w:rFonts w:hint="default" w:ascii="Times New Roman" w:hAnsi="Times New Roman" w:eastAsia="仿宋_GB2312"/>
        <w:b/>
        <w:i w:val="0"/>
        <w:sz w:val="44"/>
        <w:szCs w:val="44"/>
      </w:rPr>
    </w:lvl>
    <w:lvl w:ilvl="1" w:tentative="0">
      <w:start w:val="1"/>
      <w:numFmt w:val="decimal"/>
      <w:lvlText w:val="7.%2"/>
      <w:lvlJc w:val="left"/>
      <w:pPr>
        <w:tabs>
          <w:tab w:val="left" w:pos="967"/>
        </w:tabs>
        <w:ind w:left="967" w:hanging="567"/>
      </w:pPr>
      <w:rPr>
        <w:rFonts w:hint="default" w:ascii="Times New Roman" w:hAnsi="Times New Roman" w:eastAsia="仿宋_GB2312"/>
        <w:b/>
        <w:i w:val="0"/>
        <w:sz w:val="32"/>
        <w:szCs w:val="32"/>
      </w:rPr>
    </w:lvl>
    <w:lvl w:ilvl="2" w:tentative="0">
      <w:start w:val="1"/>
      <w:numFmt w:val="decimal"/>
      <w:lvlText w:val="7.2.%3"/>
      <w:lvlJc w:val="left"/>
      <w:pPr>
        <w:tabs>
          <w:tab w:val="left" w:pos="967"/>
        </w:tabs>
        <w:ind w:left="967" w:hanging="567"/>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307"/>
      <w:isLgl/>
      <w:lvlText w:val="7.2.1.%4"/>
      <w:lvlJc w:val="left"/>
      <w:pPr>
        <w:tabs>
          <w:tab w:val="left" w:pos="567"/>
        </w:tabs>
        <w:ind w:left="567" w:hanging="567"/>
      </w:pPr>
      <w:rPr>
        <w:rFonts w:hint="default" w:ascii="Times New Roman" w:hAnsi="Times New Roman" w:eastAsia="仿宋_GB2312"/>
        <w:b/>
        <w:i w:val="0"/>
        <w:color w:val="auto"/>
        <w:sz w:val="28"/>
      </w:rPr>
    </w:lvl>
    <w:lvl w:ilvl="4" w:tentative="0">
      <w:start w:val="1"/>
      <w:numFmt w:val="decimal"/>
      <w:lvlText w:val="%1.%2.%3.%4.%5."/>
      <w:lvlJc w:val="left"/>
      <w:pPr>
        <w:tabs>
          <w:tab w:val="left" w:pos="1392"/>
        </w:tabs>
        <w:ind w:left="1392" w:hanging="992"/>
      </w:pPr>
      <w:rPr>
        <w:rFonts w:hint="eastAsia"/>
      </w:rPr>
    </w:lvl>
    <w:lvl w:ilvl="5" w:tentative="0">
      <w:start w:val="1"/>
      <w:numFmt w:val="decimal"/>
      <w:lvlText w:val="%1.%2.%3.%4.%5.%6."/>
      <w:lvlJc w:val="left"/>
      <w:pPr>
        <w:tabs>
          <w:tab w:val="left" w:pos="1534"/>
        </w:tabs>
        <w:ind w:left="1534" w:hanging="1134"/>
      </w:pPr>
      <w:rPr>
        <w:rFonts w:hint="eastAsia"/>
      </w:rPr>
    </w:lvl>
    <w:lvl w:ilvl="6" w:tentative="0">
      <w:start w:val="1"/>
      <w:numFmt w:val="decimal"/>
      <w:lvlText w:val="%1.%2.%3.%4.%5.%6.%7."/>
      <w:lvlJc w:val="left"/>
      <w:pPr>
        <w:tabs>
          <w:tab w:val="left" w:pos="1676"/>
        </w:tabs>
        <w:ind w:left="1676" w:hanging="1276"/>
      </w:pPr>
      <w:rPr>
        <w:rFonts w:hint="eastAsia"/>
      </w:rPr>
    </w:lvl>
    <w:lvl w:ilvl="7" w:tentative="0">
      <w:start w:val="1"/>
      <w:numFmt w:val="decimal"/>
      <w:lvlText w:val="%1.%2.%3.%4.%5.%6.%7.%8."/>
      <w:lvlJc w:val="left"/>
      <w:pPr>
        <w:tabs>
          <w:tab w:val="left" w:pos="1818"/>
        </w:tabs>
        <w:ind w:left="1818" w:hanging="1418"/>
      </w:pPr>
      <w:rPr>
        <w:rFonts w:hint="eastAsia"/>
      </w:rPr>
    </w:lvl>
    <w:lvl w:ilvl="8" w:tentative="0">
      <w:start w:val="1"/>
      <w:numFmt w:val="decimal"/>
      <w:lvlText w:val="%1.%2.%3.%4.%5.%6.%7.%8.%9."/>
      <w:lvlJc w:val="left"/>
      <w:pPr>
        <w:tabs>
          <w:tab w:val="left" w:pos="1959"/>
        </w:tabs>
        <w:ind w:left="1959" w:hanging="1559"/>
      </w:pPr>
      <w:rPr>
        <w:rFonts w:hint="eastAsia"/>
      </w:rPr>
    </w:lvl>
  </w:abstractNum>
  <w:abstractNum w:abstractNumId="35">
    <w:nsid w:val="65C74E1C"/>
    <w:multiLevelType w:val="multilevel"/>
    <w:tmpl w:val="65C74E1C"/>
    <w:lvl w:ilvl="0" w:tentative="0">
      <w:start w:val="1"/>
      <w:numFmt w:val="decimal"/>
      <w:lvlText w:val="%1."/>
      <w:lvlJc w:val="left"/>
      <w:pPr>
        <w:tabs>
          <w:tab w:val="left" w:pos="125"/>
        </w:tabs>
        <w:ind w:left="125" w:hanging="425"/>
      </w:pPr>
      <w:rPr>
        <w:rFonts w:hint="default" w:ascii="Times New Roman" w:hAnsi="Times New Roman" w:eastAsia="仿宋_GB2312"/>
        <w:b/>
        <w:i w:val="0"/>
        <w:sz w:val="44"/>
        <w:szCs w:val="44"/>
      </w:rPr>
    </w:lvl>
    <w:lvl w:ilvl="1" w:tentative="0">
      <w:start w:val="0"/>
      <w:numFmt w:val="decimal"/>
      <w:pStyle w:val="301"/>
      <w:lvlText w:val="7.%2"/>
      <w:lvlJc w:val="left"/>
      <w:pPr>
        <w:tabs>
          <w:tab w:val="left" w:pos="567"/>
        </w:tabs>
        <w:ind w:left="567" w:hanging="567"/>
      </w:pPr>
      <w:rPr>
        <w:rFonts w:hint="default" w:ascii="Times New Roman" w:hAnsi="Times New Roman" w:eastAsia="仿宋_GB2312"/>
        <w:b/>
        <w:i w:val="0"/>
        <w:sz w:val="32"/>
        <w:szCs w:val="32"/>
      </w:rPr>
    </w:lvl>
    <w:lvl w:ilvl="2" w:tentative="0">
      <w:start w:val="1"/>
      <w:numFmt w:val="decimal"/>
      <w:pStyle w:val="302"/>
      <w:lvlText w:val="7.1.%3"/>
      <w:lvlJc w:val="left"/>
      <w:pPr>
        <w:tabs>
          <w:tab w:val="left" w:pos="567"/>
        </w:tabs>
        <w:ind w:left="567" w:hanging="567"/>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lvlText w:val="5.2.%3.%4"/>
      <w:lvlJc w:val="left"/>
      <w:pPr>
        <w:tabs>
          <w:tab w:val="left" w:pos="567"/>
        </w:tabs>
        <w:ind w:left="567" w:hanging="567"/>
      </w:pPr>
      <w:rPr>
        <w:rFonts w:hint="default" w:ascii="Times New Roman" w:hAnsi="Times New Roman" w:eastAsia="仿宋_GB2312"/>
        <w:b/>
        <w:i w:val="0"/>
        <w:color w:val="auto"/>
        <w:sz w:val="28"/>
      </w:rPr>
    </w:lvl>
    <w:lvl w:ilvl="4" w:tentative="0">
      <w:start w:val="1"/>
      <w:numFmt w:val="decimal"/>
      <w:lvlText w:val="%1.%2.%3.%4.%5."/>
      <w:lvlJc w:val="left"/>
      <w:pPr>
        <w:tabs>
          <w:tab w:val="left" w:pos="692"/>
        </w:tabs>
        <w:ind w:left="692" w:hanging="992"/>
      </w:pPr>
      <w:rPr>
        <w:rFonts w:hint="eastAsia"/>
      </w:rPr>
    </w:lvl>
    <w:lvl w:ilvl="5" w:tentative="0">
      <w:start w:val="1"/>
      <w:numFmt w:val="decimal"/>
      <w:lvlText w:val="%1.%2.%3.%4.%5.%6."/>
      <w:lvlJc w:val="left"/>
      <w:pPr>
        <w:tabs>
          <w:tab w:val="left" w:pos="834"/>
        </w:tabs>
        <w:ind w:left="834" w:hanging="1134"/>
      </w:pPr>
      <w:rPr>
        <w:rFonts w:hint="eastAsia"/>
      </w:rPr>
    </w:lvl>
    <w:lvl w:ilvl="6" w:tentative="0">
      <w:start w:val="1"/>
      <w:numFmt w:val="decimal"/>
      <w:lvlText w:val="%1.%2.%3.%4.%5.%6.%7."/>
      <w:lvlJc w:val="left"/>
      <w:pPr>
        <w:tabs>
          <w:tab w:val="left" w:pos="976"/>
        </w:tabs>
        <w:ind w:left="976" w:hanging="1276"/>
      </w:pPr>
      <w:rPr>
        <w:rFonts w:hint="eastAsia"/>
      </w:rPr>
    </w:lvl>
    <w:lvl w:ilvl="7" w:tentative="0">
      <w:start w:val="1"/>
      <w:numFmt w:val="decimal"/>
      <w:lvlText w:val="%1.%2.%3.%4.%5.%6.%7.%8."/>
      <w:lvlJc w:val="left"/>
      <w:pPr>
        <w:tabs>
          <w:tab w:val="left" w:pos="1118"/>
        </w:tabs>
        <w:ind w:left="1118" w:hanging="1418"/>
      </w:pPr>
      <w:rPr>
        <w:rFonts w:hint="eastAsia"/>
      </w:rPr>
    </w:lvl>
    <w:lvl w:ilvl="8" w:tentative="0">
      <w:start w:val="1"/>
      <w:numFmt w:val="decimal"/>
      <w:lvlText w:val="%1.%2.%3.%4.%5.%6.%7.%8.%9."/>
      <w:lvlJc w:val="left"/>
      <w:pPr>
        <w:tabs>
          <w:tab w:val="left" w:pos="1259"/>
        </w:tabs>
        <w:ind w:left="1259" w:hanging="1559"/>
      </w:pPr>
      <w:rPr>
        <w:rFonts w:hint="eastAsia"/>
      </w:rPr>
    </w:lvl>
  </w:abstractNum>
  <w:abstractNum w:abstractNumId="36">
    <w:nsid w:val="752F5C60"/>
    <w:multiLevelType w:val="multilevel"/>
    <w:tmpl w:val="752F5C60"/>
    <w:lvl w:ilvl="0" w:tentative="0">
      <w:start w:val="1"/>
      <w:numFmt w:val="decimal"/>
      <w:lvlText w:val="%1."/>
      <w:lvlJc w:val="left"/>
      <w:pPr>
        <w:tabs>
          <w:tab w:val="left" w:pos="425"/>
        </w:tabs>
        <w:ind w:left="425" w:hanging="425"/>
      </w:pPr>
      <w:rPr>
        <w:rFonts w:hint="default" w:ascii="Times New Roman" w:hAnsi="Times New Roman" w:eastAsia="仿宋_GB2312"/>
        <w:b/>
        <w:i w:val="0"/>
        <w:sz w:val="44"/>
        <w:szCs w:val="44"/>
      </w:rPr>
    </w:lvl>
    <w:lvl w:ilvl="1" w:tentative="0">
      <w:start w:val="0"/>
      <w:numFmt w:val="decimal"/>
      <w:lvlText w:val="7.%2"/>
      <w:lvlJc w:val="left"/>
      <w:pPr>
        <w:tabs>
          <w:tab w:val="left" w:pos="567"/>
        </w:tabs>
        <w:ind w:left="567" w:hanging="567"/>
      </w:pPr>
      <w:rPr>
        <w:rFonts w:hint="default" w:ascii="Times New Roman" w:hAnsi="Times New Roman" w:eastAsia="仿宋_GB2312"/>
        <w:b/>
        <w:i w:val="0"/>
        <w:sz w:val="32"/>
        <w:szCs w:val="32"/>
      </w:rPr>
    </w:lvl>
    <w:lvl w:ilvl="2" w:tentative="0">
      <w:start w:val="1"/>
      <w:numFmt w:val="decimal"/>
      <w:pStyle w:val="298"/>
      <w:lvlText w:val="5.2.%3"/>
      <w:lvlJc w:val="left"/>
      <w:pPr>
        <w:tabs>
          <w:tab w:val="left" w:pos="147"/>
        </w:tabs>
        <w:ind w:left="147" w:hanging="567"/>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lvlText w:val="5.2.%3.%4"/>
      <w:lvlJc w:val="left"/>
      <w:pPr>
        <w:tabs>
          <w:tab w:val="left" w:pos="147"/>
        </w:tabs>
        <w:ind w:left="147" w:hanging="567"/>
      </w:pPr>
      <w:rPr>
        <w:rFonts w:hint="default" w:ascii="Times New Roman" w:hAnsi="Times New Roman" w:eastAsia="仿宋_GB2312"/>
        <w:b/>
        <w:i w:val="0"/>
        <w:color w:val="auto"/>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7">
    <w:nsid w:val="76C70E99"/>
    <w:multiLevelType w:val="multilevel"/>
    <w:tmpl w:val="76C70E9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hint="default" w:ascii="Times New Roman" w:hAnsi="Times New Roman" w:cs="Times New Roman"/>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8">
    <w:nsid w:val="782B611E"/>
    <w:multiLevelType w:val="multilevel"/>
    <w:tmpl w:val="782B611E"/>
    <w:lvl w:ilvl="0" w:tentative="0">
      <w:start w:val="1"/>
      <w:numFmt w:val="decimal"/>
      <w:lvlText w:val="%1"/>
      <w:lvlJc w:val="left"/>
      <w:pPr>
        <w:tabs>
          <w:tab w:val="left" w:pos="567"/>
        </w:tabs>
        <w:ind w:left="0" w:firstLine="0"/>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lvlText w:val="%1.%2.%3"/>
      <w:lvlJc w:val="left"/>
      <w:pPr>
        <w:tabs>
          <w:tab w:val="left" w:pos="0"/>
        </w:tabs>
        <w:ind w:left="0" w:firstLine="0"/>
      </w:pPr>
      <w:rPr>
        <w:rFonts w:hint="eastAsia"/>
      </w:rPr>
    </w:lvl>
    <w:lvl w:ilvl="3" w:tentative="0">
      <w:start w:val="1"/>
      <w:numFmt w:val="decimal"/>
      <w:pStyle w:val="223"/>
      <w:lvlText w:val="3.23.%4"/>
      <w:lvlJc w:val="left"/>
      <w:pPr>
        <w:tabs>
          <w:tab w:val="left" w:pos="0"/>
        </w:tabs>
        <w:ind w:left="0" w:firstLine="0"/>
      </w:pPr>
      <w:rPr>
        <w:rFonts w:hint="eastAsia"/>
        <w:b/>
        <w:i/>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9">
    <w:nsid w:val="7E68C681"/>
    <w:multiLevelType w:val="singleLevel"/>
    <w:tmpl w:val="7E68C681"/>
    <w:lvl w:ilvl="0" w:tentative="0">
      <w:start w:val="2"/>
      <w:numFmt w:val="decimal"/>
      <w:suff w:val="nothing"/>
      <w:lvlText w:val="%1、"/>
      <w:lvlJc w:val="left"/>
    </w:lvl>
  </w:abstractNum>
  <w:num w:numId="1">
    <w:abstractNumId w:val="33"/>
  </w:num>
  <w:num w:numId="2">
    <w:abstractNumId w:val="9"/>
  </w:num>
  <w:num w:numId="3">
    <w:abstractNumId w:val="10"/>
  </w:num>
  <w:num w:numId="4">
    <w:abstractNumId w:val="11"/>
  </w:num>
  <w:num w:numId="5">
    <w:abstractNumId w:val="8"/>
  </w:num>
  <w:num w:numId="6">
    <w:abstractNumId w:val="12"/>
  </w:num>
  <w:num w:numId="7">
    <w:abstractNumId w:val="7"/>
  </w:num>
  <w:num w:numId="8">
    <w:abstractNumId w:val="6"/>
  </w:num>
  <w:num w:numId="9">
    <w:abstractNumId w:val="27"/>
  </w:num>
  <w:num w:numId="10">
    <w:abstractNumId w:val="38"/>
  </w:num>
  <w:num w:numId="11">
    <w:abstractNumId w:val="22"/>
  </w:num>
  <w:num w:numId="12">
    <w:abstractNumId w:val="14"/>
  </w:num>
  <w:num w:numId="13">
    <w:abstractNumId w:val="30"/>
  </w:num>
  <w:num w:numId="14">
    <w:abstractNumId w:val="17"/>
  </w:num>
  <w:num w:numId="15">
    <w:abstractNumId w:val="16"/>
  </w:num>
  <w:num w:numId="16">
    <w:abstractNumId w:val="36"/>
  </w:num>
  <w:num w:numId="17">
    <w:abstractNumId w:val="35"/>
  </w:num>
  <w:num w:numId="18">
    <w:abstractNumId w:val="31"/>
  </w:num>
  <w:num w:numId="19">
    <w:abstractNumId w:val="23"/>
  </w:num>
  <w:num w:numId="20">
    <w:abstractNumId w:val="34"/>
  </w:num>
  <w:num w:numId="21">
    <w:abstractNumId w:val="19"/>
  </w:num>
  <w:num w:numId="22">
    <w:abstractNumId w:val="20"/>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32"/>
  </w:num>
  <w:num w:numId="29">
    <w:abstractNumId w:val="0"/>
  </w:num>
  <w:num w:numId="30">
    <w:abstractNumId w:val="39"/>
  </w:num>
  <w:num w:numId="31">
    <w:abstractNumId w:val="26"/>
  </w:num>
  <w:num w:numId="32">
    <w:abstractNumId w:val="13"/>
  </w:num>
  <w:num w:numId="33">
    <w:abstractNumId w:val="28"/>
  </w:num>
  <w:num w:numId="34">
    <w:abstractNumId w:val="15"/>
  </w:num>
  <w:num w:numId="35">
    <w:abstractNumId w:val="1"/>
  </w:num>
  <w:num w:numId="36">
    <w:abstractNumId w:val="4"/>
  </w:num>
  <w:num w:numId="37">
    <w:abstractNumId w:val="2"/>
  </w:num>
  <w:num w:numId="38">
    <w:abstractNumId w:val="5"/>
  </w:num>
  <w:num w:numId="39">
    <w:abstractNumId w:val="3"/>
  </w:num>
  <w:num w:numId="40">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XL">
    <w15:presenceInfo w15:providerId="None" w15:userId="SX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F1"/>
    <w:rsid w:val="00000416"/>
    <w:rsid w:val="0000149E"/>
    <w:rsid w:val="00001C80"/>
    <w:rsid w:val="00001E67"/>
    <w:rsid w:val="000028A4"/>
    <w:rsid w:val="000028CE"/>
    <w:rsid w:val="00003142"/>
    <w:rsid w:val="00003345"/>
    <w:rsid w:val="000033AB"/>
    <w:rsid w:val="00003617"/>
    <w:rsid w:val="0000364D"/>
    <w:rsid w:val="00003821"/>
    <w:rsid w:val="00004496"/>
    <w:rsid w:val="00004D71"/>
    <w:rsid w:val="0000586A"/>
    <w:rsid w:val="000058F6"/>
    <w:rsid w:val="00005A60"/>
    <w:rsid w:val="00005B5B"/>
    <w:rsid w:val="00006232"/>
    <w:rsid w:val="00006630"/>
    <w:rsid w:val="00006AD0"/>
    <w:rsid w:val="000071D8"/>
    <w:rsid w:val="00007A2A"/>
    <w:rsid w:val="00007C07"/>
    <w:rsid w:val="00007D80"/>
    <w:rsid w:val="00007F66"/>
    <w:rsid w:val="00010AA5"/>
    <w:rsid w:val="00010C7E"/>
    <w:rsid w:val="00011B38"/>
    <w:rsid w:val="00011EC5"/>
    <w:rsid w:val="000120B5"/>
    <w:rsid w:val="000120C8"/>
    <w:rsid w:val="00012702"/>
    <w:rsid w:val="00013EDB"/>
    <w:rsid w:val="00014923"/>
    <w:rsid w:val="00015BA9"/>
    <w:rsid w:val="00017451"/>
    <w:rsid w:val="000174FD"/>
    <w:rsid w:val="000205D1"/>
    <w:rsid w:val="0002060D"/>
    <w:rsid w:val="00020AF8"/>
    <w:rsid w:val="00020B0D"/>
    <w:rsid w:val="00020B47"/>
    <w:rsid w:val="00021149"/>
    <w:rsid w:val="0002188E"/>
    <w:rsid w:val="00021DC2"/>
    <w:rsid w:val="00021FB8"/>
    <w:rsid w:val="00023102"/>
    <w:rsid w:val="000231DC"/>
    <w:rsid w:val="000237C3"/>
    <w:rsid w:val="000241E4"/>
    <w:rsid w:val="0002543A"/>
    <w:rsid w:val="00025D26"/>
    <w:rsid w:val="00025D84"/>
    <w:rsid w:val="00026FE1"/>
    <w:rsid w:val="00027375"/>
    <w:rsid w:val="000279B2"/>
    <w:rsid w:val="00027C07"/>
    <w:rsid w:val="00027E83"/>
    <w:rsid w:val="00030C34"/>
    <w:rsid w:val="00031234"/>
    <w:rsid w:val="00031C33"/>
    <w:rsid w:val="00031E15"/>
    <w:rsid w:val="00032088"/>
    <w:rsid w:val="00032163"/>
    <w:rsid w:val="000323DC"/>
    <w:rsid w:val="0003243C"/>
    <w:rsid w:val="0003275D"/>
    <w:rsid w:val="00032AF2"/>
    <w:rsid w:val="00032C89"/>
    <w:rsid w:val="00032F3C"/>
    <w:rsid w:val="0003397C"/>
    <w:rsid w:val="00033DFF"/>
    <w:rsid w:val="00034924"/>
    <w:rsid w:val="000355DE"/>
    <w:rsid w:val="00035BD5"/>
    <w:rsid w:val="00036005"/>
    <w:rsid w:val="000361F0"/>
    <w:rsid w:val="00036258"/>
    <w:rsid w:val="000362C6"/>
    <w:rsid w:val="0003646C"/>
    <w:rsid w:val="00036C84"/>
    <w:rsid w:val="0003799B"/>
    <w:rsid w:val="00040141"/>
    <w:rsid w:val="000404B1"/>
    <w:rsid w:val="000404EB"/>
    <w:rsid w:val="00040D79"/>
    <w:rsid w:val="000410B4"/>
    <w:rsid w:val="00041803"/>
    <w:rsid w:val="00041812"/>
    <w:rsid w:val="00041B9D"/>
    <w:rsid w:val="00042702"/>
    <w:rsid w:val="00042EAE"/>
    <w:rsid w:val="00043100"/>
    <w:rsid w:val="00044337"/>
    <w:rsid w:val="0004451A"/>
    <w:rsid w:val="000447F7"/>
    <w:rsid w:val="00044909"/>
    <w:rsid w:val="00044C33"/>
    <w:rsid w:val="00045AD0"/>
    <w:rsid w:val="00046093"/>
    <w:rsid w:val="00046215"/>
    <w:rsid w:val="00046676"/>
    <w:rsid w:val="000468DE"/>
    <w:rsid w:val="0004774B"/>
    <w:rsid w:val="00047DB8"/>
    <w:rsid w:val="00047EAF"/>
    <w:rsid w:val="00050BE7"/>
    <w:rsid w:val="000516D4"/>
    <w:rsid w:val="0005212C"/>
    <w:rsid w:val="0005261E"/>
    <w:rsid w:val="000529F0"/>
    <w:rsid w:val="00053626"/>
    <w:rsid w:val="000537CC"/>
    <w:rsid w:val="00054108"/>
    <w:rsid w:val="00054195"/>
    <w:rsid w:val="00054533"/>
    <w:rsid w:val="00054E5F"/>
    <w:rsid w:val="0005626A"/>
    <w:rsid w:val="0005632F"/>
    <w:rsid w:val="00056D46"/>
    <w:rsid w:val="0005778D"/>
    <w:rsid w:val="000604A3"/>
    <w:rsid w:val="00061987"/>
    <w:rsid w:val="00062439"/>
    <w:rsid w:val="00062644"/>
    <w:rsid w:val="00062B31"/>
    <w:rsid w:val="00062B56"/>
    <w:rsid w:val="00062D69"/>
    <w:rsid w:val="000633C5"/>
    <w:rsid w:val="00064627"/>
    <w:rsid w:val="00064DA4"/>
    <w:rsid w:val="00065AEB"/>
    <w:rsid w:val="00066F6B"/>
    <w:rsid w:val="000678C4"/>
    <w:rsid w:val="00067DDA"/>
    <w:rsid w:val="000711CC"/>
    <w:rsid w:val="000725A4"/>
    <w:rsid w:val="0007261F"/>
    <w:rsid w:val="000729EF"/>
    <w:rsid w:val="00073761"/>
    <w:rsid w:val="00074040"/>
    <w:rsid w:val="000740D6"/>
    <w:rsid w:val="000740E6"/>
    <w:rsid w:val="000745AC"/>
    <w:rsid w:val="000752B7"/>
    <w:rsid w:val="00075667"/>
    <w:rsid w:val="00075CBF"/>
    <w:rsid w:val="00075DF8"/>
    <w:rsid w:val="00075FD0"/>
    <w:rsid w:val="0007627D"/>
    <w:rsid w:val="00076585"/>
    <w:rsid w:val="000769E6"/>
    <w:rsid w:val="00076A7A"/>
    <w:rsid w:val="00076D8E"/>
    <w:rsid w:val="000775F8"/>
    <w:rsid w:val="000777A8"/>
    <w:rsid w:val="00077B75"/>
    <w:rsid w:val="00077F5E"/>
    <w:rsid w:val="00081B4C"/>
    <w:rsid w:val="00081B63"/>
    <w:rsid w:val="0008277F"/>
    <w:rsid w:val="00083910"/>
    <w:rsid w:val="00083DBE"/>
    <w:rsid w:val="00084033"/>
    <w:rsid w:val="000847C2"/>
    <w:rsid w:val="00085076"/>
    <w:rsid w:val="00085441"/>
    <w:rsid w:val="00085DD6"/>
    <w:rsid w:val="00086158"/>
    <w:rsid w:val="000864A2"/>
    <w:rsid w:val="00086512"/>
    <w:rsid w:val="000866AA"/>
    <w:rsid w:val="00086970"/>
    <w:rsid w:val="000906A7"/>
    <w:rsid w:val="0009070D"/>
    <w:rsid w:val="00090ECF"/>
    <w:rsid w:val="0009189E"/>
    <w:rsid w:val="00092186"/>
    <w:rsid w:val="00092405"/>
    <w:rsid w:val="00092814"/>
    <w:rsid w:val="00093353"/>
    <w:rsid w:val="00093470"/>
    <w:rsid w:val="00093D2B"/>
    <w:rsid w:val="000946D2"/>
    <w:rsid w:val="00094D41"/>
    <w:rsid w:val="00095729"/>
    <w:rsid w:val="00097AEE"/>
    <w:rsid w:val="000A084F"/>
    <w:rsid w:val="000A0FF4"/>
    <w:rsid w:val="000A1B70"/>
    <w:rsid w:val="000A1E9A"/>
    <w:rsid w:val="000A2455"/>
    <w:rsid w:val="000A2781"/>
    <w:rsid w:val="000A2ABE"/>
    <w:rsid w:val="000A2DAA"/>
    <w:rsid w:val="000A35D2"/>
    <w:rsid w:val="000A3AB4"/>
    <w:rsid w:val="000A3C4C"/>
    <w:rsid w:val="000A4C9F"/>
    <w:rsid w:val="000A5440"/>
    <w:rsid w:val="000A5B48"/>
    <w:rsid w:val="000A5E26"/>
    <w:rsid w:val="000A630E"/>
    <w:rsid w:val="000B1285"/>
    <w:rsid w:val="000B152B"/>
    <w:rsid w:val="000B1890"/>
    <w:rsid w:val="000B18A8"/>
    <w:rsid w:val="000B2666"/>
    <w:rsid w:val="000B2681"/>
    <w:rsid w:val="000B38B4"/>
    <w:rsid w:val="000B3AF0"/>
    <w:rsid w:val="000B428B"/>
    <w:rsid w:val="000B5DCB"/>
    <w:rsid w:val="000B6BD0"/>
    <w:rsid w:val="000B72C9"/>
    <w:rsid w:val="000C0314"/>
    <w:rsid w:val="000C064C"/>
    <w:rsid w:val="000C1496"/>
    <w:rsid w:val="000C1850"/>
    <w:rsid w:val="000C1C7F"/>
    <w:rsid w:val="000C1CF9"/>
    <w:rsid w:val="000C1DD9"/>
    <w:rsid w:val="000C22FB"/>
    <w:rsid w:val="000C2313"/>
    <w:rsid w:val="000C231A"/>
    <w:rsid w:val="000C28B2"/>
    <w:rsid w:val="000C305D"/>
    <w:rsid w:val="000C3423"/>
    <w:rsid w:val="000C42D0"/>
    <w:rsid w:val="000C4A4E"/>
    <w:rsid w:val="000C50DF"/>
    <w:rsid w:val="000C63BA"/>
    <w:rsid w:val="000C69D6"/>
    <w:rsid w:val="000C6ED9"/>
    <w:rsid w:val="000C71C5"/>
    <w:rsid w:val="000C7297"/>
    <w:rsid w:val="000C76A6"/>
    <w:rsid w:val="000C7C1C"/>
    <w:rsid w:val="000D0589"/>
    <w:rsid w:val="000D0EDC"/>
    <w:rsid w:val="000D102A"/>
    <w:rsid w:val="000D14C6"/>
    <w:rsid w:val="000D15FA"/>
    <w:rsid w:val="000D1625"/>
    <w:rsid w:val="000D1928"/>
    <w:rsid w:val="000D2383"/>
    <w:rsid w:val="000D2B54"/>
    <w:rsid w:val="000D2C32"/>
    <w:rsid w:val="000D2FC5"/>
    <w:rsid w:val="000D347D"/>
    <w:rsid w:val="000D38AB"/>
    <w:rsid w:val="000D3D3D"/>
    <w:rsid w:val="000D4743"/>
    <w:rsid w:val="000D4D4F"/>
    <w:rsid w:val="000D4D52"/>
    <w:rsid w:val="000D4DEB"/>
    <w:rsid w:val="000D4E73"/>
    <w:rsid w:val="000D54AD"/>
    <w:rsid w:val="000D6870"/>
    <w:rsid w:val="000D6C9E"/>
    <w:rsid w:val="000D794D"/>
    <w:rsid w:val="000D7F2F"/>
    <w:rsid w:val="000E0E20"/>
    <w:rsid w:val="000E11A2"/>
    <w:rsid w:val="000E1366"/>
    <w:rsid w:val="000E1DBD"/>
    <w:rsid w:val="000E2304"/>
    <w:rsid w:val="000E243A"/>
    <w:rsid w:val="000E36DC"/>
    <w:rsid w:val="000E3E6D"/>
    <w:rsid w:val="000E3FF9"/>
    <w:rsid w:val="000E42F6"/>
    <w:rsid w:val="000E4C19"/>
    <w:rsid w:val="000E4D7C"/>
    <w:rsid w:val="000E4E2E"/>
    <w:rsid w:val="000E4FF3"/>
    <w:rsid w:val="000E5ADE"/>
    <w:rsid w:val="000E5E32"/>
    <w:rsid w:val="000E6207"/>
    <w:rsid w:val="000E6C5F"/>
    <w:rsid w:val="000E78E6"/>
    <w:rsid w:val="000F0102"/>
    <w:rsid w:val="000F0CC3"/>
    <w:rsid w:val="000F1C98"/>
    <w:rsid w:val="000F2D6C"/>
    <w:rsid w:val="000F3148"/>
    <w:rsid w:val="000F346A"/>
    <w:rsid w:val="000F55B4"/>
    <w:rsid w:val="000F5878"/>
    <w:rsid w:val="000F7114"/>
    <w:rsid w:val="001000D2"/>
    <w:rsid w:val="00100C22"/>
    <w:rsid w:val="00101525"/>
    <w:rsid w:val="00101C32"/>
    <w:rsid w:val="00101E79"/>
    <w:rsid w:val="00102595"/>
    <w:rsid w:val="00103218"/>
    <w:rsid w:val="00103F47"/>
    <w:rsid w:val="00103FAF"/>
    <w:rsid w:val="00104714"/>
    <w:rsid w:val="00104B39"/>
    <w:rsid w:val="00105703"/>
    <w:rsid w:val="0010589A"/>
    <w:rsid w:val="00106186"/>
    <w:rsid w:val="00107005"/>
    <w:rsid w:val="001070F3"/>
    <w:rsid w:val="001071AC"/>
    <w:rsid w:val="001074DB"/>
    <w:rsid w:val="00107E64"/>
    <w:rsid w:val="00107EB4"/>
    <w:rsid w:val="0011199C"/>
    <w:rsid w:val="00112770"/>
    <w:rsid w:val="00113247"/>
    <w:rsid w:val="001138D5"/>
    <w:rsid w:val="00113B9C"/>
    <w:rsid w:val="001145DB"/>
    <w:rsid w:val="001147CB"/>
    <w:rsid w:val="00115390"/>
    <w:rsid w:val="00115BED"/>
    <w:rsid w:val="0011603C"/>
    <w:rsid w:val="00116387"/>
    <w:rsid w:val="001166C8"/>
    <w:rsid w:val="001167AB"/>
    <w:rsid w:val="00116DED"/>
    <w:rsid w:val="00116FD7"/>
    <w:rsid w:val="001176F9"/>
    <w:rsid w:val="0011772C"/>
    <w:rsid w:val="001177FB"/>
    <w:rsid w:val="00117EC7"/>
    <w:rsid w:val="00120527"/>
    <w:rsid w:val="0012067A"/>
    <w:rsid w:val="00120939"/>
    <w:rsid w:val="00120D1B"/>
    <w:rsid w:val="00120DD5"/>
    <w:rsid w:val="00120E2F"/>
    <w:rsid w:val="0012124E"/>
    <w:rsid w:val="001214FB"/>
    <w:rsid w:val="00121885"/>
    <w:rsid w:val="00122A62"/>
    <w:rsid w:val="00123438"/>
    <w:rsid w:val="00123F2B"/>
    <w:rsid w:val="00124AAF"/>
    <w:rsid w:val="001254B4"/>
    <w:rsid w:val="0012570C"/>
    <w:rsid w:val="00125718"/>
    <w:rsid w:val="001257F9"/>
    <w:rsid w:val="0012582E"/>
    <w:rsid w:val="00125AC8"/>
    <w:rsid w:val="00126479"/>
    <w:rsid w:val="00126652"/>
    <w:rsid w:val="001302D1"/>
    <w:rsid w:val="0013086D"/>
    <w:rsid w:val="00130A7A"/>
    <w:rsid w:val="00130E7A"/>
    <w:rsid w:val="00130F3F"/>
    <w:rsid w:val="0013126F"/>
    <w:rsid w:val="00131913"/>
    <w:rsid w:val="00131EC4"/>
    <w:rsid w:val="00132C04"/>
    <w:rsid w:val="0013348C"/>
    <w:rsid w:val="0013366B"/>
    <w:rsid w:val="001339F7"/>
    <w:rsid w:val="00133C32"/>
    <w:rsid w:val="00134026"/>
    <w:rsid w:val="0013458B"/>
    <w:rsid w:val="00134F54"/>
    <w:rsid w:val="00135C1C"/>
    <w:rsid w:val="00136A1A"/>
    <w:rsid w:val="00137319"/>
    <w:rsid w:val="00137CB6"/>
    <w:rsid w:val="00137ECA"/>
    <w:rsid w:val="001400C0"/>
    <w:rsid w:val="0014051B"/>
    <w:rsid w:val="001413D6"/>
    <w:rsid w:val="00141F94"/>
    <w:rsid w:val="0014220A"/>
    <w:rsid w:val="00142E95"/>
    <w:rsid w:val="00143AFA"/>
    <w:rsid w:val="00143B76"/>
    <w:rsid w:val="00143E3B"/>
    <w:rsid w:val="001450A2"/>
    <w:rsid w:val="00145F2A"/>
    <w:rsid w:val="001461E3"/>
    <w:rsid w:val="00146CB3"/>
    <w:rsid w:val="00147478"/>
    <w:rsid w:val="0014796E"/>
    <w:rsid w:val="0015138A"/>
    <w:rsid w:val="001516CE"/>
    <w:rsid w:val="001516EF"/>
    <w:rsid w:val="00151712"/>
    <w:rsid w:val="00151E10"/>
    <w:rsid w:val="00152167"/>
    <w:rsid w:val="00152394"/>
    <w:rsid w:val="0015250D"/>
    <w:rsid w:val="00152830"/>
    <w:rsid w:val="00152CBE"/>
    <w:rsid w:val="00152D5A"/>
    <w:rsid w:val="00152D62"/>
    <w:rsid w:val="001533D0"/>
    <w:rsid w:val="00153464"/>
    <w:rsid w:val="00153A2F"/>
    <w:rsid w:val="001544A8"/>
    <w:rsid w:val="001545DF"/>
    <w:rsid w:val="001548B2"/>
    <w:rsid w:val="001549A7"/>
    <w:rsid w:val="00154C2D"/>
    <w:rsid w:val="00155451"/>
    <w:rsid w:val="00155591"/>
    <w:rsid w:val="00156F7D"/>
    <w:rsid w:val="001575C4"/>
    <w:rsid w:val="00160420"/>
    <w:rsid w:val="00160BF5"/>
    <w:rsid w:val="00161024"/>
    <w:rsid w:val="00161583"/>
    <w:rsid w:val="00161ECE"/>
    <w:rsid w:val="001621FC"/>
    <w:rsid w:val="0016263F"/>
    <w:rsid w:val="00162674"/>
    <w:rsid w:val="00162BFB"/>
    <w:rsid w:val="00164920"/>
    <w:rsid w:val="0016596B"/>
    <w:rsid w:val="0016677E"/>
    <w:rsid w:val="00166869"/>
    <w:rsid w:val="00166A2E"/>
    <w:rsid w:val="001671A0"/>
    <w:rsid w:val="00170623"/>
    <w:rsid w:val="00171024"/>
    <w:rsid w:val="001722C6"/>
    <w:rsid w:val="001725CB"/>
    <w:rsid w:val="00172871"/>
    <w:rsid w:val="00172A27"/>
    <w:rsid w:val="001740A6"/>
    <w:rsid w:val="0017420E"/>
    <w:rsid w:val="0017435F"/>
    <w:rsid w:val="001743F2"/>
    <w:rsid w:val="0017487E"/>
    <w:rsid w:val="00174AAC"/>
    <w:rsid w:val="00174BC3"/>
    <w:rsid w:val="00175B19"/>
    <w:rsid w:val="001761AA"/>
    <w:rsid w:val="0017622F"/>
    <w:rsid w:val="00176718"/>
    <w:rsid w:val="001767A5"/>
    <w:rsid w:val="00180728"/>
    <w:rsid w:val="0018201A"/>
    <w:rsid w:val="00182383"/>
    <w:rsid w:val="0018253F"/>
    <w:rsid w:val="001827A0"/>
    <w:rsid w:val="0018401E"/>
    <w:rsid w:val="001847BF"/>
    <w:rsid w:val="00185492"/>
    <w:rsid w:val="00185763"/>
    <w:rsid w:val="001866BF"/>
    <w:rsid w:val="00186E29"/>
    <w:rsid w:val="001872D5"/>
    <w:rsid w:val="00187619"/>
    <w:rsid w:val="00187FE6"/>
    <w:rsid w:val="001902F3"/>
    <w:rsid w:val="00190915"/>
    <w:rsid w:val="00190CC6"/>
    <w:rsid w:val="00190D85"/>
    <w:rsid w:val="001911EF"/>
    <w:rsid w:val="0019127B"/>
    <w:rsid w:val="001915B9"/>
    <w:rsid w:val="00191951"/>
    <w:rsid w:val="00192186"/>
    <w:rsid w:val="001923DC"/>
    <w:rsid w:val="0019268F"/>
    <w:rsid w:val="00192711"/>
    <w:rsid w:val="00192AD8"/>
    <w:rsid w:val="0019347C"/>
    <w:rsid w:val="00193509"/>
    <w:rsid w:val="001939F3"/>
    <w:rsid w:val="00193DFA"/>
    <w:rsid w:val="00193E98"/>
    <w:rsid w:val="0019433C"/>
    <w:rsid w:val="001943E3"/>
    <w:rsid w:val="00194663"/>
    <w:rsid w:val="00194A5A"/>
    <w:rsid w:val="00194E19"/>
    <w:rsid w:val="00196E08"/>
    <w:rsid w:val="0019719D"/>
    <w:rsid w:val="00197648"/>
    <w:rsid w:val="00197B2F"/>
    <w:rsid w:val="001A1970"/>
    <w:rsid w:val="001A2117"/>
    <w:rsid w:val="001A2126"/>
    <w:rsid w:val="001A23A3"/>
    <w:rsid w:val="001A2A5C"/>
    <w:rsid w:val="001A2AAA"/>
    <w:rsid w:val="001A337F"/>
    <w:rsid w:val="001A37E6"/>
    <w:rsid w:val="001A4365"/>
    <w:rsid w:val="001A5785"/>
    <w:rsid w:val="001A59B4"/>
    <w:rsid w:val="001A5E12"/>
    <w:rsid w:val="001A65B8"/>
    <w:rsid w:val="001B01B4"/>
    <w:rsid w:val="001B0237"/>
    <w:rsid w:val="001B090F"/>
    <w:rsid w:val="001B0A02"/>
    <w:rsid w:val="001B0BD2"/>
    <w:rsid w:val="001B1076"/>
    <w:rsid w:val="001B10AB"/>
    <w:rsid w:val="001B1362"/>
    <w:rsid w:val="001B1D25"/>
    <w:rsid w:val="001B1F04"/>
    <w:rsid w:val="001B2705"/>
    <w:rsid w:val="001B294A"/>
    <w:rsid w:val="001B2ECB"/>
    <w:rsid w:val="001B31AB"/>
    <w:rsid w:val="001B3439"/>
    <w:rsid w:val="001B36E5"/>
    <w:rsid w:val="001B3B13"/>
    <w:rsid w:val="001B448C"/>
    <w:rsid w:val="001B4813"/>
    <w:rsid w:val="001B51A5"/>
    <w:rsid w:val="001B5885"/>
    <w:rsid w:val="001B5B9F"/>
    <w:rsid w:val="001B6B31"/>
    <w:rsid w:val="001B7B1E"/>
    <w:rsid w:val="001C0AA8"/>
    <w:rsid w:val="001C12FB"/>
    <w:rsid w:val="001C2033"/>
    <w:rsid w:val="001C22BE"/>
    <w:rsid w:val="001C245A"/>
    <w:rsid w:val="001C312D"/>
    <w:rsid w:val="001C35D1"/>
    <w:rsid w:val="001C3BF3"/>
    <w:rsid w:val="001C40D5"/>
    <w:rsid w:val="001C50CC"/>
    <w:rsid w:val="001C62E2"/>
    <w:rsid w:val="001C6CC5"/>
    <w:rsid w:val="001C6F60"/>
    <w:rsid w:val="001C73CF"/>
    <w:rsid w:val="001C7730"/>
    <w:rsid w:val="001C7A72"/>
    <w:rsid w:val="001D058D"/>
    <w:rsid w:val="001D0E86"/>
    <w:rsid w:val="001D2DCA"/>
    <w:rsid w:val="001D38A5"/>
    <w:rsid w:val="001D3D18"/>
    <w:rsid w:val="001D3F29"/>
    <w:rsid w:val="001D3F2F"/>
    <w:rsid w:val="001D4274"/>
    <w:rsid w:val="001D44BF"/>
    <w:rsid w:val="001D4528"/>
    <w:rsid w:val="001D54C5"/>
    <w:rsid w:val="001D56BE"/>
    <w:rsid w:val="001D56FF"/>
    <w:rsid w:val="001D627C"/>
    <w:rsid w:val="001D637A"/>
    <w:rsid w:val="001D6506"/>
    <w:rsid w:val="001D66D5"/>
    <w:rsid w:val="001D74D6"/>
    <w:rsid w:val="001E25B5"/>
    <w:rsid w:val="001E2624"/>
    <w:rsid w:val="001E4617"/>
    <w:rsid w:val="001E4C55"/>
    <w:rsid w:val="001E5047"/>
    <w:rsid w:val="001E507B"/>
    <w:rsid w:val="001E5576"/>
    <w:rsid w:val="001E5C51"/>
    <w:rsid w:val="001E5F81"/>
    <w:rsid w:val="001E6DA7"/>
    <w:rsid w:val="001E7171"/>
    <w:rsid w:val="001F0827"/>
    <w:rsid w:val="001F0CE3"/>
    <w:rsid w:val="001F0F30"/>
    <w:rsid w:val="001F136D"/>
    <w:rsid w:val="001F1437"/>
    <w:rsid w:val="001F15D8"/>
    <w:rsid w:val="001F1903"/>
    <w:rsid w:val="001F2291"/>
    <w:rsid w:val="001F2981"/>
    <w:rsid w:val="001F2F9F"/>
    <w:rsid w:val="001F334F"/>
    <w:rsid w:val="001F3693"/>
    <w:rsid w:val="001F3891"/>
    <w:rsid w:val="001F3A07"/>
    <w:rsid w:val="001F3AC2"/>
    <w:rsid w:val="001F3E77"/>
    <w:rsid w:val="001F4136"/>
    <w:rsid w:val="001F5A7A"/>
    <w:rsid w:val="001F5D6A"/>
    <w:rsid w:val="001F5D9F"/>
    <w:rsid w:val="001F6044"/>
    <w:rsid w:val="001F66AC"/>
    <w:rsid w:val="001F6B23"/>
    <w:rsid w:val="00200576"/>
    <w:rsid w:val="002007C3"/>
    <w:rsid w:val="00200B47"/>
    <w:rsid w:val="00201720"/>
    <w:rsid w:val="00202470"/>
    <w:rsid w:val="002039F5"/>
    <w:rsid w:val="0020407F"/>
    <w:rsid w:val="0020463A"/>
    <w:rsid w:val="0020585D"/>
    <w:rsid w:val="0020603B"/>
    <w:rsid w:val="00206448"/>
    <w:rsid w:val="00206F7F"/>
    <w:rsid w:val="002074F5"/>
    <w:rsid w:val="00207600"/>
    <w:rsid w:val="002077A2"/>
    <w:rsid w:val="00207F06"/>
    <w:rsid w:val="00210A46"/>
    <w:rsid w:val="00211E38"/>
    <w:rsid w:val="00212501"/>
    <w:rsid w:val="00212748"/>
    <w:rsid w:val="002129A0"/>
    <w:rsid w:val="002144F3"/>
    <w:rsid w:val="00214C33"/>
    <w:rsid w:val="00214F8B"/>
    <w:rsid w:val="0021552D"/>
    <w:rsid w:val="00215556"/>
    <w:rsid w:val="00215584"/>
    <w:rsid w:val="00215834"/>
    <w:rsid w:val="002158A2"/>
    <w:rsid w:val="002158F7"/>
    <w:rsid w:val="00215ED4"/>
    <w:rsid w:val="002171C3"/>
    <w:rsid w:val="002171ED"/>
    <w:rsid w:val="002175EF"/>
    <w:rsid w:val="00217F38"/>
    <w:rsid w:val="0022001A"/>
    <w:rsid w:val="00220240"/>
    <w:rsid w:val="0022109A"/>
    <w:rsid w:val="002211D1"/>
    <w:rsid w:val="002216D5"/>
    <w:rsid w:val="00221B25"/>
    <w:rsid w:val="00222187"/>
    <w:rsid w:val="00222449"/>
    <w:rsid w:val="00222689"/>
    <w:rsid w:val="002229D7"/>
    <w:rsid w:val="00223257"/>
    <w:rsid w:val="002234E7"/>
    <w:rsid w:val="00223627"/>
    <w:rsid w:val="002238CD"/>
    <w:rsid w:val="002245F1"/>
    <w:rsid w:val="002247E1"/>
    <w:rsid w:val="00224CFF"/>
    <w:rsid w:val="00225395"/>
    <w:rsid w:val="00225EBB"/>
    <w:rsid w:val="00227F73"/>
    <w:rsid w:val="00231192"/>
    <w:rsid w:val="0023126D"/>
    <w:rsid w:val="0023142D"/>
    <w:rsid w:val="0023223B"/>
    <w:rsid w:val="002329E7"/>
    <w:rsid w:val="0023322B"/>
    <w:rsid w:val="00233BD1"/>
    <w:rsid w:val="00233CC7"/>
    <w:rsid w:val="0023517E"/>
    <w:rsid w:val="0023568D"/>
    <w:rsid w:val="0023589B"/>
    <w:rsid w:val="00235C37"/>
    <w:rsid w:val="00236894"/>
    <w:rsid w:val="002368F7"/>
    <w:rsid w:val="00236FCE"/>
    <w:rsid w:val="00240610"/>
    <w:rsid w:val="00240810"/>
    <w:rsid w:val="0024099D"/>
    <w:rsid w:val="00240E56"/>
    <w:rsid w:val="00241972"/>
    <w:rsid w:val="0024245B"/>
    <w:rsid w:val="0024245E"/>
    <w:rsid w:val="0024257E"/>
    <w:rsid w:val="00242A21"/>
    <w:rsid w:val="00242CC1"/>
    <w:rsid w:val="0024392E"/>
    <w:rsid w:val="002449E0"/>
    <w:rsid w:val="00244B92"/>
    <w:rsid w:val="00244FE3"/>
    <w:rsid w:val="0024516F"/>
    <w:rsid w:val="002458D0"/>
    <w:rsid w:val="00245C71"/>
    <w:rsid w:val="00245E80"/>
    <w:rsid w:val="002468D6"/>
    <w:rsid w:val="00247078"/>
    <w:rsid w:val="002476F3"/>
    <w:rsid w:val="00247795"/>
    <w:rsid w:val="0025016D"/>
    <w:rsid w:val="002508B3"/>
    <w:rsid w:val="002512F0"/>
    <w:rsid w:val="0025190F"/>
    <w:rsid w:val="002519C2"/>
    <w:rsid w:val="00252061"/>
    <w:rsid w:val="00252C36"/>
    <w:rsid w:val="00253372"/>
    <w:rsid w:val="00253516"/>
    <w:rsid w:val="002548B9"/>
    <w:rsid w:val="00254F11"/>
    <w:rsid w:val="002554EE"/>
    <w:rsid w:val="002557C5"/>
    <w:rsid w:val="00256E19"/>
    <w:rsid w:val="002570F8"/>
    <w:rsid w:val="002574DD"/>
    <w:rsid w:val="002577D7"/>
    <w:rsid w:val="0026163D"/>
    <w:rsid w:val="00261738"/>
    <w:rsid w:val="00261C56"/>
    <w:rsid w:val="00262694"/>
    <w:rsid w:val="002629BB"/>
    <w:rsid w:val="00263076"/>
    <w:rsid w:val="00263523"/>
    <w:rsid w:val="002635AB"/>
    <w:rsid w:val="0026366E"/>
    <w:rsid w:val="00263789"/>
    <w:rsid w:val="00263A69"/>
    <w:rsid w:val="00263A96"/>
    <w:rsid w:val="002641CE"/>
    <w:rsid w:val="002643D6"/>
    <w:rsid w:val="002647DA"/>
    <w:rsid w:val="00264EF0"/>
    <w:rsid w:val="0026555A"/>
    <w:rsid w:val="002655A8"/>
    <w:rsid w:val="002661CB"/>
    <w:rsid w:val="0026731E"/>
    <w:rsid w:val="002673F7"/>
    <w:rsid w:val="00267463"/>
    <w:rsid w:val="0027052F"/>
    <w:rsid w:val="0027123A"/>
    <w:rsid w:val="00271FEF"/>
    <w:rsid w:val="002729DF"/>
    <w:rsid w:val="00273366"/>
    <w:rsid w:val="0027359D"/>
    <w:rsid w:val="00275177"/>
    <w:rsid w:val="002752DD"/>
    <w:rsid w:val="002752EA"/>
    <w:rsid w:val="00276F1F"/>
    <w:rsid w:val="0027718D"/>
    <w:rsid w:val="002775BC"/>
    <w:rsid w:val="0028004A"/>
    <w:rsid w:val="002800ED"/>
    <w:rsid w:val="0028066D"/>
    <w:rsid w:val="00281561"/>
    <w:rsid w:val="0028181F"/>
    <w:rsid w:val="00281C14"/>
    <w:rsid w:val="00281CA6"/>
    <w:rsid w:val="002828D8"/>
    <w:rsid w:val="002832CA"/>
    <w:rsid w:val="002838C5"/>
    <w:rsid w:val="00283EF0"/>
    <w:rsid w:val="00284B55"/>
    <w:rsid w:val="0028518A"/>
    <w:rsid w:val="0028521B"/>
    <w:rsid w:val="0028577A"/>
    <w:rsid w:val="002862E7"/>
    <w:rsid w:val="00286767"/>
    <w:rsid w:val="002869A9"/>
    <w:rsid w:val="002869BF"/>
    <w:rsid w:val="00286A61"/>
    <w:rsid w:val="00286E62"/>
    <w:rsid w:val="0028767C"/>
    <w:rsid w:val="00290931"/>
    <w:rsid w:val="00290A27"/>
    <w:rsid w:val="00290D32"/>
    <w:rsid w:val="0029213A"/>
    <w:rsid w:val="0029361D"/>
    <w:rsid w:val="00294690"/>
    <w:rsid w:val="002951D0"/>
    <w:rsid w:val="002954F9"/>
    <w:rsid w:val="00295871"/>
    <w:rsid w:val="00295F88"/>
    <w:rsid w:val="00297182"/>
    <w:rsid w:val="00297527"/>
    <w:rsid w:val="00297AFF"/>
    <w:rsid w:val="00297B9C"/>
    <w:rsid w:val="002A0002"/>
    <w:rsid w:val="002A0343"/>
    <w:rsid w:val="002A0C40"/>
    <w:rsid w:val="002A10BB"/>
    <w:rsid w:val="002A2297"/>
    <w:rsid w:val="002A3B19"/>
    <w:rsid w:val="002A409F"/>
    <w:rsid w:val="002A4151"/>
    <w:rsid w:val="002A4D77"/>
    <w:rsid w:val="002A522C"/>
    <w:rsid w:val="002A5B88"/>
    <w:rsid w:val="002A5E8F"/>
    <w:rsid w:val="002A608F"/>
    <w:rsid w:val="002A687F"/>
    <w:rsid w:val="002A7014"/>
    <w:rsid w:val="002A7CD6"/>
    <w:rsid w:val="002B01B8"/>
    <w:rsid w:val="002B0ED7"/>
    <w:rsid w:val="002B1907"/>
    <w:rsid w:val="002B1BD3"/>
    <w:rsid w:val="002B58DC"/>
    <w:rsid w:val="002B6A48"/>
    <w:rsid w:val="002B6F30"/>
    <w:rsid w:val="002B7048"/>
    <w:rsid w:val="002B746C"/>
    <w:rsid w:val="002C148D"/>
    <w:rsid w:val="002C1D9C"/>
    <w:rsid w:val="002C33D2"/>
    <w:rsid w:val="002C4393"/>
    <w:rsid w:val="002C44A1"/>
    <w:rsid w:val="002C4750"/>
    <w:rsid w:val="002C4857"/>
    <w:rsid w:val="002C4949"/>
    <w:rsid w:val="002C4B47"/>
    <w:rsid w:val="002C4B56"/>
    <w:rsid w:val="002C5145"/>
    <w:rsid w:val="002C5172"/>
    <w:rsid w:val="002C54F8"/>
    <w:rsid w:val="002C5907"/>
    <w:rsid w:val="002C5B89"/>
    <w:rsid w:val="002C61B7"/>
    <w:rsid w:val="002C63B0"/>
    <w:rsid w:val="002D010F"/>
    <w:rsid w:val="002D01E5"/>
    <w:rsid w:val="002D132A"/>
    <w:rsid w:val="002D2285"/>
    <w:rsid w:val="002D3510"/>
    <w:rsid w:val="002D39D1"/>
    <w:rsid w:val="002D3ABE"/>
    <w:rsid w:val="002D3B23"/>
    <w:rsid w:val="002D453D"/>
    <w:rsid w:val="002D4A6F"/>
    <w:rsid w:val="002D4D95"/>
    <w:rsid w:val="002D6DFB"/>
    <w:rsid w:val="002D74C6"/>
    <w:rsid w:val="002D7753"/>
    <w:rsid w:val="002E0267"/>
    <w:rsid w:val="002E05B9"/>
    <w:rsid w:val="002E079A"/>
    <w:rsid w:val="002E0B96"/>
    <w:rsid w:val="002E14FA"/>
    <w:rsid w:val="002E1624"/>
    <w:rsid w:val="002E1D36"/>
    <w:rsid w:val="002E275D"/>
    <w:rsid w:val="002E293A"/>
    <w:rsid w:val="002E2AD7"/>
    <w:rsid w:val="002E31CB"/>
    <w:rsid w:val="002E31FB"/>
    <w:rsid w:val="002E3457"/>
    <w:rsid w:val="002E3506"/>
    <w:rsid w:val="002E4301"/>
    <w:rsid w:val="002E4647"/>
    <w:rsid w:val="002E4A99"/>
    <w:rsid w:val="002E4F1D"/>
    <w:rsid w:val="002E54AD"/>
    <w:rsid w:val="002E5506"/>
    <w:rsid w:val="002E5ED0"/>
    <w:rsid w:val="002E762A"/>
    <w:rsid w:val="002F0083"/>
    <w:rsid w:val="002F0D51"/>
    <w:rsid w:val="002F0E2D"/>
    <w:rsid w:val="002F0E6F"/>
    <w:rsid w:val="002F16F5"/>
    <w:rsid w:val="002F1742"/>
    <w:rsid w:val="002F1DD2"/>
    <w:rsid w:val="002F2928"/>
    <w:rsid w:val="002F358F"/>
    <w:rsid w:val="002F3E7C"/>
    <w:rsid w:val="002F3F4F"/>
    <w:rsid w:val="002F5072"/>
    <w:rsid w:val="002F5912"/>
    <w:rsid w:val="002F593A"/>
    <w:rsid w:val="002F596A"/>
    <w:rsid w:val="002F5C63"/>
    <w:rsid w:val="002F6946"/>
    <w:rsid w:val="002F71F0"/>
    <w:rsid w:val="0030018B"/>
    <w:rsid w:val="00300487"/>
    <w:rsid w:val="0030187A"/>
    <w:rsid w:val="00301A70"/>
    <w:rsid w:val="003037DE"/>
    <w:rsid w:val="0030406A"/>
    <w:rsid w:val="00304C06"/>
    <w:rsid w:val="00305C5C"/>
    <w:rsid w:val="00305F05"/>
    <w:rsid w:val="00307443"/>
    <w:rsid w:val="0030747F"/>
    <w:rsid w:val="0031033F"/>
    <w:rsid w:val="003103E8"/>
    <w:rsid w:val="00310D69"/>
    <w:rsid w:val="00310E60"/>
    <w:rsid w:val="0031177A"/>
    <w:rsid w:val="00312134"/>
    <w:rsid w:val="00313049"/>
    <w:rsid w:val="003146EA"/>
    <w:rsid w:val="00314916"/>
    <w:rsid w:val="00314A37"/>
    <w:rsid w:val="0031525E"/>
    <w:rsid w:val="0031550C"/>
    <w:rsid w:val="00315659"/>
    <w:rsid w:val="00315ACB"/>
    <w:rsid w:val="0031612D"/>
    <w:rsid w:val="003162C8"/>
    <w:rsid w:val="003165EA"/>
    <w:rsid w:val="0031761F"/>
    <w:rsid w:val="00317A27"/>
    <w:rsid w:val="00317C3A"/>
    <w:rsid w:val="00317F0E"/>
    <w:rsid w:val="003203C0"/>
    <w:rsid w:val="00320A9E"/>
    <w:rsid w:val="00321508"/>
    <w:rsid w:val="00322828"/>
    <w:rsid w:val="00322ED7"/>
    <w:rsid w:val="00323B10"/>
    <w:rsid w:val="00323C3A"/>
    <w:rsid w:val="00323DA9"/>
    <w:rsid w:val="00323EF3"/>
    <w:rsid w:val="00324CB3"/>
    <w:rsid w:val="003254BD"/>
    <w:rsid w:val="003259FE"/>
    <w:rsid w:val="00325D66"/>
    <w:rsid w:val="00326308"/>
    <w:rsid w:val="00326FC2"/>
    <w:rsid w:val="00327889"/>
    <w:rsid w:val="003307B1"/>
    <w:rsid w:val="00330F95"/>
    <w:rsid w:val="00331235"/>
    <w:rsid w:val="0033193A"/>
    <w:rsid w:val="00331BB7"/>
    <w:rsid w:val="00332226"/>
    <w:rsid w:val="00333E24"/>
    <w:rsid w:val="003348C9"/>
    <w:rsid w:val="00334C0B"/>
    <w:rsid w:val="00335F15"/>
    <w:rsid w:val="00336773"/>
    <w:rsid w:val="00336967"/>
    <w:rsid w:val="00336F35"/>
    <w:rsid w:val="00337573"/>
    <w:rsid w:val="00337850"/>
    <w:rsid w:val="00337BE7"/>
    <w:rsid w:val="003402C2"/>
    <w:rsid w:val="00340408"/>
    <w:rsid w:val="00340FF8"/>
    <w:rsid w:val="0034184F"/>
    <w:rsid w:val="00341975"/>
    <w:rsid w:val="00342475"/>
    <w:rsid w:val="00342741"/>
    <w:rsid w:val="00342931"/>
    <w:rsid w:val="00342A73"/>
    <w:rsid w:val="00342E9B"/>
    <w:rsid w:val="0034374C"/>
    <w:rsid w:val="003439BA"/>
    <w:rsid w:val="00343AEB"/>
    <w:rsid w:val="003443FC"/>
    <w:rsid w:val="00344CA5"/>
    <w:rsid w:val="0034617F"/>
    <w:rsid w:val="0034683B"/>
    <w:rsid w:val="00346996"/>
    <w:rsid w:val="00346CBB"/>
    <w:rsid w:val="00347510"/>
    <w:rsid w:val="003479E9"/>
    <w:rsid w:val="00347ACB"/>
    <w:rsid w:val="00347C21"/>
    <w:rsid w:val="00347F9A"/>
    <w:rsid w:val="0035004F"/>
    <w:rsid w:val="0035084A"/>
    <w:rsid w:val="00350ECA"/>
    <w:rsid w:val="0035169D"/>
    <w:rsid w:val="00351B23"/>
    <w:rsid w:val="003525E1"/>
    <w:rsid w:val="0035281F"/>
    <w:rsid w:val="00352975"/>
    <w:rsid w:val="00353777"/>
    <w:rsid w:val="0035384A"/>
    <w:rsid w:val="00353932"/>
    <w:rsid w:val="0035418C"/>
    <w:rsid w:val="00354946"/>
    <w:rsid w:val="00355A61"/>
    <w:rsid w:val="003568BF"/>
    <w:rsid w:val="003568D3"/>
    <w:rsid w:val="00356A56"/>
    <w:rsid w:val="003572E4"/>
    <w:rsid w:val="003574D7"/>
    <w:rsid w:val="00357748"/>
    <w:rsid w:val="00357844"/>
    <w:rsid w:val="00357F71"/>
    <w:rsid w:val="00360573"/>
    <w:rsid w:val="00360EE9"/>
    <w:rsid w:val="0036147E"/>
    <w:rsid w:val="0036184B"/>
    <w:rsid w:val="003618C6"/>
    <w:rsid w:val="00361A02"/>
    <w:rsid w:val="003625DD"/>
    <w:rsid w:val="00362A13"/>
    <w:rsid w:val="00362C90"/>
    <w:rsid w:val="00362DF6"/>
    <w:rsid w:val="00364143"/>
    <w:rsid w:val="003671C9"/>
    <w:rsid w:val="00367A69"/>
    <w:rsid w:val="00367CA3"/>
    <w:rsid w:val="00371142"/>
    <w:rsid w:val="00371920"/>
    <w:rsid w:val="00371A53"/>
    <w:rsid w:val="003720C4"/>
    <w:rsid w:val="0037264D"/>
    <w:rsid w:val="0037283C"/>
    <w:rsid w:val="00372A93"/>
    <w:rsid w:val="00373220"/>
    <w:rsid w:val="003734FC"/>
    <w:rsid w:val="0037408F"/>
    <w:rsid w:val="0037414C"/>
    <w:rsid w:val="00374416"/>
    <w:rsid w:val="00375051"/>
    <w:rsid w:val="0037590A"/>
    <w:rsid w:val="00375B43"/>
    <w:rsid w:val="00376466"/>
    <w:rsid w:val="00376AC6"/>
    <w:rsid w:val="003771D1"/>
    <w:rsid w:val="0037736B"/>
    <w:rsid w:val="00380416"/>
    <w:rsid w:val="0038085A"/>
    <w:rsid w:val="00380FB0"/>
    <w:rsid w:val="003816F9"/>
    <w:rsid w:val="00381709"/>
    <w:rsid w:val="00381717"/>
    <w:rsid w:val="003822F4"/>
    <w:rsid w:val="0038282D"/>
    <w:rsid w:val="00382FE8"/>
    <w:rsid w:val="00383544"/>
    <w:rsid w:val="00383BDB"/>
    <w:rsid w:val="00383C45"/>
    <w:rsid w:val="00383E83"/>
    <w:rsid w:val="00384878"/>
    <w:rsid w:val="00384891"/>
    <w:rsid w:val="00384953"/>
    <w:rsid w:val="00384E14"/>
    <w:rsid w:val="00385A36"/>
    <w:rsid w:val="00386100"/>
    <w:rsid w:val="003864AE"/>
    <w:rsid w:val="00386653"/>
    <w:rsid w:val="00386864"/>
    <w:rsid w:val="00386973"/>
    <w:rsid w:val="00386BDF"/>
    <w:rsid w:val="00386FCA"/>
    <w:rsid w:val="0038764C"/>
    <w:rsid w:val="00387AEC"/>
    <w:rsid w:val="00387C73"/>
    <w:rsid w:val="003901DA"/>
    <w:rsid w:val="003904A5"/>
    <w:rsid w:val="00390697"/>
    <w:rsid w:val="0039095A"/>
    <w:rsid w:val="00390B55"/>
    <w:rsid w:val="00390E34"/>
    <w:rsid w:val="003910CD"/>
    <w:rsid w:val="003914AB"/>
    <w:rsid w:val="00392454"/>
    <w:rsid w:val="0039299F"/>
    <w:rsid w:val="00392B57"/>
    <w:rsid w:val="00392B7A"/>
    <w:rsid w:val="003933DC"/>
    <w:rsid w:val="00393432"/>
    <w:rsid w:val="00393C6A"/>
    <w:rsid w:val="00393CCD"/>
    <w:rsid w:val="003946AC"/>
    <w:rsid w:val="00395300"/>
    <w:rsid w:val="003959CE"/>
    <w:rsid w:val="00395FDD"/>
    <w:rsid w:val="00396330"/>
    <w:rsid w:val="00396518"/>
    <w:rsid w:val="00396A46"/>
    <w:rsid w:val="00396F81"/>
    <w:rsid w:val="00397A14"/>
    <w:rsid w:val="00397CD6"/>
    <w:rsid w:val="003A1F52"/>
    <w:rsid w:val="003A2B4C"/>
    <w:rsid w:val="003A3239"/>
    <w:rsid w:val="003A343D"/>
    <w:rsid w:val="003A36DA"/>
    <w:rsid w:val="003A3C98"/>
    <w:rsid w:val="003A4484"/>
    <w:rsid w:val="003A46A0"/>
    <w:rsid w:val="003A5A2F"/>
    <w:rsid w:val="003A6E2E"/>
    <w:rsid w:val="003B0047"/>
    <w:rsid w:val="003B052B"/>
    <w:rsid w:val="003B054D"/>
    <w:rsid w:val="003B05EE"/>
    <w:rsid w:val="003B07AC"/>
    <w:rsid w:val="003B11FF"/>
    <w:rsid w:val="003B2711"/>
    <w:rsid w:val="003B39DE"/>
    <w:rsid w:val="003B4A56"/>
    <w:rsid w:val="003B58BF"/>
    <w:rsid w:val="003B63DE"/>
    <w:rsid w:val="003B70F7"/>
    <w:rsid w:val="003B7889"/>
    <w:rsid w:val="003B7A7A"/>
    <w:rsid w:val="003B7D67"/>
    <w:rsid w:val="003C092E"/>
    <w:rsid w:val="003C16BB"/>
    <w:rsid w:val="003C1950"/>
    <w:rsid w:val="003C20DF"/>
    <w:rsid w:val="003C21B5"/>
    <w:rsid w:val="003C2DA6"/>
    <w:rsid w:val="003C336F"/>
    <w:rsid w:val="003C3389"/>
    <w:rsid w:val="003C3489"/>
    <w:rsid w:val="003C37D5"/>
    <w:rsid w:val="003C3A5D"/>
    <w:rsid w:val="003C5225"/>
    <w:rsid w:val="003C562B"/>
    <w:rsid w:val="003C673B"/>
    <w:rsid w:val="003C6E70"/>
    <w:rsid w:val="003C74A8"/>
    <w:rsid w:val="003D1B76"/>
    <w:rsid w:val="003D2038"/>
    <w:rsid w:val="003D2521"/>
    <w:rsid w:val="003D25AC"/>
    <w:rsid w:val="003D2691"/>
    <w:rsid w:val="003D335B"/>
    <w:rsid w:val="003D3A08"/>
    <w:rsid w:val="003D3EFC"/>
    <w:rsid w:val="003D4764"/>
    <w:rsid w:val="003D4965"/>
    <w:rsid w:val="003D4D30"/>
    <w:rsid w:val="003D5455"/>
    <w:rsid w:val="003D5CFF"/>
    <w:rsid w:val="003D5F27"/>
    <w:rsid w:val="003D69F3"/>
    <w:rsid w:val="003D6D39"/>
    <w:rsid w:val="003D72DD"/>
    <w:rsid w:val="003D775C"/>
    <w:rsid w:val="003E007B"/>
    <w:rsid w:val="003E0A2F"/>
    <w:rsid w:val="003E1312"/>
    <w:rsid w:val="003E1784"/>
    <w:rsid w:val="003E1A92"/>
    <w:rsid w:val="003E1ED1"/>
    <w:rsid w:val="003E2182"/>
    <w:rsid w:val="003E30A2"/>
    <w:rsid w:val="003E35A5"/>
    <w:rsid w:val="003E3D35"/>
    <w:rsid w:val="003E428C"/>
    <w:rsid w:val="003E4DC0"/>
    <w:rsid w:val="003E4ECD"/>
    <w:rsid w:val="003E54C7"/>
    <w:rsid w:val="003E56ED"/>
    <w:rsid w:val="003E6532"/>
    <w:rsid w:val="003E6581"/>
    <w:rsid w:val="003E7A43"/>
    <w:rsid w:val="003E7F17"/>
    <w:rsid w:val="003F0174"/>
    <w:rsid w:val="003F0759"/>
    <w:rsid w:val="003F0B41"/>
    <w:rsid w:val="003F0BC6"/>
    <w:rsid w:val="003F0D18"/>
    <w:rsid w:val="003F2305"/>
    <w:rsid w:val="003F24CE"/>
    <w:rsid w:val="003F3B7D"/>
    <w:rsid w:val="003F3E64"/>
    <w:rsid w:val="003F428A"/>
    <w:rsid w:val="003F512C"/>
    <w:rsid w:val="003F5168"/>
    <w:rsid w:val="003F5C7F"/>
    <w:rsid w:val="003F5CE1"/>
    <w:rsid w:val="003F6887"/>
    <w:rsid w:val="003F72D2"/>
    <w:rsid w:val="003F74FF"/>
    <w:rsid w:val="003F7DD7"/>
    <w:rsid w:val="0040023C"/>
    <w:rsid w:val="00400969"/>
    <w:rsid w:val="004009C0"/>
    <w:rsid w:val="00402C6D"/>
    <w:rsid w:val="00403421"/>
    <w:rsid w:val="0040430B"/>
    <w:rsid w:val="00404490"/>
    <w:rsid w:val="004059A4"/>
    <w:rsid w:val="00405F97"/>
    <w:rsid w:val="004062FB"/>
    <w:rsid w:val="00406DE9"/>
    <w:rsid w:val="004070D9"/>
    <w:rsid w:val="004075F3"/>
    <w:rsid w:val="00410131"/>
    <w:rsid w:val="0041020F"/>
    <w:rsid w:val="00410594"/>
    <w:rsid w:val="0041121A"/>
    <w:rsid w:val="004114B0"/>
    <w:rsid w:val="00412568"/>
    <w:rsid w:val="00412685"/>
    <w:rsid w:val="00412A4E"/>
    <w:rsid w:val="00412A5A"/>
    <w:rsid w:val="00412F67"/>
    <w:rsid w:val="004149AD"/>
    <w:rsid w:val="00414D18"/>
    <w:rsid w:val="00414F8B"/>
    <w:rsid w:val="004169DF"/>
    <w:rsid w:val="00416EDD"/>
    <w:rsid w:val="004175FB"/>
    <w:rsid w:val="004179B9"/>
    <w:rsid w:val="00417B8B"/>
    <w:rsid w:val="004212A3"/>
    <w:rsid w:val="00421CB6"/>
    <w:rsid w:val="004226D1"/>
    <w:rsid w:val="004229C9"/>
    <w:rsid w:val="00422C06"/>
    <w:rsid w:val="00422FD6"/>
    <w:rsid w:val="0042382C"/>
    <w:rsid w:val="0042389B"/>
    <w:rsid w:val="00423B10"/>
    <w:rsid w:val="00423FBF"/>
    <w:rsid w:val="00425122"/>
    <w:rsid w:val="00425AD4"/>
    <w:rsid w:val="00425BC9"/>
    <w:rsid w:val="00425CFD"/>
    <w:rsid w:val="00425E57"/>
    <w:rsid w:val="00425EEE"/>
    <w:rsid w:val="0042723B"/>
    <w:rsid w:val="0042725E"/>
    <w:rsid w:val="00427347"/>
    <w:rsid w:val="00427D88"/>
    <w:rsid w:val="004303ED"/>
    <w:rsid w:val="004308A5"/>
    <w:rsid w:val="0043197A"/>
    <w:rsid w:val="00432160"/>
    <w:rsid w:val="004321BB"/>
    <w:rsid w:val="004322AD"/>
    <w:rsid w:val="004328C4"/>
    <w:rsid w:val="00432BE3"/>
    <w:rsid w:val="00433A1F"/>
    <w:rsid w:val="00433F41"/>
    <w:rsid w:val="004349A7"/>
    <w:rsid w:val="00436C4A"/>
    <w:rsid w:val="004375FA"/>
    <w:rsid w:val="00440BEA"/>
    <w:rsid w:val="0044122C"/>
    <w:rsid w:val="004416DF"/>
    <w:rsid w:val="00443EA2"/>
    <w:rsid w:val="004442A3"/>
    <w:rsid w:val="0044475F"/>
    <w:rsid w:val="00445080"/>
    <w:rsid w:val="00445146"/>
    <w:rsid w:val="00446057"/>
    <w:rsid w:val="00446CB5"/>
    <w:rsid w:val="00446EA2"/>
    <w:rsid w:val="00447B50"/>
    <w:rsid w:val="00447E59"/>
    <w:rsid w:val="00447ECE"/>
    <w:rsid w:val="004502F7"/>
    <w:rsid w:val="0045100D"/>
    <w:rsid w:val="00452097"/>
    <w:rsid w:val="00452782"/>
    <w:rsid w:val="0045282B"/>
    <w:rsid w:val="00452FEB"/>
    <w:rsid w:val="00453B48"/>
    <w:rsid w:val="0045407C"/>
    <w:rsid w:val="004540AE"/>
    <w:rsid w:val="00454320"/>
    <w:rsid w:val="00454556"/>
    <w:rsid w:val="004545A8"/>
    <w:rsid w:val="00454640"/>
    <w:rsid w:val="004563A7"/>
    <w:rsid w:val="00456B15"/>
    <w:rsid w:val="0045728E"/>
    <w:rsid w:val="00457744"/>
    <w:rsid w:val="00460793"/>
    <w:rsid w:val="00461653"/>
    <w:rsid w:val="00461C52"/>
    <w:rsid w:val="00461D11"/>
    <w:rsid w:val="00461E82"/>
    <w:rsid w:val="00462245"/>
    <w:rsid w:val="004623B4"/>
    <w:rsid w:val="00462503"/>
    <w:rsid w:val="00462911"/>
    <w:rsid w:val="0046399C"/>
    <w:rsid w:val="00463BF4"/>
    <w:rsid w:val="004643ED"/>
    <w:rsid w:val="004647EA"/>
    <w:rsid w:val="00464AA5"/>
    <w:rsid w:val="00465D88"/>
    <w:rsid w:val="00465DD8"/>
    <w:rsid w:val="00465ECE"/>
    <w:rsid w:val="00466384"/>
    <w:rsid w:val="00470114"/>
    <w:rsid w:val="004704AD"/>
    <w:rsid w:val="00470733"/>
    <w:rsid w:val="00470762"/>
    <w:rsid w:val="0047077D"/>
    <w:rsid w:val="00471240"/>
    <w:rsid w:val="00471481"/>
    <w:rsid w:val="00472B10"/>
    <w:rsid w:val="00472C5F"/>
    <w:rsid w:val="004732E8"/>
    <w:rsid w:val="004733BF"/>
    <w:rsid w:val="00473943"/>
    <w:rsid w:val="004744D5"/>
    <w:rsid w:val="00474F78"/>
    <w:rsid w:val="00475043"/>
    <w:rsid w:val="004766E3"/>
    <w:rsid w:val="004776FE"/>
    <w:rsid w:val="00480069"/>
    <w:rsid w:val="004802B6"/>
    <w:rsid w:val="00480FF8"/>
    <w:rsid w:val="00481BAD"/>
    <w:rsid w:val="0048309D"/>
    <w:rsid w:val="00483B11"/>
    <w:rsid w:val="00483BE0"/>
    <w:rsid w:val="00483CAC"/>
    <w:rsid w:val="004840E4"/>
    <w:rsid w:val="00485B55"/>
    <w:rsid w:val="0048605B"/>
    <w:rsid w:val="00486458"/>
    <w:rsid w:val="00486A16"/>
    <w:rsid w:val="004876CE"/>
    <w:rsid w:val="00487EA7"/>
    <w:rsid w:val="004903A4"/>
    <w:rsid w:val="004909D1"/>
    <w:rsid w:val="00491C6D"/>
    <w:rsid w:val="00491D7D"/>
    <w:rsid w:val="00491DA7"/>
    <w:rsid w:val="00491F7C"/>
    <w:rsid w:val="00492C89"/>
    <w:rsid w:val="0049323C"/>
    <w:rsid w:val="00493280"/>
    <w:rsid w:val="0049345B"/>
    <w:rsid w:val="0049379B"/>
    <w:rsid w:val="004940F2"/>
    <w:rsid w:val="004941BA"/>
    <w:rsid w:val="00494E66"/>
    <w:rsid w:val="0049532A"/>
    <w:rsid w:val="00495622"/>
    <w:rsid w:val="00495B09"/>
    <w:rsid w:val="0049639D"/>
    <w:rsid w:val="00496B78"/>
    <w:rsid w:val="00496E37"/>
    <w:rsid w:val="00496E8A"/>
    <w:rsid w:val="004A003E"/>
    <w:rsid w:val="004A0CE6"/>
    <w:rsid w:val="004A1AA7"/>
    <w:rsid w:val="004A200F"/>
    <w:rsid w:val="004A3716"/>
    <w:rsid w:val="004A3A93"/>
    <w:rsid w:val="004A3AF8"/>
    <w:rsid w:val="004A433F"/>
    <w:rsid w:val="004A4C03"/>
    <w:rsid w:val="004A5DC1"/>
    <w:rsid w:val="004A5EB8"/>
    <w:rsid w:val="004A60B1"/>
    <w:rsid w:val="004A670A"/>
    <w:rsid w:val="004A73C7"/>
    <w:rsid w:val="004A778E"/>
    <w:rsid w:val="004A7F62"/>
    <w:rsid w:val="004B04B5"/>
    <w:rsid w:val="004B0A18"/>
    <w:rsid w:val="004B10BD"/>
    <w:rsid w:val="004B115A"/>
    <w:rsid w:val="004B2DD1"/>
    <w:rsid w:val="004B40B1"/>
    <w:rsid w:val="004B410D"/>
    <w:rsid w:val="004B42D7"/>
    <w:rsid w:val="004B42F1"/>
    <w:rsid w:val="004B5CB2"/>
    <w:rsid w:val="004B6346"/>
    <w:rsid w:val="004B66A0"/>
    <w:rsid w:val="004B7598"/>
    <w:rsid w:val="004B7CF4"/>
    <w:rsid w:val="004C0057"/>
    <w:rsid w:val="004C153E"/>
    <w:rsid w:val="004C1993"/>
    <w:rsid w:val="004C1996"/>
    <w:rsid w:val="004C1F99"/>
    <w:rsid w:val="004C217A"/>
    <w:rsid w:val="004C21D9"/>
    <w:rsid w:val="004C2B66"/>
    <w:rsid w:val="004C2D22"/>
    <w:rsid w:val="004C2E41"/>
    <w:rsid w:val="004C2F99"/>
    <w:rsid w:val="004C33EC"/>
    <w:rsid w:val="004C3918"/>
    <w:rsid w:val="004C3ADB"/>
    <w:rsid w:val="004C3FDB"/>
    <w:rsid w:val="004C4CAE"/>
    <w:rsid w:val="004C5551"/>
    <w:rsid w:val="004C59F5"/>
    <w:rsid w:val="004C5FD2"/>
    <w:rsid w:val="004C6C62"/>
    <w:rsid w:val="004C7388"/>
    <w:rsid w:val="004C7942"/>
    <w:rsid w:val="004D03D0"/>
    <w:rsid w:val="004D1365"/>
    <w:rsid w:val="004D13B5"/>
    <w:rsid w:val="004D14EB"/>
    <w:rsid w:val="004D18C2"/>
    <w:rsid w:val="004D2041"/>
    <w:rsid w:val="004D2537"/>
    <w:rsid w:val="004D2B19"/>
    <w:rsid w:val="004D2E89"/>
    <w:rsid w:val="004D3026"/>
    <w:rsid w:val="004D31CB"/>
    <w:rsid w:val="004D572C"/>
    <w:rsid w:val="004D5C00"/>
    <w:rsid w:val="004D6411"/>
    <w:rsid w:val="004D6A43"/>
    <w:rsid w:val="004D6AC7"/>
    <w:rsid w:val="004D7C56"/>
    <w:rsid w:val="004E002F"/>
    <w:rsid w:val="004E1290"/>
    <w:rsid w:val="004E22FB"/>
    <w:rsid w:val="004E275B"/>
    <w:rsid w:val="004E30B2"/>
    <w:rsid w:val="004E4664"/>
    <w:rsid w:val="004E4796"/>
    <w:rsid w:val="004E4B4C"/>
    <w:rsid w:val="004E4DD9"/>
    <w:rsid w:val="004E5DAF"/>
    <w:rsid w:val="004E6B12"/>
    <w:rsid w:val="004E7173"/>
    <w:rsid w:val="004E7A96"/>
    <w:rsid w:val="004E7B81"/>
    <w:rsid w:val="004F0600"/>
    <w:rsid w:val="004F093D"/>
    <w:rsid w:val="004F0E63"/>
    <w:rsid w:val="004F1898"/>
    <w:rsid w:val="004F1A66"/>
    <w:rsid w:val="004F2BF9"/>
    <w:rsid w:val="004F33AB"/>
    <w:rsid w:val="004F358C"/>
    <w:rsid w:val="004F3940"/>
    <w:rsid w:val="004F3FBD"/>
    <w:rsid w:val="004F473A"/>
    <w:rsid w:val="004F4F07"/>
    <w:rsid w:val="004F5831"/>
    <w:rsid w:val="004F65FD"/>
    <w:rsid w:val="004F687E"/>
    <w:rsid w:val="004F6E98"/>
    <w:rsid w:val="004F6EA6"/>
    <w:rsid w:val="004F7303"/>
    <w:rsid w:val="004F7DE5"/>
    <w:rsid w:val="0050058F"/>
    <w:rsid w:val="00500785"/>
    <w:rsid w:val="00501BDE"/>
    <w:rsid w:val="00502286"/>
    <w:rsid w:val="00504148"/>
    <w:rsid w:val="00506A67"/>
    <w:rsid w:val="00506AAA"/>
    <w:rsid w:val="00507145"/>
    <w:rsid w:val="00507D76"/>
    <w:rsid w:val="00510510"/>
    <w:rsid w:val="00510952"/>
    <w:rsid w:val="00510DD9"/>
    <w:rsid w:val="00511728"/>
    <w:rsid w:val="00511E35"/>
    <w:rsid w:val="00511FD8"/>
    <w:rsid w:val="0051230D"/>
    <w:rsid w:val="00512C4D"/>
    <w:rsid w:val="00513552"/>
    <w:rsid w:val="00513D0C"/>
    <w:rsid w:val="00513DD1"/>
    <w:rsid w:val="00513E31"/>
    <w:rsid w:val="0051474C"/>
    <w:rsid w:val="00514919"/>
    <w:rsid w:val="00515011"/>
    <w:rsid w:val="0051566F"/>
    <w:rsid w:val="00515B33"/>
    <w:rsid w:val="00516192"/>
    <w:rsid w:val="00516D32"/>
    <w:rsid w:val="00516E8C"/>
    <w:rsid w:val="00516EA0"/>
    <w:rsid w:val="00516EEE"/>
    <w:rsid w:val="00517F62"/>
    <w:rsid w:val="00520630"/>
    <w:rsid w:val="00520BBE"/>
    <w:rsid w:val="00520CBB"/>
    <w:rsid w:val="00520DCA"/>
    <w:rsid w:val="00522014"/>
    <w:rsid w:val="00522160"/>
    <w:rsid w:val="00522391"/>
    <w:rsid w:val="00523017"/>
    <w:rsid w:val="005230BE"/>
    <w:rsid w:val="005237F8"/>
    <w:rsid w:val="0052411B"/>
    <w:rsid w:val="00524190"/>
    <w:rsid w:val="005244D7"/>
    <w:rsid w:val="00524786"/>
    <w:rsid w:val="00525865"/>
    <w:rsid w:val="00525B1E"/>
    <w:rsid w:val="00527EA4"/>
    <w:rsid w:val="005301D2"/>
    <w:rsid w:val="00530D09"/>
    <w:rsid w:val="00530FB0"/>
    <w:rsid w:val="00531351"/>
    <w:rsid w:val="00531E80"/>
    <w:rsid w:val="00531F3C"/>
    <w:rsid w:val="00532FC5"/>
    <w:rsid w:val="00533193"/>
    <w:rsid w:val="00533666"/>
    <w:rsid w:val="005339DA"/>
    <w:rsid w:val="005344E6"/>
    <w:rsid w:val="00535E57"/>
    <w:rsid w:val="00536E1B"/>
    <w:rsid w:val="00537329"/>
    <w:rsid w:val="00537A34"/>
    <w:rsid w:val="00540A33"/>
    <w:rsid w:val="00541855"/>
    <w:rsid w:val="005422F5"/>
    <w:rsid w:val="005423DE"/>
    <w:rsid w:val="005423FE"/>
    <w:rsid w:val="00543088"/>
    <w:rsid w:val="00543D5C"/>
    <w:rsid w:val="005444C5"/>
    <w:rsid w:val="00544821"/>
    <w:rsid w:val="00544903"/>
    <w:rsid w:val="005477AB"/>
    <w:rsid w:val="00547E9C"/>
    <w:rsid w:val="00550576"/>
    <w:rsid w:val="005508FE"/>
    <w:rsid w:val="00551897"/>
    <w:rsid w:val="00552209"/>
    <w:rsid w:val="005526A8"/>
    <w:rsid w:val="0055280D"/>
    <w:rsid w:val="00552A95"/>
    <w:rsid w:val="00553A94"/>
    <w:rsid w:val="00554234"/>
    <w:rsid w:val="0055442F"/>
    <w:rsid w:val="00554485"/>
    <w:rsid w:val="00554840"/>
    <w:rsid w:val="00554A36"/>
    <w:rsid w:val="00554D44"/>
    <w:rsid w:val="00555ACD"/>
    <w:rsid w:val="00556B60"/>
    <w:rsid w:val="00557196"/>
    <w:rsid w:val="00557791"/>
    <w:rsid w:val="00557D57"/>
    <w:rsid w:val="005610DC"/>
    <w:rsid w:val="0056124A"/>
    <w:rsid w:val="00562B59"/>
    <w:rsid w:val="0056302E"/>
    <w:rsid w:val="005631BB"/>
    <w:rsid w:val="00563666"/>
    <w:rsid w:val="00563E7A"/>
    <w:rsid w:val="00564309"/>
    <w:rsid w:val="00564AD3"/>
    <w:rsid w:val="005658A1"/>
    <w:rsid w:val="005658D0"/>
    <w:rsid w:val="00566B97"/>
    <w:rsid w:val="00567374"/>
    <w:rsid w:val="0056748D"/>
    <w:rsid w:val="00567837"/>
    <w:rsid w:val="005679B1"/>
    <w:rsid w:val="00567B87"/>
    <w:rsid w:val="005702B0"/>
    <w:rsid w:val="0057071D"/>
    <w:rsid w:val="00571099"/>
    <w:rsid w:val="00571442"/>
    <w:rsid w:val="005715BD"/>
    <w:rsid w:val="00571DC1"/>
    <w:rsid w:val="00572850"/>
    <w:rsid w:val="00572A3A"/>
    <w:rsid w:val="00572E71"/>
    <w:rsid w:val="00573222"/>
    <w:rsid w:val="00573716"/>
    <w:rsid w:val="00573A33"/>
    <w:rsid w:val="00573EC9"/>
    <w:rsid w:val="005741B4"/>
    <w:rsid w:val="005749C0"/>
    <w:rsid w:val="00574D4F"/>
    <w:rsid w:val="005754D2"/>
    <w:rsid w:val="00575C4A"/>
    <w:rsid w:val="005762BD"/>
    <w:rsid w:val="00576557"/>
    <w:rsid w:val="00576815"/>
    <w:rsid w:val="005770BA"/>
    <w:rsid w:val="00577AB5"/>
    <w:rsid w:val="0058055B"/>
    <w:rsid w:val="005810EA"/>
    <w:rsid w:val="00581E91"/>
    <w:rsid w:val="00582155"/>
    <w:rsid w:val="005823CA"/>
    <w:rsid w:val="00582528"/>
    <w:rsid w:val="00582566"/>
    <w:rsid w:val="00582AC4"/>
    <w:rsid w:val="00582C22"/>
    <w:rsid w:val="0058348B"/>
    <w:rsid w:val="005838DD"/>
    <w:rsid w:val="005846DE"/>
    <w:rsid w:val="005847B9"/>
    <w:rsid w:val="00584998"/>
    <w:rsid w:val="00584D95"/>
    <w:rsid w:val="00585B0F"/>
    <w:rsid w:val="005870AF"/>
    <w:rsid w:val="0059070D"/>
    <w:rsid w:val="00590781"/>
    <w:rsid w:val="00591522"/>
    <w:rsid w:val="00591646"/>
    <w:rsid w:val="005922DA"/>
    <w:rsid w:val="00593730"/>
    <w:rsid w:val="0059416B"/>
    <w:rsid w:val="005941DA"/>
    <w:rsid w:val="0059448F"/>
    <w:rsid w:val="00594C14"/>
    <w:rsid w:val="00595EA6"/>
    <w:rsid w:val="005968D2"/>
    <w:rsid w:val="005970B9"/>
    <w:rsid w:val="005970D5"/>
    <w:rsid w:val="00597D23"/>
    <w:rsid w:val="005A0A1E"/>
    <w:rsid w:val="005A1DB8"/>
    <w:rsid w:val="005A1F45"/>
    <w:rsid w:val="005A2D5E"/>
    <w:rsid w:val="005A3060"/>
    <w:rsid w:val="005A4987"/>
    <w:rsid w:val="005A4E49"/>
    <w:rsid w:val="005A4FCC"/>
    <w:rsid w:val="005A5073"/>
    <w:rsid w:val="005A5523"/>
    <w:rsid w:val="005A5A49"/>
    <w:rsid w:val="005A6077"/>
    <w:rsid w:val="005A60FB"/>
    <w:rsid w:val="005A61B6"/>
    <w:rsid w:val="005A7570"/>
    <w:rsid w:val="005A7DFC"/>
    <w:rsid w:val="005B04D8"/>
    <w:rsid w:val="005B0CFA"/>
    <w:rsid w:val="005B2245"/>
    <w:rsid w:val="005B225E"/>
    <w:rsid w:val="005B37DF"/>
    <w:rsid w:val="005B3DC6"/>
    <w:rsid w:val="005B4258"/>
    <w:rsid w:val="005B4550"/>
    <w:rsid w:val="005B4ED1"/>
    <w:rsid w:val="005B57DA"/>
    <w:rsid w:val="005B590B"/>
    <w:rsid w:val="005B665B"/>
    <w:rsid w:val="005B6AA0"/>
    <w:rsid w:val="005B73A3"/>
    <w:rsid w:val="005C085F"/>
    <w:rsid w:val="005C2849"/>
    <w:rsid w:val="005C3754"/>
    <w:rsid w:val="005C3964"/>
    <w:rsid w:val="005C4A50"/>
    <w:rsid w:val="005D0CA3"/>
    <w:rsid w:val="005D1438"/>
    <w:rsid w:val="005D1B0D"/>
    <w:rsid w:val="005D1C2E"/>
    <w:rsid w:val="005D1C67"/>
    <w:rsid w:val="005D216D"/>
    <w:rsid w:val="005D2B83"/>
    <w:rsid w:val="005D302A"/>
    <w:rsid w:val="005D3A08"/>
    <w:rsid w:val="005D3F9D"/>
    <w:rsid w:val="005D4846"/>
    <w:rsid w:val="005D4A5A"/>
    <w:rsid w:val="005D5192"/>
    <w:rsid w:val="005D574B"/>
    <w:rsid w:val="005D5D77"/>
    <w:rsid w:val="005D5FD5"/>
    <w:rsid w:val="005D64BF"/>
    <w:rsid w:val="005D6D90"/>
    <w:rsid w:val="005D7A4C"/>
    <w:rsid w:val="005E1214"/>
    <w:rsid w:val="005E16B3"/>
    <w:rsid w:val="005E1874"/>
    <w:rsid w:val="005E1C74"/>
    <w:rsid w:val="005E1C98"/>
    <w:rsid w:val="005E2E89"/>
    <w:rsid w:val="005E2F4D"/>
    <w:rsid w:val="005E3C0C"/>
    <w:rsid w:val="005E4144"/>
    <w:rsid w:val="005E4E02"/>
    <w:rsid w:val="005E5117"/>
    <w:rsid w:val="005E5B6C"/>
    <w:rsid w:val="005E6275"/>
    <w:rsid w:val="005E65C4"/>
    <w:rsid w:val="005E705D"/>
    <w:rsid w:val="005E732D"/>
    <w:rsid w:val="005E777A"/>
    <w:rsid w:val="005F14BB"/>
    <w:rsid w:val="005F1CF8"/>
    <w:rsid w:val="005F1FEE"/>
    <w:rsid w:val="005F22CD"/>
    <w:rsid w:val="005F2311"/>
    <w:rsid w:val="005F31E6"/>
    <w:rsid w:val="005F3507"/>
    <w:rsid w:val="005F3997"/>
    <w:rsid w:val="005F442E"/>
    <w:rsid w:val="005F47FF"/>
    <w:rsid w:val="005F48AF"/>
    <w:rsid w:val="005F49B1"/>
    <w:rsid w:val="005F5757"/>
    <w:rsid w:val="005F579C"/>
    <w:rsid w:val="005F5A2E"/>
    <w:rsid w:val="005F6653"/>
    <w:rsid w:val="005F6787"/>
    <w:rsid w:val="005F6CBB"/>
    <w:rsid w:val="005F78F5"/>
    <w:rsid w:val="00600B05"/>
    <w:rsid w:val="00600C83"/>
    <w:rsid w:val="00601396"/>
    <w:rsid w:val="00601A7F"/>
    <w:rsid w:val="00601DB4"/>
    <w:rsid w:val="00601DCE"/>
    <w:rsid w:val="00602E08"/>
    <w:rsid w:val="00603A55"/>
    <w:rsid w:val="00603F4B"/>
    <w:rsid w:val="00604392"/>
    <w:rsid w:val="00604665"/>
    <w:rsid w:val="00604B49"/>
    <w:rsid w:val="00604C72"/>
    <w:rsid w:val="0060595D"/>
    <w:rsid w:val="00606C53"/>
    <w:rsid w:val="00606DF0"/>
    <w:rsid w:val="00610BC0"/>
    <w:rsid w:val="00611842"/>
    <w:rsid w:val="006119D8"/>
    <w:rsid w:val="00611AE5"/>
    <w:rsid w:val="00611CB0"/>
    <w:rsid w:val="00611E0B"/>
    <w:rsid w:val="00612DAE"/>
    <w:rsid w:val="006135D1"/>
    <w:rsid w:val="00613ABE"/>
    <w:rsid w:val="0061470C"/>
    <w:rsid w:val="00614A33"/>
    <w:rsid w:val="0061571F"/>
    <w:rsid w:val="006168EC"/>
    <w:rsid w:val="00616ACA"/>
    <w:rsid w:val="00616DC4"/>
    <w:rsid w:val="00617013"/>
    <w:rsid w:val="006175ED"/>
    <w:rsid w:val="00617872"/>
    <w:rsid w:val="00617A25"/>
    <w:rsid w:val="00617D41"/>
    <w:rsid w:val="006213DF"/>
    <w:rsid w:val="006214B7"/>
    <w:rsid w:val="006219F3"/>
    <w:rsid w:val="00621A59"/>
    <w:rsid w:val="00622923"/>
    <w:rsid w:val="00622D91"/>
    <w:rsid w:val="00623151"/>
    <w:rsid w:val="0062384A"/>
    <w:rsid w:val="006238A8"/>
    <w:rsid w:val="00623D91"/>
    <w:rsid w:val="00623DFB"/>
    <w:rsid w:val="006240DF"/>
    <w:rsid w:val="0062568C"/>
    <w:rsid w:val="00626089"/>
    <w:rsid w:val="006269F0"/>
    <w:rsid w:val="006271BB"/>
    <w:rsid w:val="00627850"/>
    <w:rsid w:val="00630BD1"/>
    <w:rsid w:val="00630E63"/>
    <w:rsid w:val="006315B2"/>
    <w:rsid w:val="00631630"/>
    <w:rsid w:val="00631B43"/>
    <w:rsid w:val="006320FD"/>
    <w:rsid w:val="0063293C"/>
    <w:rsid w:val="00632947"/>
    <w:rsid w:val="00633016"/>
    <w:rsid w:val="0063337C"/>
    <w:rsid w:val="00633508"/>
    <w:rsid w:val="006337AD"/>
    <w:rsid w:val="00633BA7"/>
    <w:rsid w:val="00633C50"/>
    <w:rsid w:val="006343EE"/>
    <w:rsid w:val="006348A0"/>
    <w:rsid w:val="00635B70"/>
    <w:rsid w:val="00635C7C"/>
    <w:rsid w:val="006365D2"/>
    <w:rsid w:val="00636DAE"/>
    <w:rsid w:val="00637062"/>
    <w:rsid w:val="006372A0"/>
    <w:rsid w:val="0063731B"/>
    <w:rsid w:val="00637427"/>
    <w:rsid w:val="00637814"/>
    <w:rsid w:val="00637AA0"/>
    <w:rsid w:val="00637C3C"/>
    <w:rsid w:val="00637E95"/>
    <w:rsid w:val="0064016B"/>
    <w:rsid w:val="00640C73"/>
    <w:rsid w:val="006412AB"/>
    <w:rsid w:val="006416DF"/>
    <w:rsid w:val="00641742"/>
    <w:rsid w:val="00642189"/>
    <w:rsid w:val="00642635"/>
    <w:rsid w:val="006427CA"/>
    <w:rsid w:val="00643135"/>
    <w:rsid w:val="0064377C"/>
    <w:rsid w:val="00643955"/>
    <w:rsid w:val="0064595E"/>
    <w:rsid w:val="00645EE6"/>
    <w:rsid w:val="006465A6"/>
    <w:rsid w:val="0064678B"/>
    <w:rsid w:val="00646D0F"/>
    <w:rsid w:val="00647468"/>
    <w:rsid w:val="00651A2B"/>
    <w:rsid w:val="00651AF4"/>
    <w:rsid w:val="00651B2E"/>
    <w:rsid w:val="00651D2B"/>
    <w:rsid w:val="00651DCA"/>
    <w:rsid w:val="00652309"/>
    <w:rsid w:val="00652C35"/>
    <w:rsid w:val="00652DD9"/>
    <w:rsid w:val="00652FCB"/>
    <w:rsid w:val="00652FF5"/>
    <w:rsid w:val="00653718"/>
    <w:rsid w:val="00653CCB"/>
    <w:rsid w:val="0065420B"/>
    <w:rsid w:val="00655243"/>
    <w:rsid w:val="00655459"/>
    <w:rsid w:val="0065585F"/>
    <w:rsid w:val="00655A79"/>
    <w:rsid w:val="0065641B"/>
    <w:rsid w:val="00656CD6"/>
    <w:rsid w:val="00657140"/>
    <w:rsid w:val="00657363"/>
    <w:rsid w:val="006577F5"/>
    <w:rsid w:val="00660293"/>
    <w:rsid w:val="00660A89"/>
    <w:rsid w:val="00660DE0"/>
    <w:rsid w:val="006611F2"/>
    <w:rsid w:val="0066166A"/>
    <w:rsid w:val="006622E9"/>
    <w:rsid w:val="006630C7"/>
    <w:rsid w:val="00663495"/>
    <w:rsid w:val="006638CA"/>
    <w:rsid w:val="00663B84"/>
    <w:rsid w:val="006643FB"/>
    <w:rsid w:val="006645BA"/>
    <w:rsid w:val="006645BB"/>
    <w:rsid w:val="00664D5F"/>
    <w:rsid w:val="00665520"/>
    <w:rsid w:val="00665944"/>
    <w:rsid w:val="00666458"/>
    <w:rsid w:val="00666B9B"/>
    <w:rsid w:val="00666E32"/>
    <w:rsid w:val="0066773B"/>
    <w:rsid w:val="00667F61"/>
    <w:rsid w:val="00667FFC"/>
    <w:rsid w:val="00671104"/>
    <w:rsid w:val="00671FA1"/>
    <w:rsid w:val="006722B5"/>
    <w:rsid w:val="00672EC4"/>
    <w:rsid w:val="00672F24"/>
    <w:rsid w:val="00673364"/>
    <w:rsid w:val="0067367A"/>
    <w:rsid w:val="00673A11"/>
    <w:rsid w:val="00673EF3"/>
    <w:rsid w:val="00674B22"/>
    <w:rsid w:val="006756DE"/>
    <w:rsid w:val="00675BDA"/>
    <w:rsid w:val="00675CBA"/>
    <w:rsid w:val="00676AB3"/>
    <w:rsid w:val="00677588"/>
    <w:rsid w:val="006777E6"/>
    <w:rsid w:val="006778CB"/>
    <w:rsid w:val="00677E3F"/>
    <w:rsid w:val="006802B1"/>
    <w:rsid w:val="0068036F"/>
    <w:rsid w:val="00680C77"/>
    <w:rsid w:val="0068107D"/>
    <w:rsid w:val="006812C3"/>
    <w:rsid w:val="00681645"/>
    <w:rsid w:val="006816DF"/>
    <w:rsid w:val="00681850"/>
    <w:rsid w:val="00681AAF"/>
    <w:rsid w:val="00681B1F"/>
    <w:rsid w:val="00681D53"/>
    <w:rsid w:val="00681F8A"/>
    <w:rsid w:val="006820C6"/>
    <w:rsid w:val="00682306"/>
    <w:rsid w:val="006824AA"/>
    <w:rsid w:val="0068260C"/>
    <w:rsid w:val="00682D60"/>
    <w:rsid w:val="00684428"/>
    <w:rsid w:val="006847E3"/>
    <w:rsid w:val="0068532F"/>
    <w:rsid w:val="00685AFB"/>
    <w:rsid w:val="00686916"/>
    <w:rsid w:val="006872AB"/>
    <w:rsid w:val="00690609"/>
    <w:rsid w:val="00690AAE"/>
    <w:rsid w:val="006910B0"/>
    <w:rsid w:val="00691C68"/>
    <w:rsid w:val="00692468"/>
    <w:rsid w:val="00693104"/>
    <w:rsid w:val="006939D3"/>
    <w:rsid w:val="00693C95"/>
    <w:rsid w:val="00693DB2"/>
    <w:rsid w:val="0069448E"/>
    <w:rsid w:val="006954C4"/>
    <w:rsid w:val="00695B8C"/>
    <w:rsid w:val="00695F7B"/>
    <w:rsid w:val="00696F69"/>
    <w:rsid w:val="006A024C"/>
    <w:rsid w:val="006A0AB9"/>
    <w:rsid w:val="006A1099"/>
    <w:rsid w:val="006A1424"/>
    <w:rsid w:val="006A16C0"/>
    <w:rsid w:val="006A19DF"/>
    <w:rsid w:val="006A2426"/>
    <w:rsid w:val="006A2B49"/>
    <w:rsid w:val="006A3106"/>
    <w:rsid w:val="006A3113"/>
    <w:rsid w:val="006A358A"/>
    <w:rsid w:val="006A41CE"/>
    <w:rsid w:val="006A5405"/>
    <w:rsid w:val="006A584E"/>
    <w:rsid w:val="006A58E8"/>
    <w:rsid w:val="006A5B65"/>
    <w:rsid w:val="006A6290"/>
    <w:rsid w:val="006A6458"/>
    <w:rsid w:val="006A65D1"/>
    <w:rsid w:val="006A6C14"/>
    <w:rsid w:val="006A6C6A"/>
    <w:rsid w:val="006A7207"/>
    <w:rsid w:val="006A77CC"/>
    <w:rsid w:val="006A78BA"/>
    <w:rsid w:val="006A7AF1"/>
    <w:rsid w:val="006B04D1"/>
    <w:rsid w:val="006B064E"/>
    <w:rsid w:val="006B099B"/>
    <w:rsid w:val="006B0D27"/>
    <w:rsid w:val="006B1B08"/>
    <w:rsid w:val="006B1C50"/>
    <w:rsid w:val="006B27ED"/>
    <w:rsid w:val="006B2B37"/>
    <w:rsid w:val="006B2CBA"/>
    <w:rsid w:val="006B314C"/>
    <w:rsid w:val="006B3601"/>
    <w:rsid w:val="006B3F33"/>
    <w:rsid w:val="006B419F"/>
    <w:rsid w:val="006B4C70"/>
    <w:rsid w:val="006B4CDB"/>
    <w:rsid w:val="006B4EBA"/>
    <w:rsid w:val="006B5638"/>
    <w:rsid w:val="006B58B2"/>
    <w:rsid w:val="006B5E09"/>
    <w:rsid w:val="006B6D68"/>
    <w:rsid w:val="006B73D8"/>
    <w:rsid w:val="006B73FE"/>
    <w:rsid w:val="006B7475"/>
    <w:rsid w:val="006B78B0"/>
    <w:rsid w:val="006C016C"/>
    <w:rsid w:val="006C0ABD"/>
    <w:rsid w:val="006C0C4D"/>
    <w:rsid w:val="006C2729"/>
    <w:rsid w:val="006C3085"/>
    <w:rsid w:val="006C369D"/>
    <w:rsid w:val="006C38C1"/>
    <w:rsid w:val="006C41FB"/>
    <w:rsid w:val="006C4B4F"/>
    <w:rsid w:val="006C522B"/>
    <w:rsid w:val="006C5680"/>
    <w:rsid w:val="006C589A"/>
    <w:rsid w:val="006C788E"/>
    <w:rsid w:val="006D0443"/>
    <w:rsid w:val="006D04CD"/>
    <w:rsid w:val="006D0985"/>
    <w:rsid w:val="006D0F5E"/>
    <w:rsid w:val="006D1B21"/>
    <w:rsid w:val="006D37E7"/>
    <w:rsid w:val="006D4291"/>
    <w:rsid w:val="006D4B3D"/>
    <w:rsid w:val="006D4C69"/>
    <w:rsid w:val="006D52C7"/>
    <w:rsid w:val="006D7C50"/>
    <w:rsid w:val="006D7D0E"/>
    <w:rsid w:val="006E009C"/>
    <w:rsid w:val="006E0E7E"/>
    <w:rsid w:val="006E0EAA"/>
    <w:rsid w:val="006E18CC"/>
    <w:rsid w:val="006E1C4D"/>
    <w:rsid w:val="006E1F6D"/>
    <w:rsid w:val="006E2155"/>
    <w:rsid w:val="006E21CA"/>
    <w:rsid w:val="006E24C0"/>
    <w:rsid w:val="006E25D2"/>
    <w:rsid w:val="006E2F1E"/>
    <w:rsid w:val="006E3280"/>
    <w:rsid w:val="006E3367"/>
    <w:rsid w:val="006E3FB4"/>
    <w:rsid w:val="006E4265"/>
    <w:rsid w:val="006E4720"/>
    <w:rsid w:val="006E4C07"/>
    <w:rsid w:val="006E5424"/>
    <w:rsid w:val="006E55F3"/>
    <w:rsid w:val="006E5944"/>
    <w:rsid w:val="006E5A5D"/>
    <w:rsid w:val="006E5AD2"/>
    <w:rsid w:val="006E61D8"/>
    <w:rsid w:val="006E6214"/>
    <w:rsid w:val="006E660E"/>
    <w:rsid w:val="006E6A6C"/>
    <w:rsid w:val="006E6D3A"/>
    <w:rsid w:val="006E6EAD"/>
    <w:rsid w:val="006E7172"/>
    <w:rsid w:val="006E7413"/>
    <w:rsid w:val="006E790D"/>
    <w:rsid w:val="006F0B14"/>
    <w:rsid w:val="006F0BD3"/>
    <w:rsid w:val="006F0BDA"/>
    <w:rsid w:val="006F19F4"/>
    <w:rsid w:val="006F1FA8"/>
    <w:rsid w:val="006F2147"/>
    <w:rsid w:val="006F2340"/>
    <w:rsid w:val="006F28FA"/>
    <w:rsid w:val="006F2DCF"/>
    <w:rsid w:val="006F433F"/>
    <w:rsid w:val="006F49D5"/>
    <w:rsid w:val="006F4E40"/>
    <w:rsid w:val="006F51F4"/>
    <w:rsid w:val="006F5407"/>
    <w:rsid w:val="006F57B3"/>
    <w:rsid w:val="006F647A"/>
    <w:rsid w:val="006F6F94"/>
    <w:rsid w:val="006F72A2"/>
    <w:rsid w:val="006F7B3A"/>
    <w:rsid w:val="006F7B9E"/>
    <w:rsid w:val="006F7BE9"/>
    <w:rsid w:val="00700476"/>
    <w:rsid w:val="0070054E"/>
    <w:rsid w:val="0070090D"/>
    <w:rsid w:val="0070130F"/>
    <w:rsid w:val="00701784"/>
    <w:rsid w:val="00701B53"/>
    <w:rsid w:val="00701E7A"/>
    <w:rsid w:val="0070278D"/>
    <w:rsid w:val="00702D1D"/>
    <w:rsid w:val="00702D48"/>
    <w:rsid w:val="00702EDA"/>
    <w:rsid w:val="007039B9"/>
    <w:rsid w:val="00703C10"/>
    <w:rsid w:val="007042DD"/>
    <w:rsid w:val="00704CF6"/>
    <w:rsid w:val="00705153"/>
    <w:rsid w:val="00705B6D"/>
    <w:rsid w:val="00706330"/>
    <w:rsid w:val="007064D5"/>
    <w:rsid w:val="00706D68"/>
    <w:rsid w:val="007072FF"/>
    <w:rsid w:val="0070733B"/>
    <w:rsid w:val="007079D9"/>
    <w:rsid w:val="00710D11"/>
    <w:rsid w:val="00711064"/>
    <w:rsid w:val="00711248"/>
    <w:rsid w:val="00711721"/>
    <w:rsid w:val="00713BD1"/>
    <w:rsid w:val="0071432B"/>
    <w:rsid w:val="0071432F"/>
    <w:rsid w:val="0071455C"/>
    <w:rsid w:val="00715B1F"/>
    <w:rsid w:val="00715DF8"/>
    <w:rsid w:val="0071692E"/>
    <w:rsid w:val="00716E43"/>
    <w:rsid w:val="00717118"/>
    <w:rsid w:val="007174C5"/>
    <w:rsid w:val="00717702"/>
    <w:rsid w:val="007204E3"/>
    <w:rsid w:val="00720912"/>
    <w:rsid w:val="00720CA7"/>
    <w:rsid w:val="00720FF1"/>
    <w:rsid w:val="00721622"/>
    <w:rsid w:val="00721899"/>
    <w:rsid w:val="0072203E"/>
    <w:rsid w:val="00722084"/>
    <w:rsid w:val="007220B1"/>
    <w:rsid w:val="00722313"/>
    <w:rsid w:val="00722381"/>
    <w:rsid w:val="0072277F"/>
    <w:rsid w:val="00722879"/>
    <w:rsid w:val="0072388B"/>
    <w:rsid w:val="00723E63"/>
    <w:rsid w:val="007246B9"/>
    <w:rsid w:val="0072594A"/>
    <w:rsid w:val="00725AD2"/>
    <w:rsid w:val="007266E3"/>
    <w:rsid w:val="007275BF"/>
    <w:rsid w:val="007276DA"/>
    <w:rsid w:val="007279F4"/>
    <w:rsid w:val="007305A2"/>
    <w:rsid w:val="007305B5"/>
    <w:rsid w:val="007307CA"/>
    <w:rsid w:val="007308F6"/>
    <w:rsid w:val="007309F8"/>
    <w:rsid w:val="00731239"/>
    <w:rsid w:val="0073182F"/>
    <w:rsid w:val="00731950"/>
    <w:rsid w:val="00731BDA"/>
    <w:rsid w:val="00731FC2"/>
    <w:rsid w:val="007320E8"/>
    <w:rsid w:val="007323B4"/>
    <w:rsid w:val="007335C2"/>
    <w:rsid w:val="00733D8F"/>
    <w:rsid w:val="00734404"/>
    <w:rsid w:val="00734F4D"/>
    <w:rsid w:val="00734F85"/>
    <w:rsid w:val="00735B1A"/>
    <w:rsid w:val="00735FFB"/>
    <w:rsid w:val="00736228"/>
    <w:rsid w:val="00736A6B"/>
    <w:rsid w:val="00736E8B"/>
    <w:rsid w:val="00736EF8"/>
    <w:rsid w:val="00737282"/>
    <w:rsid w:val="00740F16"/>
    <w:rsid w:val="00741CCA"/>
    <w:rsid w:val="00741E19"/>
    <w:rsid w:val="00741FCF"/>
    <w:rsid w:val="00742059"/>
    <w:rsid w:val="007421A3"/>
    <w:rsid w:val="007429DC"/>
    <w:rsid w:val="00742D15"/>
    <w:rsid w:val="007434AE"/>
    <w:rsid w:val="007436C0"/>
    <w:rsid w:val="00743BE6"/>
    <w:rsid w:val="00743C64"/>
    <w:rsid w:val="00744858"/>
    <w:rsid w:val="00744D4B"/>
    <w:rsid w:val="00745BDF"/>
    <w:rsid w:val="0074608D"/>
    <w:rsid w:val="00746672"/>
    <w:rsid w:val="00746A51"/>
    <w:rsid w:val="00746E8A"/>
    <w:rsid w:val="0074709C"/>
    <w:rsid w:val="007503BD"/>
    <w:rsid w:val="0075146B"/>
    <w:rsid w:val="00751ACB"/>
    <w:rsid w:val="007520C6"/>
    <w:rsid w:val="007521C6"/>
    <w:rsid w:val="007525EF"/>
    <w:rsid w:val="00752D17"/>
    <w:rsid w:val="0075318A"/>
    <w:rsid w:val="00754ADE"/>
    <w:rsid w:val="0075568A"/>
    <w:rsid w:val="00755A52"/>
    <w:rsid w:val="00755C9D"/>
    <w:rsid w:val="00756989"/>
    <w:rsid w:val="00756EB7"/>
    <w:rsid w:val="00757167"/>
    <w:rsid w:val="007572D5"/>
    <w:rsid w:val="00757A05"/>
    <w:rsid w:val="00757C6B"/>
    <w:rsid w:val="00760977"/>
    <w:rsid w:val="007615A5"/>
    <w:rsid w:val="00761FBB"/>
    <w:rsid w:val="0076211A"/>
    <w:rsid w:val="0076231E"/>
    <w:rsid w:val="00762A4B"/>
    <w:rsid w:val="00762F31"/>
    <w:rsid w:val="00762FB7"/>
    <w:rsid w:val="0076321C"/>
    <w:rsid w:val="007636C0"/>
    <w:rsid w:val="00763E72"/>
    <w:rsid w:val="00764139"/>
    <w:rsid w:val="0076454C"/>
    <w:rsid w:val="00764DC2"/>
    <w:rsid w:val="0076688A"/>
    <w:rsid w:val="00766B98"/>
    <w:rsid w:val="00767249"/>
    <w:rsid w:val="0076737B"/>
    <w:rsid w:val="00767F1B"/>
    <w:rsid w:val="00767FA4"/>
    <w:rsid w:val="007710D7"/>
    <w:rsid w:val="00771EEE"/>
    <w:rsid w:val="00772253"/>
    <w:rsid w:val="007722B2"/>
    <w:rsid w:val="007724E5"/>
    <w:rsid w:val="00772D48"/>
    <w:rsid w:val="00772DEA"/>
    <w:rsid w:val="00773A60"/>
    <w:rsid w:val="00773C7E"/>
    <w:rsid w:val="00773CDD"/>
    <w:rsid w:val="007744CE"/>
    <w:rsid w:val="007745AE"/>
    <w:rsid w:val="00774A63"/>
    <w:rsid w:val="00774BDD"/>
    <w:rsid w:val="007751FA"/>
    <w:rsid w:val="007757B6"/>
    <w:rsid w:val="0077621C"/>
    <w:rsid w:val="00776278"/>
    <w:rsid w:val="0077697B"/>
    <w:rsid w:val="007772EB"/>
    <w:rsid w:val="00777B60"/>
    <w:rsid w:val="00777E75"/>
    <w:rsid w:val="00781A30"/>
    <w:rsid w:val="00781F98"/>
    <w:rsid w:val="00782131"/>
    <w:rsid w:val="007823E6"/>
    <w:rsid w:val="00782CEC"/>
    <w:rsid w:val="00783319"/>
    <w:rsid w:val="0078484B"/>
    <w:rsid w:val="007848CA"/>
    <w:rsid w:val="00784B07"/>
    <w:rsid w:val="00784F67"/>
    <w:rsid w:val="00785781"/>
    <w:rsid w:val="007858F5"/>
    <w:rsid w:val="00785C05"/>
    <w:rsid w:val="00785CE2"/>
    <w:rsid w:val="00786278"/>
    <w:rsid w:val="0078678C"/>
    <w:rsid w:val="00786DA1"/>
    <w:rsid w:val="0078764A"/>
    <w:rsid w:val="00790270"/>
    <w:rsid w:val="0079085A"/>
    <w:rsid w:val="00790C96"/>
    <w:rsid w:val="00791243"/>
    <w:rsid w:val="0079168C"/>
    <w:rsid w:val="00792205"/>
    <w:rsid w:val="0079236E"/>
    <w:rsid w:val="00792987"/>
    <w:rsid w:val="00792BCE"/>
    <w:rsid w:val="00793AC6"/>
    <w:rsid w:val="007944AC"/>
    <w:rsid w:val="00794B54"/>
    <w:rsid w:val="00794E0E"/>
    <w:rsid w:val="0079630C"/>
    <w:rsid w:val="00796D61"/>
    <w:rsid w:val="00797F7E"/>
    <w:rsid w:val="007A01BA"/>
    <w:rsid w:val="007A05F6"/>
    <w:rsid w:val="007A0A43"/>
    <w:rsid w:val="007A0C65"/>
    <w:rsid w:val="007A0D7E"/>
    <w:rsid w:val="007A13B1"/>
    <w:rsid w:val="007A19E6"/>
    <w:rsid w:val="007A28B9"/>
    <w:rsid w:val="007A2CFB"/>
    <w:rsid w:val="007A2E1E"/>
    <w:rsid w:val="007A316E"/>
    <w:rsid w:val="007A3B3A"/>
    <w:rsid w:val="007A3B5C"/>
    <w:rsid w:val="007A40FA"/>
    <w:rsid w:val="007A4DAC"/>
    <w:rsid w:val="007A5D87"/>
    <w:rsid w:val="007A5DEB"/>
    <w:rsid w:val="007A608B"/>
    <w:rsid w:val="007A660B"/>
    <w:rsid w:val="007A7663"/>
    <w:rsid w:val="007B0280"/>
    <w:rsid w:val="007B077C"/>
    <w:rsid w:val="007B0E92"/>
    <w:rsid w:val="007B15FA"/>
    <w:rsid w:val="007B1776"/>
    <w:rsid w:val="007B1EBE"/>
    <w:rsid w:val="007B237D"/>
    <w:rsid w:val="007B28DB"/>
    <w:rsid w:val="007B2EAB"/>
    <w:rsid w:val="007B3A95"/>
    <w:rsid w:val="007B3ED5"/>
    <w:rsid w:val="007B3FF6"/>
    <w:rsid w:val="007B4025"/>
    <w:rsid w:val="007B5919"/>
    <w:rsid w:val="007B730B"/>
    <w:rsid w:val="007B74BB"/>
    <w:rsid w:val="007B7694"/>
    <w:rsid w:val="007B7742"/>
    <w:rsid w:val="007B7D13"/>
    <w:rsid w:val="007B7F97"/>
    <w:rsid w:val="007C085E"/>
    <w:rsid w:val="007C0B43"/>
    <w:rsid w:val="007C0B6E"/>
    <w:rsid w:val="007C1348"/>
    <w:rsid w:val="007C2B00"/>
    <w:rsid w:val="007C3E4E"/>
    <w:rsid w:val="007C3F12"/>
    <w:rsid w:val="007C3F71"/>
    <w:rsid w:val="007C41CC"/>
    <w:rsid w:val="007C4B11"/>
    <w:rsid w:val="007C4BCA"/>
    <w:rsid w:val="007C5578"/>
    <w:rsid w:val="007C6144"/>
    <w:rsid w:val="007C67AB"/>
    <w:rsid w:val="007C6AE9"/>
    <w:rsid w:val="007C6B4E"/>
    <w:rsid w:val="007C7616"/>
    <w:rsid w:val="007C7873"/>
    <w:rsid w:val="007C7971"/>
    <w:rsid w:val="007C7C08"/>
    <w:rsid w:val="007C7EDF"/>
    <w:rsid w:val="007D0435"/>
    <w:rsid w:val="007D0F82"/>
    <w:rsid w:val="007D1C68"/>
    <w:rsid w:val="007D24E3"/>
    <w:rsid w:val="007D3594"/>
    <w:rsid w:val="007D3EA6"/>
    <w:rsid w:val="007D49A7"/>
    <w:rsid w:val="007D4F05"/>
    <w:rsid w:val="007D4FBB"/>
    <w:rsid w:val="007D51D1"/>
    <w:rsid w:val="007D5315"/>
    <w:rsid w:val="007D59C8"/>
    <w:rsid w:val="007D64C8"/>
    <w:rsid w:val="007D650F"/>
    <w:rsid w:val="007D6F56"/>
    <w:rsid w:val="007D79AA"/>
    <w:rsid w:val="007D7C40"/>
    <w:rsid w:val="007E0618"/>
    <w:rsid w:val="007E09E3"/>
    <w:rsid w:val="007E133D"/>
    <w:rsid w:val="007E1A2B"/>
    <w:rsid w:val="007E2078"/>
    <w:rsid w:val="007E28E4"/>
    <w:rsid w:val="007E31AB"/>
    <w:rsid w:val="007E3858"/>
    <w:rsid w:val="007E3B5C"/>
    <w:rsid w:val="007E4629"/>
    <w:rsid w:val="007E5637"/>
    <w:rsid w:val="007E58B1"/>
    <w:rsid w:val="007E71B1"/>
    <w:rsid w:val="007E7CC1"/>
    <w:rsid w:val="007E7EA9"/>
    <w:rsid w:val="007F0A44"/>
    <w:rsid w:val="007F0D36"/>
    <w:rsid w:val="007F1286"/>
    <w:rsid w:val="007F1C8F"/>
    <w:rsid w:val="007F2853"/>
    <w:rsid w:val="007F4044"/>
    <w:rsid w:val="007F4131"/>
    <w:rsid w:val="007F5939"/>
    <w:rsid w:val="007F5C06"/>
    <w:rsid w:val="007F71E2"/>
    <w:rsid w:val="007F766E"/>
    <w:rsid w:val="007F7C02"/>
    <w:rsid w:val="007F7F5E"/>
    <w:rsid w:val="007F7FB7"/>
    <w:rsid w:val="00802527"/>
    <w:rsid w:val="0080252F"/>
    <w:rsid w:val="00802ACC"/>
    <w:rsid w:val="00802EE7"/>
    <w:rsid w:val="008035FB"/>
    <w:rsid w:val="00803B8E"/>
    <w:rsid w:val="00803C64"/>
    <w:rsid w:val="00805D9B"/>
    <w:rsid w:val="00806309"/>
    <w:rsid w:val="00806705"/>
    <w:rsid w:val="00806810"/>
    <w:rsid w:val="00806ABE"/>
    <w:rsid w:val="008070F7"/>
    <w:rsid w:val="0080776F"/>
    <w:rsid w:val="00807D5C"/>
    <w:rsid w:val="00807DA7"/>
    <w:rsid w:val="00807F4E"/>
    <w:rsid w:val="00807F85"/>
    <w:rsid w:val="00810BE9"/>
    <w:rsid w:val="00812110"/>
    <w:rsid w:val="008129F1"/>
    <w:rsid w:val="00814DA1"/>
    <w:rsid w:val="00814F0F"/>
    <w:rsid w:val="008150BA"/>
    <w:rsid w:val="00816309"/>
    <w:rsid w:val="008164A6"/>
    <w:rsid w:val="008167A3"/>
    <w:rsid w:val="00816DC7"/>
    <w:rsid w:val="0081791D"/>
    <w:rsid w:val="008204EC"/>
    <w:rsid w:val="00820A7D"/>
    <w:rsid w:val="00820CCA"/>
    <w:rsid w:val="00820D8A"/>
    <w:rsid w:val="00821114"/>
    <w:rsid w:val="00821417"/>
    <w:rsid w:val="00821C19"/>
    <w:rsid w:val="00822B40"/>
    <w:rsid w:val="0082300F"/>
    <w:rsid w:val="00823231"/>
    <w:rsid w:val="008234CB"/>
    <w:rsid w:val="008236A5"/>
    <w:rsid w:val="008238A5"/>
    <w:rsid w:val="00823A4B"/>
    <w:rsid w:val="008240C1"/>
    <w:rsid w:val="0082470C"/>
    <w:rsid w:val="00824BBE"/>
    <w:rsid w:val="00824E51"/>
    <w:rsid w:val="00825105"/>
    <w:rsid w:val="00825B2A"/>
    <w:rsid w:val="00825EC3"/>
    <w:rsid w:val="00826B7B"/>
    <w:rsid w:val="00826D36"/>
    <w:rsid w:val="008270CC"/>
    <w:rsid w:val="008273C4"/>
    <w:rsid w:val="00830372"/>
    <w:rsid w:val="00831BF5"/>
    <w:rsid w:val="0083243E"/>
    <w:rsid w:val="0083246F"/>
    <w:rsid w:val="008327AF"/>
    <w:rsid w:val="00833606"/>
    <w:rsid w:val="00834335"/>
    <w:rsid w:val="00834C48"/>
    <w:rsid w:val="00834FD5"/>
    <w:rsid w:val="00835031"/>
    <w:rsid w:val="00835BBC"/>
    <w:rsid w:val="0083637A"/>
    <w:rsid w:val="00836386"/>
    <w:rsid w:val="00836713"/>
    <w:rsid w:val="00836A73"/>
    <w:rsid w:val="00836C1D"/>
    <w:rsid w:val="00836DE2"/>
    <w:rsid w:val="00836E25"/>
    <w:rsid w:val="00837270"/>
    <w:rsid w:val="00840B84"/>
    <w:rsid w:val="008410E3"/>
    <w:rsid w:val="0084120D"/>
    <w:rsid w:val="008413D4"/>
    <w:rsid w:val="00841BE2"/>
    <w:rsid w:val="00841F12"/>
    <w:rsid w:val="00842207"/>
    <w:rsid w:val="00842751"/>
    <w:rsid w:val="008428F4"/>
    <w:rsid w:val="0084295A"/>
    <w:rsid w:val="008431BE"/>
    <w:rsid w:val="008432FD"/>
    <w:rsid w:val="008438B0"/>
    <w:rsid w:val="008438EE"/>
    <w:rsid w:val="00844ABA"/>
    <w:rsid w:val="00844B6C"/>
    <w:rsid w:val="00844F46"/>
    <w:rsid w:val="008456D6"/>
    <w:rsid w:val="0084591D"/>
    <w:rsid w:val="00845E59"/>
    <w:rsid w:val="0084637E"/>
    <w:rsid w:val="008463FA"/>
    <w:rsid w:val="008467F4"/>
    <w:rsid w:val="008470C8"/>
    <w:rsid w:val="00847355"/>
    <w:rsid w:val="0084779E"/>
    <w:rsid w:val="00847FBF"/>
    <w:rsid w:val="00850819"/>
    <w:rsid w:val="00851697"/>
    <w:rsid w:val="008519AA"/>
    <w:rsid w:val="00851F02"/>
    <w:rsid w:val="0085357C"/>
    <w:rsid w:val="00853AC2"/>
    <w:rsid w:val="00853FD7"/>
    <w:rsid w:val="00854262"/>
    <w:rsid w:val="0085502E"/>
    <w:rsid w:val="008554CD"/>
    <w:rsid w:val="00856615"/>
    <w:rsid w:val="0085677D"/>
    <w:rsid w:val="00857730"/>
    <w:rsid w:val="00857943"/>
    <w:rsid w:val="00860547"/>
    <w:rsid w:val="00860878"/>
    <w:rsid w:val="00860AA7"/>
    <w:rsid w:val="00860D4A"/>
    <w:rsid w:val="00860D77"/>
    <w:rsid w:val="008628BD"/>
    <w:rsid w:val="00862D22"/>
    <w:rsid w:val="008630B0"/>
    <w:rsid w:val="008633AF"/>
    <w:rsid w:val="00863A14"/>
    <w:rsid w:val="008649D4"/>
    <w:rsid w:val="00864A50"/>
    <w:rsid w:val="0086560B"/>
    <w:rsid w:val="00865824"/>
    <w:rsid w:val="00865965"/>
    <w:rsid w:val="008660AC"/>
    <w:rsid w:val="0086663E"/>
    <w:rsid w:val="00866717"/>
    <w:rsid w:val="00866E6D"/>
    <w:rsid w:val="00866F59"/>
    <w:rsid w:val="00867433"/>
    <w:rsid w:val="008676C5"/>
    <w:rsid w:val="00867827"/>
    <w:rsid w:val="00867839"/>
    <w:rsid w:val="008679A1"/>
    <w:rsid w:val="0087220E"/>
    <w:rsid w:val="00872A01"/>
    <w:rsid w:val="0087308B"/>
    <w:rsid w:val="0087322A"/>
    <w:rsid w:val="00873371"/>
    <w:rsid w:val="00873403"/>
    <w:rsid w:val="008741E6"/>
    <w:rsid w:val="0087467F"/>
    <w:rsid w:val="00874781"/>
    <w:rsid w:val="008747DC"/>
    <w:rsid w:val="00875048"/>
    <w:rsid w:val="0087531C"/>
    <w:rsid w:val="008767DD"/>
    <w:rsid w:val="0087718F"/>
    <w:rsid w:val="008773EA"/>
    <w:rsid w:val="008774DB"/>
    <w:rsid w:val="00877603"/>
    <w:rsid w:val="00877F65"/>
    <w:rsid w:val="00880132"/>
    <w:rsid w:val="008812F1"/>
    <w:rsid w:val="00881B4A"/>
    <w:rsid w:val="00882B8B"/>
    <w:rsid w:val="00883195"/>
    <w:rsid w:val="00883280"/>
    <w:rsid w:val="0088355E"/>
    <w:rsid w:val="008835A7"/>
    <w:rsid w:val="008842FF"/>
    <w:rsid w:val="00884307"/>
    <w:rsid w:val="008845FA"/>
    <w:rsid w:val="00884800"/>
    <w:rsid w:val="00884FB7"/>
    <w:rsid w:val="008866AF"/>
    <w:rsid w:val="0088766B"/>
    <w:rsid w:val="00890566"/>
    <w:rsid w:val="008907D7"/>
    <w:rsid w:val="0089180C"/>
    <w:rsid w:val="00891D59"/>
    <w:rsid w:val="00891F06"/>
    <w:rsid w:val="00892229"/>
    <w:rsid w:val="00892319"/>
    <w:rsid w:val="0089254D"/>
    <w:rsid w:val="00892A1B"/>
    <w:rsid w:val="00892A31"/>
    <w:rsid w:val="00892D81"/>
    <w:rsid w:val="00893CF0"/>
    <w:rsid w:val="00894119"/>
    <w:rsid w:val="00894678"/>
    <w:rsid w:val="00894A4E"/>
    <w:rsid w:val="00894C27"/>
    <w:rsid w:val="00895157"/>
    <w:rsid w:val="00895795"/>
    <w:rsid w:val="00896207"/>
    <w:rsid w:val="00896927"/>
    <w:rsid w:val="008979B0"/>
    <w:rsid w:val="008A06EC"/>
    <w:rsid w:val="008A1000"/>
    <w:rsid w:val="008A1129"/>
    <w:rsid w:val="008A1F66"/>
    <w:rsid w:val="008A22E9"/>
    <w:rsid w:val="008A2542"/>
    <w:rsid w:val="008A2B07"/>
    <w:rsid w:val="008A36C8"/>
    <w:rsid w:val="008A381E"/>
    <w:rsid w:val="008A42F7"/>
    <w:rsid w:val="008A4898"/>
    <w:rsid w:val="008A552D"/>
    <w:rsid w:val="008A5886"/>
    <w:rsid w:val="008A59C4"/>
    <w:rsid w:val="008A5EA0"/>
    <w:rsid w:val="008A61E8"/>
    <w:rsid w:val="008A6EB5"/>
    <w:rsid w:val="008A737F"/>
    <w:rsid w:val="008A755B"/>
    <w:rsid w:val="008A779B"/>
    <w:rsid w:val="008B0BC8"/>
    <w:rsid w:val="008B2380"/>
    <w:rsid w:val="008B3A75"/>
    <w:rsid w:val="008B3A8C"/>
    <w:rsid w:val="008B404C"/>
    <w:rsid w:val="008B4CC5"/>
    <w:rsid w:val="008B5100"/>
    <w:rsid w:val="008B5C1A"/>
    <w:rsid w:val="008B6A16"/>
    <w:rsid w:val="008B7520"/>
    <w:rsid w:val="008B7BE4"/>
    <w:rsid w:val="008C0021"/>
    <w:rsid w:val="008C0E6C"/>
    <w:rsid w:val="008C1A76"/>
    <w:rsid w:val="008C1F16"/>
    <w:rsid w:val="008C2922"/>
    <w:rsid w:val="008C2C87"/>
    <w:rsid w:val="008C3091"/>
    <w:rsid w:val="008C367C"/>
    <w:rsid w:val="008C48D5"/>
    <w:rsid w:val="008C4EC8"/>
    <w:rsid w:val="008C4F03"/>
    <w:rsid w:val="008C4F47"/>
    <w:rsid w:val="008C5116"/>
    <w:rsid w:val="008C51A3"/>
    <w:rsid w:val="008C56E7"/>
    <w:rsid w:val="008C591F"/>
    <w:rsid w:val="008C5FAB"/>
    <w:rsid w:val="008C5FEA"/>
    <w:rsid w:val="008C6657"/>
    <w:rsid w:val="008C7184"/>
    <w:rsid w:val="008D05C3"/>
    <w:rsid w:val="008D0F69"/>
    <w:rsid w:val="008D1235"/>
    <w:rsid w:val="008D25B7"/>
    <w:rsid w:val="008D2674"/>
    <w:rsid w:val="008D2C06"/>
    <w:rsid w:val="008D421E"/>
    <w:rsid w:val="008D47AC"/>
    <w:rsid w:val="008D48DB"/>
    <w:rsid w:val="008D4BEE"/>
    <w:rsid w:val="008D628C"/>
    <w:rsid w:val="008D6827"/>
    <w:rsid w:val="008D69D8"/>
    <w:rsid w:val="008D6DEB"/>
    <w:rsid w:val="008D6E51"/>
    <w:rsid w:val="008E0322"/>
    <w:rsid w:val="008E0DFB"/>
    <w:rsid w:val="008E1282"/>
    <w:rsid w:val="008E18C0"/>
    <w:rsid w:val="008E20FB"/>
    <w:rsid w:val="008E28A1"/>
    <w:rsid w:val="008E2BC2"/>
    <w:rsid w:val="008E2D27"/>
    <w:rsid w:val="008E2DE9"/>
    <w:rsid w:val="008E35AD"/>
    <w:rsid w:val="008E4520"/>
    <w:rsid w:val="008E50AA"/>
    <w:rsid w:val="008E5423"/>
    <w:rsid w:val="008E5A4F"/>
    <w:rsid w:val="008E5BC4"/>
    <w:rsid w:val="008E5C3B"/>
    <w:rsid w:val="008E6007"/>
    <w:rsid w:val="008E7249"/>
    <w:rsid w:val="008E7362"/>
    <w:rsid w:val="008E754D"/>
    <w:rsid w:val="008E75FB"/>
    <w:rsid w:val="008F115B"/>
    <w:rsid w:val="008F1AA4"/>
    <w:rsid w:val="008F1F40"/>
    <w:rsid w:val="008F2E79"/>
    <w:rsid w:val="008F43AB"/>
    <w:rsid w:val="008F4857"/>
    <w:rsid w:val="008F4A56"/>
    <w:rsid w:val="008F50AB"/>
    <w:rsid w:val="008F53CC"/>
    <w:rsid w:val="008F6A15"/>
    <w:rsid w:val="008F7165"/>
    <w:rsid w:val="008F76BA"/>
    <w:rsid w:val="008F7715"/>
    <w:rsid w:val="008F7E48"/>
    <w:rsid w:val="00900887"/>
    <w:rsid w:val="00901796"/>
    <w:rsid w:val="00902050"/>
    <w:rsid w:val="0090292B"/>
    <w:rsid w:val="00902D88"/>
    <w:rsid w:val="009031E5"/>
    <w:rsid w:val="00904BFD"/>
    <w:rsid w:val="009050F5"/>
    <w:rsid w:val="00905255"/>
    <w:rsid w:val="009055E3"/>
    <w:rsid w:val="009059E4"/>
    <w:rsid w:val="00905C03"/>
    <w:rsid w:val="009062FE"/>
    <w:rsid w:val="00906CEF"/>
    <w:rsid w:val="00907489"/>
    <w:rsid w:val="009078A8"/>
    <w:rsid w:val="00907ECD"/>
    <w:rsid w:val="009100CC"/>
    <w:rsid w:val="009101A0"/>
    <w:rsid w:val="00910280"/>
    <w:rsid w:val="009105DC"/>
    <w:rsid w:val="00910950"/>
    <w:rsid w:val="00910B70"/>
    <w:rsid w:val="00910E45"/>
    <w:rsid w:val="00912D36"/>
    <w:rsid w:val="00913483"/>
    <w:rsid w:val="00913679"/>
    <w:rsid w:val="00915913"/>
    <w:rsid w:val="009166B0"/>
    <w:rsid w:val="00916761"/>
    <w:rsid w:val="009209BC"/>
    <w:rsid w:val="009214D4"/>
    <w:rsid w:val="009216AD"/>
    <w:rsid w:val="00921BCA"/>
    <w:rsid w:val="009230C9"/>
    <w:rsid w:val="0092425A"/>
    <w:rsid w:val="009245C2"/>
    <w:rsid w:val="009248AD"/>
    <w:rsid w:val="00925793"/>
    <w:rsid w:val="009265AB"/>
    <w:rsid w:val="00926A78"/>
    <w:rsid w:val="00926D2D"/>
    <w:rsid w:val="00926D5B"/>
    <w:rsid w:val="00926E42"/>
    <w:rsid w:val="009277DF"/>
    <w:rsid w:val="00930575"/>
    <w:rsid w:val="009309DD"/>
    <w:rsid w:val="009314D3"/>
    <w:rsid w:val="00931BF1"/>
    <w:rsid w:val="009320D4"/>
    <w:rsid w:val="00932DBE"/>
    <w:rsid w:val="0093345B"/>
    <w:rsid w:val="00933F4E"/>
    <w:rsid w:val="00933F87"/>
    <w:rsid w:val="00934BB5"/>
    <w:rsid w:val="009350B2"/>
    <w:rsid w:val="009350B4"/>
    <w:rsid w:val="0093533A"/>
    <w:rsid w:val="0093565D"/>
    <w:rsid w:val="00936A6E"/>
    <w:rsid w:val="00937373"/>
    <w:rsid w:val="009400CD"/>
    <w:rsid w:val="00940E2B"/>
    <w:rsid w:val="00940E38"/>
    <w:rsid w:val="009411AE"/>
    <w:rsid w:val="00941FA5"/>
    <w:rsid w:val="009422D3"/>
    <w:rsid w:val="00942317"/>
    <w:rsid w:val="0094250C"/>
    <w:rsid w:val="00942707"/>
    <w:rsid w:val="00942F36"/>
    <w:rsid w:val="00943485"/>
    <w:rsid w:val="009436C7"/>
    <w:rsid w:val="00943FB6"/>
    <w:rsid w:val="00944368"/>
    <w:rsid w:val="0094493B"/>
    <w:rsid w:val="0094562B"/>
    <w:rsid w:val="009456FC"/>
    <w:rsid w:val="009457DE"/>
    <w:rsid w:val="009460C8"/>
    <w:rsid w:val="009466B0"/>
    <w:rsid w:val="00946BDF"/>
    <w:rsid w:val="00946E02"/>
    <w:rsid w:val="00946EE1"/>
    <w:rsid w:val="00950466"/>
    <w:rsid w:val="009529B3"/>
    <w:rsid w:val="00952B37"/>
    <w:rsid w:val="00953146"/>
    <w:rsid w:val="009532AD"/>
    <w:rsid w:val="00954243"/>
    <w:rsid w:val="00954736"/>
    <w:rsid w:val="009548B7"/>
    <w:rsid w:val="009550B5"/>
    <w:rsid w:val="00955801"/>
    <w:rsid w:val="00955E4C"/>
    <w:rsid w:val="00956E0E"/>
    <w:rsid w:val="00956E26"/>
    <w:rsid w:val="00957C06"/>
    <w:rsid w:val="009600E2"/>
    <w:rsid w:val="00960254"/>
    <w:rsid w:val="00960A02"/>
    <w:rsid w:val="009613FD"/>
    <w:rsid w:val="00961998"/>
    <w:rsid w:val="00962398"/>
    <w:rsid w:val="009624DD"/>
    <w:rsid w:val="009624E0"/>
    <w:rsid w:val="00962851"/>
    <w:rsid w:val="00962B16"/>
    <w:rsid w:val="0096374D"/>
    <w:rsid w:val="0096383C"/>
    <w:rsid w:val="00963EE0"/>
    <w:rsid w:val="00964057"/>
    <w:rsid w:val="00964642"/>
    <w:rsid w:val="00964D2A"/>
    <w:rsid w:val="00965B86"/>
    <w:rsid w:val="009665BF"/>
    <w:rsid w:val="009667DE"/>
    <w:rsid w:val="009677D7"/>
    <w:rsid w:val="009678B7"/>
    <w:rsid w:val="009706A5"/>
    <w:rsid w:val="009708C2"/>
    <w:rsid w:val="00970BA3"/>
    <w:rsid w:val="00971D35"/>
    <w:rsid w:val="009723A3"/>
    <w:rsid w:val="00972C91"/>
    <w:rsid w:val="00972CA1"/>
    <w:rsid w:val="0097398D"/>
    <w:rsid w:val="0097463E"/>
    <w:rsid w:val="00974834"/>
    <w:rsid w:val="00974B23"/>
    <w:rsid w:val="00974DF5"/>
    <w:rsid w:val="00974E76"/>
    <w:rsid w:val="00974FD2"/>
    <w:rsid w:val="009771BB"/>
    <w:rsid w:val="0097729A"/>
    <w:rsid w:val="00977B98"/>
    <w:rsid w:val="00977D03"/>
    <w:rsid w:val="009804CA"/>
    <w:rsid w:val="00980969"/>
    <w:rsid w:val="00982FE8"/>
    <w:rsid w:val="00983375"/>
    <w:rsid w:val="0098398C"/>
    <w:rsid w:val="00983B99"/>
    <w:rsid w:val="00983CEF"/>
    <w:rsid w:val="009840C4"/>
    <w:rsid w:val="009840CA"/>
    <w:rsid w:val="00984925"/>
    <w:rsid w:val="00984F50"/>
    <w:rsid w:val="00984FB9"/>
    <w:rsid w:val="0098571D"/>
    <w:rsid w:val="009858C9"/>
    <w:rsid w:val="00985A15"/>
    <w:rsid w:val="00986243"/>
    <w:rsid w:val="00986483"/>
    <w:rsid w:val="00986E09"/>
    <w:rsid w:val="00986FE3"/>
    <w:rsid w:val="00987309"/>
    <w:rsid w:val="00987795"/>
    <w:rsid w:val="00990230"/>
    <w:rsid w:val="009902C1"/>
    <w:rsid w:val="00990CFC"/>
    <w:rsid w:val="009910A0"/>
    <w:rsid w:val="00991A54"/>
    <w:rsid w:val="00992230"/>
    <w:rsid w:val="00992509"/>
    <w:rsid w:val="00992560"/>
    <w:rsid w:val="00993278"/>
    <w:rsid w:val="00993E34"/>
    <w:rsid w:val="00993EBE"/>
    <w:rsid w:val="00993F0C"/>
    <w:rsid w:val="00994155"/>
    <w:rsid w:val="00995828"/>
    <w:rsid w:val="00996464"/>
    <w:rsid w:val="009966F8"/>
    <w:rsid w:val="00996732"/>
    <w:rsid w:val="00996887"/>
    <w:rsid w:val="00996989"/>
    <w:rsid w:val="00997AB6"/>
    <w:rsid w:val="00997B21"/>
    <w:rsid w:val="009A0006"/>
    <w:rsid w:val="009A0F8D"/>
    <w:rsid w:val="009A11CA"/>
    <w:rsid w:val="009A1439"/>
    <w:rsid w:val="009A27FD"/>
    <w:rsid w:val="009A2B66"/>
    <w:rsid w:val="009A2B95"/>
    <w:rsid w:val="009A2CF4"/>
    <w:rsid w:val="009A3F14"/>
    <w:rsid w:val="009A5418"/>
    <w:rsid w:val="009A6F43"/>
    <w:rsid w:val="009A756F"/>
    <w:rsid w:val="009A7E3C"/>
    <w:rsid w:val="009B023A"/>
    <w:rsid w:val="009B0CB2"/>
    <w:rsid w:val="009B11EA"/>
    <w:rsid w:val="009B1960"/>
    <w:rsid w:val="009B200D"/>
    <w:rsid w:val="009B3862"/>
    <w:rsid w:val="009B3A85"/>
    <w:rsid w:val="009B49C5"/>
    <w:rsid w:val="009B4F64"/>
    <w:rsid w:val="009B4F93"/>
    <w:rsid w:val="009B61D3"/>
    <w:rsid w:val="009B6313"/>
    <w:rsid w:val="009B63DC"/>
    <w:rsid w:val="009B7380"/>
    <w:rsid w:val="009B74CD"/>
    <w:rsid w:val="009B787A"/>
    <w:rsid w:val="009B7ACB"/>
    <w:rsid w:val="009B7E3A"/>
    <w:rsid w:val="009B7E8F"/>
    <w:rsid w:val="009B7FB9"/>
    <w:rsid w:val="009C205A"/>
    <w:rsid w:val="009C245A"/>
    <w:rsid w:val="009C2AB3"/>
    <w:rsid w:val="009C3C85"/>
    <w:rsid w:val="009C3EF2"/>
    <w:rsid w:val="009C43B0"/>
    <w:rsid w:val="009C4537"/>
    <w:rsid w:val="009C4D8E"/>
    <w:rsid w:val="009C4F4B"/>
    <w:rsid w:val="009C5304"/>
    <w:rsid w:val="009C62F2"/>
    <w:rsid w:val="009C69FF"/>
    <w:rsid w:val="009C6B15"/>
    <w:rsid w:val="009C6BC2"/>
    <w:rsid w:val="009C734C"/>
    <w:rsid w:val="009C74E3"/>
    <w:rsid w:val="009C764E"/>
    <w:rsid w:val="009C76AB"/>
    <w:rsid w:val="009C7B57"/>
    <w:rsid w:val="009D03EE"/>
    <w:rsid w:val="009D06BC"/>
    <w:rsid w:val="009D0958"/>
    <w:rsid w:val="009D2F4F"/>
    <w:rsid w:val="009D2FBC"/>
    <w:rsid w:val="009D3D4A"/>
    <w:rsid w:val="009D4151"/>
    <w:rsid w:val="009D44CA"/>
    <w:rsid w:val="009D4961"/>
    <w:rsid w:val="009D5242"/>
    <w:rsid w:val="009D57E0"/>
    <w:rsid w:val="009D6245"/>
    <w:rsid w:val="009D6384"/>
    <w:rsid w:val="009D658F"/>
    <w:rsid w:val="009D6684"/>
    <w:rsid w:val="009D7543"/>
    <w:rsid w:val="009D7967"/>
    <w:rsid w:val="009D7FD8"/>
    <w:rsid w:val="009E2049"/>
    <w:rsid w:val="009E2D5A"/>
    <w:rsid w:val="009E406B"/>
    <w:rsid w:val="009E49CE"/>
    <w:rsid w:val="009E4A0F"/>
    <w:rsid w:val="009E4B1B"/>
    <w:rsid w:val="009E4BAB"/>
    <w:rsid w:val="009E5602"/>
    <w:rsid w:val="009E56F5"/>
    <w:rsid w:val="009E5B4D"/>
    <w:rsid w:val="009E7959"/>
    <w:rsid w:val="009E7A92"/>
    <w:rsid w:val="009E7BAC"/>
    <w:rsid w:val="009F0760"/>
    <w:rsid w:val="009F07DC"/>
    <w:rsid w:val="009F0CF4"/>
    <w:rsid w:val="009F0EEF"/>
    <w:rsid w:val="009F1076"/>
    <w:rsid w:val="009F1215"/>
    <w:rsid w:val="009F15F6"/>
    <w:rsid w:val="009F1D8F"/>
    <w:rsid w:val="009F205D"/>
    <w:rsid w:val="009F20CC"/>
    <w:rsid w:val="009F26B6"/>
    <w:rsid w:val="009F3DBE"/>
    <w:rsid w:val="009F4319"/>
    <w:rsid w:val="009F49C6"/>
    <w:rsid w:val="009F5CFC"/>
    <w:rsid w:val="009F617C"/>
    <w:rsid w:val="009F67D5"/>
    <w:rsid w:val="009F69AB"/>
    <w:rsid w:val="009F6C7F"/>
    <w:rsid w:val="009F7BC5"/>
    <w:rsid w:val="00A000AE"/>
    <w:rsid w:val="00A01012"/>
    <w:rsid w:val="00A01083"/>
    <w:rsid w:val="00A01626"/>
    <w:rsid w:val="00A01ACE"/>
    <w:rsid w:val="00A01BC2"/>
    <w:rsid w:val="00A026EC"/>
    <w:rsid w:val="00A02875"/>
    <w:rsid w:val="00A03516"/>
    <w:rsid w:val="00A03C0E"/>
    <w:rsid w:val="00A046F9"/>
    <w:rsid w:val="00A04D0D"/>
    <w:rsid w:val="00A0524E"/>
    <w:rsid w:val="00A05FED"/>
    <w:rsid w:val="00A07E06"/>
    <w:rsid w:val="00A1078F"/>
    <w:rsid w:val="00A11130"/>
    <w:rsid w:val="00A1180D"/>
    <w:rsid w:val="00A1242B"/>
    <w:rsid w:val="00A12502"/>
    <w:rsid w:val="00A12BFD"/>
    <w:rsid w:val="00A13B7C"/>
    <w:rsid w:val="00A13F81"/>
    <w:rsid w:val="00A1498E"/>
    <w:rsid w:val="00A14AFF"/>
    <w:rsid w:val="00A15185"/>
    <w:rsid w:val="00A15EB7"/>
    <w:rsid w:val="00A16059"/>
    <w:rsid w:val="00A1732D"/>
    <w:rsid w:val="00A17369"/>
    <w:rsid w:val="00A17CFC"/>
    <w:rsid w:val="00A205C8"/>
    <w:rsid w:val="00A21787"/>
    <w:rsid w:val="00A22236"/>
    <w:rsid w:val="00A22535"/>
    <w:rsid w:val="00A228DC"/>
    <w:rsid w:val="00A229D6"/>
    <w:rsid w:val="00A23E40"/>
    <w:rsid w:val="00A23E41"/>
    <w:rsid w:val="00A242B5"/>
    <w:rsid w:val="00A244E8"/>
    <w:rsid w:val="00A2493F"/>
    <w:rsid w:val="00A24DB9"/>
    <w:rsid w:val="00A2527C"/>
    <w:rsid w:val="00A25531"/>
    <w:rsid w:val="00A256BD"/>
    <w:rsid w:val="00A25D44"/>
    <w:rsid w:val="00A2673D"/>
    <w:rsid w:val="00A26768"/>
    <w:rsid w:val="00A26B1D"/>
    <w:rsid w:val="00A272DB"/>
    <w:rsid w:val="00A27643"/>
    <w:rsid w:val="00A27BE8"/>
    <w:rsid w:val="00A27E9D"/>
    <w:rsid w:val="00A30541"/>
    <w:rsid w:val="00A30548"/>
    <w:rsid w:val="00A308FE"/>
    <w:rsid w:val="00A30CD5"/>
    <w:rsid w:val="00A30D1C"/>
    <w:rsid w:val="00A30DD6"/>
    <w:rsid w:val="00A310C1"/>
    <w:rsid w:val="00A31D33"/>
    <w:rsid w:val="00A31E06"/>
    <w:rsid w:val="00A33011"/>
    <w:rsid w:val="00A338B7"/>
    <w:rsid w:val="00A33973"/>
    <w:rsid w:val="00A33AB2"/>
    <w:rsid w:val="00A33BE2"/>
    <w:rsid w:val="00A33D46"/>
    <w:rsid w:val="00A35E41"/>
    <w:rsid w:val="00A35F13"/>
    <w:rsid w:val="00A36A06"/>
    <w:rsid w:val="00A36DA9"/>
    <w:rsid w:val="00A37145"/>
    <w:rsid w:val="00A371C8"/>
    <w:rsid w:val="00A379DC"/>
    <w:rsid w:val="00A40508"/>
    <w:rsid w:val="00A40513"/>
    <w:rsid w:val="00A41425"/>
    <w:rsid w:val="00A41BC5"/>
    <w:rsid w:val="00A41D16"/>
    <w:rsid w:val="00A42D0F"/>
    <w:rsid w:val="00A42EC2"/>
    <w:rsid w:val="00A431AF"/>
    <w:rsid w:val="00A43A43"/>
    <w:rsid w:val="00A43A5F"/>
    <w:rsid w:val="00A43E8B"/>
    <w:rsid w:val="00A441A7"/>
    <w:rsid w:val="00A44AF5"/>
    <w:rsid w:val="00A44C8A"/>
    <w:rsid w:val="00A45473"/>
    <w:rsid w:val="00A45BD2"/>
    <w:rsid w:val="00A46F5A"/>
    <w:rsid w:val="00A470E8"/>
    <w:rsid w:val="00A471AE"/>
    <w:rsid w:val="00A4732C"/>
    <w:rsid w:val="00A4752A"/>
    <w:rsid w:val="00A5079A"/>
    <w:rsid w:val="00A508D4"/>
    <w:rsid w:val="00A50C8C"/>
    <w:rsid w:val="00A5118C"/>
    <w:rsid w:val="00A51491"/>
    <w:rsid w:val="00A51F75"/>
    <w:rsid w:val="00A528B1"/>
    <w:rsid w:val="00A53360"/>
    <w:rsid w:val="00A5367F"/>
    <w:rsid w:val="00A5393F"/>
    <w:rsid w:val="00A54279"/>
    <w:rsid w:val="00A544F2"/>
    <w:rsid w:val="00A55521"/>
    <w:rsid w:val="00A5558F"/>
    <w:rsid w:val="00A567C1"/>
    <w:rsid w:val="00A5723C"/>
    <w:rsid w:val="00A572C7"/>
    <w:rsid w:val="00A57EDD"/>
    <w:rsid w:val="00A603FB"/>
    <w:rsid w:val="00A61508"/>
    <w:rsid w:val="00A62B75"/>
    <w:rsid w:val="00A63115"/>
    <w:rsid w:val="00A64D63"/>
    <w:rsid w:val="00A65A31"/>
    <w:rsid w:val="00A65BAB"/>
    <w:rsid w:val="00A66945"/>
    <w:rsid w:val="00A67BC7"/>
    <w:rsid w:val="00A704BC"/>
    <w:rsid w:val="00A7112C"/>
    <w:rsid w:val="00A71659"/>
    <w:rsid w:val="00A716D8"/>
    <w:rsid w:val="00A71BEA"/>
    <w:rsid w:val="00A71EB9"/>
    <w:rsid w:val="00A7217F"/>
    <w:rsid w:val="00A72231"/>
    <w:rsid w:val="00A723BE"/>
    <w:rsid w:val="00A7253D"/>
    <w:rsid w:val="00A734FF"/>
    <w:rsid w:val="00A737B6"/>
    <w:rsid w:val="00A74404"/>
    <w:rsid w:val="00A7440C"/>
    <w:rsid w:val="00A75112"/>
    <w:rsid w:val="00A7534E"/>
    <w:rsid w:val="00A75571"/>
    <w:rsid w:val="00A75DF3"/>
    <w:rsid w:val="00A75E1B"/>
    <w:rsid w:val="00A765C0"/>
    <w:rsid w:val="00A769ED"/>
    <w:rsid w:val="00A76BCF"/>
    <w:rsid w:val="00A77BBD"/>
    <w:rsid w:val="00A81930"/>
    <w:rsid w:val="00A81D9A"/>
    <w:rsid w:val="00A820D1"/>
    <w:rsid w:val="00A82907"/>
    <w:rsid w:val="00A83777"/>
    <w:rsid w:val="00A855EB"/>
    <w:rsid w:val="00A8584B"/>
    <w:rsid w:val="00A8663E"/>
    <w:rsid w:val="00A86C15"/>
    <w:rsid w:val="00A86C19"/>
    <w:rsid w:val="00A86E9A"/>
    <w:rsid w:val="00A86F5F"/>
    <w:rsid w:val="00A9009C"/>
    <w:rsid w:val="00A901E4"/>
    <w:rsid w:val="00A90588"/>
    <w:rsid w:val="00A90BB7"/>
    <w:rsid w:val="00A910AD"/>
    <w:rsid w:val="00A928CE"/>
    <w:rsid w:val="00A92D93"/>
    <w:rsid w:val="00A9315F"/>
    <w:rsid w:val="00A93F76"/>
    <w:rsid w:val="00A94663"/>
    <w:rsid w:val="00A947D1"/>
    <w:rsid w:val="00A94B67"/>
    <w:rsid w:val="00A94F10"/>
    <w:rsid w:val="00A95050"/>
    <w:rsid w:val="00A9516E"/>
    <w:rsid w:val="00A95703"/>
    <w:rsid w:val="00A96D66"/>
    <w:rsid w:val="00A970C9"/>
    <w:rsid w:val="00A971DE"/>
    <w:rsid w:val="00A97A88"/>
    <w:rsid w:val="00A97C91"/>
    <w:rsid w:val="00A97D7A"/>
    <w:rsid w:val="00AA02A7"/>
    <w:rsid w:val="00AA084D"/>
    <w:rsid w:val="00AA13C4"/>
    <w:rsid w:val="00AA13D7"/>
    <w:rsid w:val="00AA1813"/>
    <w:rsid w:val="00AA1F8A"/>
    <w:rsid w:val="00AA20EA"/>
    <w:rsid w:val="00AA242B"/>
    <w:rsid w:val="00AA2844"/>
    <w:rsid w:val="00AA2C74"/>
    <w:rsid w:val="00AA2D65"/>
    <w:rsid w:val="00AA3DEF"/>
    <w:rsid w:val="00AA3E24"/>
    <w:rsid w:val="00AA4202"/>
    <w:rsid w:val="00AA43E5"/>
    <w:rsid w:val="00AA500A"/>
    <w:rsid w:val="00AA6907"/>
    <w:rsid w:val="00AB1054"/>
    <w:rsid w:val="00AB340A"/>
    <w:rsid w:val="00AB3C10"/>
    <w:rsid w:val="00AB44C8"/>
    <w:rsid w:val="00AB45E2"/>
    <w:rsid w:val="00AB4AA9"/>
    <w:rsid w:val="00AB4F06"/>
    <w:rsid w:val="00AB500E"/>
    <w:rsid w:val="00AB5773"/>
    <w:rsid w:val="00AB5955"/>
    <w:rsid w:val="00AB5965"/>
    <w:rsid w:val="00AB66DD"/>
    <w:rsid w:val="00AB73C7"/>
    <w:rsid w:val="00AB7414"/>
    <w:rsid w:val="00AB78DD"/>
    <w:rsid w:val="00AB7F2D"/>
    <w:rsid w:val="00AC013F"/>
    <w:rsid w:val="00AC0D99"/>
    <w:rsid w:val="00AC0FD3"/>
    <w:rsid w:val="00AC109C"/>
    <w:rsid w:val="00AC1851"/>
    <w:rsid w:val="00AC2268"/>
    <w:rsid w:val="00AC2E4D"/>
    <w:rsid w:val="00AC3623"/>
    <w:rsid w:val="00AC41C5"/>
    <w:rsid w:val="00AC4272"/>
    <w:rsid w:val="00AC5608"/>
    <w:rsid w:val="00AC56FB"/>
    <w:rsid w:val="00AC57FB"/>
    <w:rsid w:val="00AC5BE4"/>
    <w:rsid w:val="00AC7171"/>
    <w:rsid w:val="00AD0416"/>
    <w:rsid w:val="00AD0513"/>
    <w:rsid w:val="00AD0E77"/>
    <w:rsid w:val="00AD104B"/>
    <w:rsid w:val="00AD149E"/>
    <w:rsid w:val="00AD16FB"/>
    <w:rsid w:val="00AD1709"/>
    <w:rsid w:val="00AD1AAE"/>
    <w:rsid w:val="00AD2DC0"/>
    <w:rsid w:val="00AD3291"/>
    <w:rsid w:val="00AD35DD"/>
    <w:rsid w:val="00AD394A"/>
    <w:rsid w:val="00AD3DEF"/>
    <w:rsid w:val="00AD4834"/>
    <w:rsid w:val="00AD4C17"/>
    <w:rsid w:val="00AD5427"/>
    <w:rsid w:val="00AD589E"/>
    <w:rsid w:val="00AD5DB2"/>
    <w:rsid w:val="00AD5EC2"/>
    <w:rsid w:val="00AD63C2"/>
    <w:rsid w:val="00AD6529"/>
    <w:rsid w:val="00AD6F94"/>
    <w:rsid w:val="00AE0007"/>
    <w:rsid w:val="00AE0249"/>
    <w:rsid w:val="00AE0CC1"/>
    <w:rsid w:val="00AE0D1A"/>
    <w:rsid w:val="00AE12A2"/>
    <w:rsid w:val="00AE194E"/>
    <w:rsid w:val="00AE19E8"/>
    <w:rsid w:val="00AE1B17"/>
    <w:rsid w:val="00AE1B23"/>
    <w:rsid w:val="00AE2013"/>
    <w:rsid w:val="00AE2D39"/>
    <w:rsid w:val="00AE3026"/>
    <w:rsid w:val="00AE39A2"/>
    <w:rsid w:val="00AE40D0"/>
    <w:rsid w:val="00AE4185"/>
    <w:rsid w:val="00AE4FA1"/>
    <w:rsid w:val="00AE52AB"/>
    <w:rsid w:val="00AE6720"/>
    <w:rsid w:val="00AE67E1"/>
    <w:rsid w:val="00AF0AC7"/>
    <w:rsid w:val="00AF16C9"/>
    <w:rsid w:val="00AF197A"/>
    <w:rsid w:val="00AF1B02"/>
    <w:rsid w:val="00AF2059"/>
    <w:rsid w:val="00AF20E9"/>
    <w:rsid w:val="00AF2107"/>
    <w:rsid w:val="00AF23A6"/>
    <w:rsid w:val="00AF2416"/>
    <w:rsid w:val="00AF2518"/>
    <w:rsid w:val="00AF2618"/>
    <w:rsid w:val="00AF2813"/>
    <w:rsid w:val="00AF2901"/>
    <w:rsid w:val="00AF2AC0"/>
    <w:rsid w:val="00AF30E7"/>
    <w:rsid w:val="00AF38B4"/>
    <w:rsid w:val="00AF3D00"/>
    <w:rsid w:val="00AF4108"/>
    <w:rsid w:val="00AF5074"/>
    <w:rsid w:val="00AF5131"/>
    <w:rsid w:val="00AF5C9E"/>
    <w:rsid w:val="00AF6003"/>
    <w:rsid w:val="00AF6395"/>
    <w:rsid w:val="00AF6C05"/>
    <w:rsid w:val="00AF6D79"/>
    <w:rsid w:val="00AF7AB3"/>
    <w:rsid w:val="00B005A0"/>
    <w:rsid w:val="00B005C6"/>
    <w:rsid w:val="00B00999"/>
    <w:rsid w:val="00B009F9"/>
    <w:rsid w:val="00B00D63"/>
    <w:rsid w:val="00B03427"/>
    <w:rsid w:val="00B038E7"/>
    <w:rsid w:val="00B0390E"/>
    <w:rsid w:val="00B0498C"/>
    <w:rsid w:val="00B04AB9"/>
    <w:rsid w:val="00B05731"/>
    <w:rsid w:val="00B0631A"/>
    <w:rsid w:val="00B069F3"/>
    <w:rsid w:val="00B06D64"/>
    <w:rsid w:val="00B07278"/>
    <w:rsid w:val="00B07716"/>
    <w:rsid w:val="00B077C2"/>
    <w:rsid w:val="00B10078"/>
    <w:rsid w:val="00B10144"/>
    <w:rsid w:val="00B104FE"/>
    <w:rsid w:val="00B1088B"/>
    <w:rsid w:val="00B12091"/>
    <w:rsid w:val="00B1282B"/>
    <w:rsid w:val="00B13416"/>
    <w:rsid w:val="00B13C08"/>
    <w:rsid w:val="00B1470D"/>
    <w:rsid w:val="00B14AFE"/>
    <w:rsid w:val="00B14B2C"/>
    <w:rsid w:val="00B16128"/>
    <w:rsid w:val="00B1663C"/>
    <w:rsid w:val="00B1672E"/>
    <w:rsid w:val="00B16964"/>
    <w:rsid w:val="00B16B67"/>
    <w:rsid w:val="00B16FDA"/>
    <w:rsid w:val="00B17BF7"/>
    <w:rsid w:val="00B212B4"/>
    <w:rsid w:val="00B21D0F"/>
    <w:rsid w:val="00B223F0"/>
    <w:rsid w:val="00B23412"/>
    <w:rsid w:val="00B23660"/>
    <w:rsid w:val="00B23A35"/>
    <w:rsid w:val="00B24409"/>
    <w:rsid w:val="00B24454"/>
    <w:rsid w:val="00B24CA8"/>
    <w:rsid w:val="00B24EEA"/>
    <w:rsid w:val="00B25D3B"/>
    <w:rsid w:val="00B26E2E"/>
    <w:rsid w:val="00B278BA"/>
    <w:rsid w:val="00B2793D"/>
    <w:rsid w:val="00B27CD8"/>
    <w:rsid w:val="00B30384"/>
    <w:rsid w:val="00B303E8"/>
    <w:rsid w:val="00B304FB"/>
    <w:rsid w:val="00B308B8"/>
    <w:rsid w:val="00B316F9"/>
    <w:rsid w:val="00B31BB1"/>
    <w:rsid w:val="00B320AE"/>
    <w:rsid w:val="00B32433"/>
    <w:rsid w:val="00B32FBC"/>
    <w:rsid w:val="00B331C6"/>
    <w:rsid w:val="00B334B1"/>
    <w:rsid w:val="00B33691"/>
    <w:rsid w:val="00B336DA"/>
    <w:rsid w:val="00B33843"/>
    <w:rsid w:val="00B34D18"/>
    <w:rsid w:val="00B354DA"/>
    <w:rsid w:val="00B356A0"/>
    <w:rsid w:val="00B36001"/>
    <w:rsid w:val="00B36AA4"/>
    <w:rsid w:val="00B36DE3"/>
    <w:rsid w:val="00B36EEF"/>
    <w:rsid w:val="00B37941"/>
    <w:rsid w:val="00B37E8D"/>
    <w:rsid w:val="00B400E8"/>
    <w:rsid w:val="00B40289"/>
    <w:rsid w:val="00B412B7"/>
    <w:rsid w:val="00B415B8"/>
    <w:rsid w:val="00B41EF3"/>
    <w:rsid w:val="00B42D36"/>
    <w:rsid w:val="00B42FA8"/>
    <w:rsid w:val="00B4389B"/>
    <w:rsid w:val="00B444DE"/>
    <w:rsid w:val="00B44DA7"/>
    <w:rsid w:val="00B44EBB"/>
    <w:rsid w:val="00B45539"/>
    <w:rsid w:val="00B45650"/>
    <w:rsid w:val="00B457E1"/>
    <w:rsid w:val="00B45E6A"/>
    <w:rsid w:val="00B462ED"/>
    <w:rsid w:val="00B46806"/>
    <w:rsid w:val="00B47554"/>
    <w:rsid w:val="00B479D4"/>
    <w:rsid w:val="00B47ADB"/>
    <w:rsid w:val="00B50674"/>
    <w:rsid w:val="00B517BE"/>
    <w:rsid w:val="00B53C6F"/>
    <w:rsid w:val="00B53D2E"/>
    <w:rsid w:val="00B542CA"/>
    <w:rsid w:val="00B544B0"/>
    <w:rsid w:val="00B54EA7"/>
    <w:rsid w:val="00B555CF"/>
    <w:rsid w:val="00B55820"/>
    <w:rsid w:val="00B55837"/>
    <w:rsid w:val="00B56261"/>
    <w:rsid w:val="00B56E3F"/>
    <w:rsid w:val="00B56EF5"/>
    <w:rsid w:val="00B571BF"/>
    <w:rsid w:val="00B5752E"/>
    <w:rsid w:val="00B57F19"/>
    <w:rsid w:val="00B6023F"/>
    <w:rsid w:val="00B6217F"/>
    <w:rsid w:val="00B631FF"/>
    <w:rsid w:val="00B634C8"/>
    <w:rsid w:val="00B63D58"/>
    <w:rsid w:val="00B63FBC"/>
    <w:rsid w:val="00B647CB"/>
    <w:rsid w:val="00B6520C"/>
    <w:rsid w:val="00B655C4"/>
    <w:rsid w:val="00B65B04"/>
    <w:rsid w:val="00B65EC9"/>
    <w:rsid w:val="00B65F3A"/>
    <w:rsid w:val="00B665CA"/>
    <w:rsid w:val="00B66BF1"/>
    <w:rsid w:val="00B66C54"/>
    <w:rsid w:val="00B66C86"/>
    <w:rsid w:val="00B67237"/>
    <w:rsid w:val="00B67434"/>
    <w:rsid w:val="00B679BB"/>
    <w:rsid w:val="00B67FD0"/>
    <w:rsid w:val="00B702B0"/>
    <w:rsid w:val="00B70D86"/>
    <w:rsid w:val="00B70FA8"/>
    <w:rsid w:val="00B71320"/>
    <w:rsid w:val="00B719BF"/>
    <w:rsid w:val="00B71CA7"/>
    <w:rsid w:val="00B72309"/>
    <w:rsid w:val="00B7259E"/>
    <w:rsid w:val="00B72B4D"/>
    <w:rsid w:val="00B732D6"/>
    <w:rsid w:val="00B734E9"/>
    <w:rsid w:val="00B73AF2"/>
    <w:rsid w:val="00B741E9"/>
    <w:rsid w:val="00B7421A"/>
    <w:rsid w:val="00B748A3"/>
    <w:rsid w:val="00B74C63"/>
    <w:rsid w:val="00B74D86"/>
    <w:rsid w:val="00B75095"/>
    <w:rsid w:val="00B755BF"/>
    <w:rsid w:val="00B755E0"/>
    <w:rsid w:val="00B76B93"/>
    <w:rsid w:val="00B76E46"/>
    <w:rsid w:val="00B76EC1"/>
    <w:rsid w:val="00B7746A"/>
    <w:rsid w:val="00B774CE"/>
    <w:rsid w:val="00B77D04"/>
    <w:rsid w:val="00B81617"/>
    <w:rsid w:val="00B817BA"/>
    <w:rsid w:val="00B817EE"/>
    <w:rsid w:val="00B818AD"/>
    <w:rsid w:val="00B8276A"/>
    <w:rsid w:val="00B82939"/>
    <w:rsid w:val="00B82CD4"/>
    <w:rsid w:val="00B83483"/>
    <w:rsid w:val="00B8356E"/>
    <w:rsid w:val="00B843C9"/>
    <w:rsid w:val="00B844BC"/>
    <w:rsid w:val="00B84E85"/>
    <w:rsid w:val="00B84F74"/>
    <w:rsid w:val="00B858DE"/>
    <w:rsid w:val="00B85A9D"/>
    <w:rsid w:val="00B865E1"/>
    <w:rsid w:val="00B869EB"/>
    <w:rsid w:val="00B86B2A"/>
    <w:rsid w:val="00B87930"/>
    <w:rsid w:val="00B901F3"/>
    <w:rsid w:val="00B90908"/>
    <w:rsid w:val="00B90E2D"/>
    <w:rsid w:val="00B91207"/>
    <w:rsid w:val="00B91664"/>
    <w:rsid w:val="00B934FE"/>
    <w:rsid w:val="00B93EC6"/>
    <w:rsid w:val="00B951CF"/>
    <w:rsid w:val="00B9546C"/>
    <w:rsid w:val="00B95905"/>
    <w:rsid w:val="00B96424"/>
    <w:rsid w:val="00B97ABB"/>
    <w:rsid w:val="00B97BAC"/>
    <w:rsid w:val="00B97F83"/>
    <w:rsid w:val="00BA0057"/>
    <w:rsid w:val="00BA03ED"/>
    <w:rsid w:val="00BA0906"/>
    <w:rsid w:val="00BA1791"/>
    <w:rsid w:val="00BA17D6"/>
    <w:rsid w:val="00BA2553"/>
    <w:rsid w:val="00BA2792"/>
    <w:rsid w:val="00BA2964"/>
    <w:rsid w:val="00BA3310"/>
    <w:rsid w:val="00BA36E6"/>
    <w:rsid w:val="00BA39EE"/>
    <w:rsid w:val="00BA4001"/>
    <w:rsid w:val="00BA469A"/>
    <w:rsid w:val="00BA476C"/>
    <w:rsid w:val="00BA4945"/>
    <w:rsid w:val="00BA4A23"/>
    <w:rsid w:val="00BA503F"/>
    <w:rsid w:val="00BA5E1C"/>
    <w:rsid w:val="00BA6342"/>
    <w:rsid w:val="00BA7066"/>
    <w:rsid w:val="00BA71FE"/>
    <w:rsid w:val="00BA742C"/>
    <w:rsid w:val="00BB0102"/>
    <w:rsid w:val="00BB09CB"/>
    <w:rsid w:val="00BB0D49"/>
    <w:rsid w:val="00BB2715"/>
    <w:rsid w:val="00BB2B85"/>
    <w:rsid w:val="00BB2DEB"/>
    <w:rsid w:val="00BB2F9C"/>
    <w:rsid w:val="00BB3544"/>
    <w:rsid w:val="00BB3895"/>
    <w:rsid w:val="00BB3D88"/>
    <w:rsid w:val="00BB3DDA"/>
    <w:rsid w:val="00BB4740"/>
    <w:rsid w:val="00BB476A"/>
    <w:rsid w:val="00BB4B4E"/>
    <w:rsid w:val="00BB4DEA"/>
    <w:rsid w:val="00BB4E85"/>
    <w:rsid w:val="00BB540E"/>
    <w:rsid w:val="00BB618F"/>
    <w:rsid w:val="00BB6638"/>
    <w:rsid w:val="00BB7039"/>
    <w:rsid w:val="00BB7381"/>
    <w:rsid w:val="00BC0F32"/>
    <w:rsid w:val="00BC1B56"/>
    <w:rsid w:val="00BC1E85"/>
    <w:rsid w:val="00BC2A4C"/>
    <w:rsid w:val="00BC2ADA"/>
    <w:rsid w:val="00BC2E47"/>
    <w:rsid w:val="00BC3496"/>
    <w:rsid w:val="00BC4E68"/>
    <w:rsid w:val="00BC4F07"/>
    <w:rsid w:val="00BC52D3"/>
    <w:rsid w:val="00BC57E8"/>
    <w:rsid w:val="00BC6794"/>
    <w:rsid w:val="00BC6F5C"/>
    <w:rsid w:val="00BC6FE1"/>
    <w:rsid w:val="00BC7004"/>
    <w:rsid w:val="00BC72C3"/>
    <w:rsid w:val="00BC7878"/>
    <w:rsid w:val="00BD00F2"/>
    <w:rsid w:val="00BD01A0"/>
    <w:rsid w:val="00BD0867"/>
    <w:rsid w:val="00BD0D06"/>
    <w:rsid w:val="00BD2003"/>
    <w:rsid w:val="00BD2034"/>
    <w:rsid w:val="00BD2970"/>
    <w:rsid w:val="00BD2F5C"/>
    <w:rsid w:val="00BD3687"/>
    <w:rsid w:val="00BD3F6A"/>
    <w:rsid w:val="00BD4EF4"/>
    <w:rsid w:val="00BD503C"/>
    <w:rsid w:val="00BD51B1"/>
    <w:rsid w:val="00BD5867"/>
    <w:rsid w:val="00BD58BB"/>
    <w:rsid w:val="00BD5CCA"/>
    <w:rsid w:val="00BD6179"/>
    <w:rsid w:val="00BD643C"/>
    <w:rsid w:val="00BD6A20"/>
    <w:rsid w:val="00BD6A9A"/>
    <w:rsid w:val="00BD6CDC"/>
    <w:rsid w:val="00BD6D62"/>
    <w:rsid w:val="00BD7471"/>
    <w:rsid w:val="00BD7FCF"/>
    <w:rsid w:val="00BE135A"/>
    <w:rsid w:val="00BE1B37"/>
    <w:rsid w:val="00BE21DD"/>
    <w:rsid w:val="00BE230F"/>
    <w:rsid w:val="00BE260E"/>
    <w:rsid w:val="00BE2678"/>
    <w:rsid w:val="00BE2FC5"/>
    <w:rsid w:val="00BE32A8"/>
    <w:rsid w:val="00BE3381"/>
    <w:rsid w:val="00BE3E24"/>
    <w:rsid w:val="00BE4717"/>
    <w:rsid w:val="00BE4895"/>
    <w:rsid w:val="00BE4AF3"/>
    <w:rsid w:val="00BE6646"/>
    <w:rsid w:val="00BE68AB"/>
    <w:rsid w:val="00BE70A1"/>
    <w:rsid w:val="00BE7260"/>
    <w:rsid w:val="00BE77F7"/>
    <w:rsid w:val="00BE7880"/>
    <w:rsid w:val="00BE7B42"/>
    <w:rsid w:val="00BE7D78"/>
    <w:rsid w:val="00BF0D14"/>
    <w:rsid w:val="00BF0D54"/>
    <w:rsid w:val="00BF0FEF"/>
    <w:rsid w:val="00BF1092"/>
    <w:rsid w:val="00BF11A2"/>
    <w:rsid w:val="00BF1763"/>
    <w:rsid w:val="00BF3912"/>
    <w:rsid w:val="00BF3B3B"/>
    <w:rsid w:val="00BF3B72"/>
    <w:rsid w:val="00BF41F0"/>
    <w:rsid w:val="00BF45AE"/>
    <w:rsid w:val="00BF48B8"/>
    <w:rsid w:val="00BF49A0"/>
    <w:rsid w:val="00BF4A10"/>
    <w:rsid w:val="00BF4F06"/>
    <w:rsid w:val="00BF52A1"/>
    <w:rsid w:val="00BF579B"/>
    <w:rsid w:val="00BF5D36"/>
    <w:rsid w:val="00BF6C17"/>
    <w:rsid w:val="00C004C5"/>
    <w:rsid w:val="00C010E5"/>
    <w:rsid w:val="00C01254"/>
    <w:rsid w:val="00C013C4"/>
    <w:rsid w:val="00C01554"/>
    <w:rsid w:val="00C0240F"/>
    <w:rsid w:val="00C025CA"/>
    <w:rsid w:val="00C044DF"/>
    <w:rsid w:val="00C046B2"/>
    <w:rsid w:val="00C04A89"/>
    <w:rsid w:val="00C04C6F"/>
    <w:rsid w:val="00C053C9"/>
    <w:rsid w:val="00C0545E"/>
    <w:rsid w:val="00C05C7D"/>
    <w:rsid w:val="00C05DFA"/>
    <w:rsid w:val="00C05F22"/>
    <w:rsid w:val="00C06AF8"/>
    <w:rsid w:val="00C06F2E"/>
    <w:rsid w:val="00C07685"/>
    <w:rsid w:val="00C07A6B"/>
    <w:rsid w:val="00C10A62"/>
    <w:rsid w:val="00C10E01"/>
    <w:rsid w:val="00C10F0D"/>
    <w:rsid w:val="00C11D72"/>
    <w:rsid w:val="00C120B4"/>
    <w:rsid w:val="00C12ADF"/>
    <w:rsid w:val="00C1349B"/>
    <w:rsid w:val="00C13CE3"/>
    <w:rsid w:val="00C14D14"/>
    <w:rsid w:val="00C150CF"/>
    <w:rsid w:val="00C15457"/>
    <w:rsid w:val="00C15CF1"/>
    <w:rsid w:val="00C160CD"/>
    <w:rsid w:val="00C16AC4"/>
    <w:rsid w:val="00C17009"/>
    <w:rsid w:val="00C1754C"/>
    <w:rsid w:val="00C176AE"/>
    <w:rsid w:val="00C1788F"/>
    <w:rsid w:val="00C17B46"/>
    <w:rsid w:val="00C17C8F"/>
    <w:rsid w:val="00C20CC5"/>
    <w:rsid w:val="00C20F3C"/>
    <w:rsid w:val="00C2119A"/>
    <w:rsid w:val="00C21390"/>
    <w:rsid w:val="00C2193E"/>
    <w:rsid w:val="00C21DF0"/>
    <w:rsid w:val="00C2275D"/>
    <w:rsid w:val="00C22BBF"/>
    <w:rsid w:val="00C23019"/>
    <w:rsid w:val="00C2326F"/>
    <w:rsid w:val="00C24089"/>
    <w:rsid w:val="00C244B9"/>
    <w:rsid w:val="00C2589D"/>
    <w:rsid w:val="00C274CF"/>
    <w:rsid w:val="00C2753C"/>
    <w:rsid w:val="00C27AFD"/>
    <w:rsid w:val="00C27DF8"/>
    <w:rsid w:val="00C3013F"/>
    <w:rsid w:val="00C303E2"/>
    <w:rsid w:val="00C30604"/>
    <w:rsid w:val="00C30826"/>
    <w:rsid w:val="00C31B64"/>
    <w:rsid w:val="00C32345"/>
    <w:rsid w:val="00C32D03"/>
    <w:rsid w:val="00C32EEF"/>
    <w:rsid w:val="00C330BD"/>
    <w:rsid w:val="00C33E9C"/>
    <w:rsid w:val="00C33EAE"/>
    <w:rsid w:val="00C3406A"/>
    <w:rsid w:val="00C34C33"/>
    <w:rsid w:val="00C35BAB"/>
    <w:rsid w:val="00C35EF4"/>
    <w:rsid w:val="00C3604E"/>
    <w:rsid w:val="00C36D48"/>
    <w:rsid w:val="00C37BDA"/>
    <w:rsid w:val="00C40471"/>
    <w:rsid w:val="00C40AF9"/>
    <w:rsid w:val="00C41280"/>
    <w:rsid w:val="00C41A59"/>
    <w:rsid w:val="00C41B69"/>
    <w:rsid w:val="00C41E35"/>
    <w:rsid w:val="00C42064"/>
    <w:rsid w:val="00C42076"/>
    <w:rsid w:val="00C451E1"/>
    <w:rsid w:val="00C4716A"/>
    <w:rsid w:val="00C47780"/>
    <w:rsid w:val="00C4799B"/>
    <w:rsid w:val="00C50A77"/>
    <w:rsid w:val="00C514FB"/>
    <w:rsid w:val="00C519B4"/>
    <w:rsid w:val="00C51E32"/>
    <w:rsid w:val="00C51EA4"/>
    <w:rsid w:val="00C52D01"/>
    <w:rsid w:val="00C53610"/>
    <w:rsid w:val="00C5374A"/>
    <w:rsid w:val="00C53884"/>
    <w:rsid w:val="00C5482F"/>
    <w:rsid w:val="00C54B86"/>
    <w:rsid w:val="00C54E23"/>
    <w:rsid w:val="00C5503B"/>
    <w:rsid w:val="00C55EDD"/>
    <w:rsid w:val="00C564C7"/>
    <w:rsid w:val="00C56EE6"/>
    <w:rsid w:val="00C5750B"/>
    <w:rsid w:val="00C575DC"/>
    <w:rsid w:val="00C576C5"/>
    <w:rsid w:val="00C57953"/>
    <w:rsid w:val="00C579E3"/>
    <w:rsid w:val="00C6042A"/>
    <w:rsid w:val="00C608DB"/>
    <w:rsid w:val="00C6126B"/>
    <w:rsid w:val="00C614F8"/>
    <w:rsid w:val="00C61BC0"/>
    <w:rsid w:val="00C61C88"/>
    <w:rsid w:val="00C61E00"/>
    <w:rsid w:val="00C62460"/>
    <w:rsid w:val="00C628DA"/>
    <w:rsid w:val="00C62A42"/>
    <w:rsid w:val="00C62A4B"/>
    <w:rsid w:val="00C62C6D"/>
    <w:rsid w:val="00C636E4"/>
    <w:rsid w:val="00C638BA"/>
    <w:rsid w:val="00C6402C"/>
    <w:rsid w:val="00C648A1"/>
    <w:rsid w:val="00C653D7"/>
    <w:rsid w:val="00C65809"/>
    <w:rsid w:val="00C6596C"/>
    <w:rsid w:val="00C66C99"/>
    <w:rsid w:val="00C66DE0"/>
    <w:rsid w:val="00C671AF"/>
    <w:rsid w:val="00C673FC"/>
    <w:rsid w:val="00C67577"/>
    <w:rsid w:val="00C67F26"/>
    <w:rsid w:val="00C70756"/>
    <w:rsid w:val="00C70873"/>
    <w:rsid w:val="00C70AD6"/>
    <w:rsid w:val="00C7136A"/>
    <w:rsid w:val="00C71E85"/>
    <w:rsid w:val="00C72369"/>
    <w:rsid w:val="00C72492"/>
    <w:rsid w:val="00C72AB7"/>
    <w:rsid w:val="00C72D41"/>
    <w:rsid w:val="00C72FCE"/>
    <w:rsid w:val="00C73292"/>
    <w:rsid w:val="00C742B2"/>
    <w:rsid w:val="00C74CAD"/>
    <w:rsid w:val="00C754BD"/>
    <w:rsid w:val="00C7647D"/>
    <w:rsid w:val="00C77351"/>
    <w:rsid w:val="00C774DB"/>
    <w:rsid w:val="00C8312A"/>
    <w:rsid w:val="00C83520"/>
    <w:rsid w:val="00C83650"/>
    <w:rsid w:val="00C83A60"/>
    <w:rsid w:val="00C85CA4"/>
    <w:rsid w:val="00C867AA"/>
    <w:rsid w:val="00C867E8"/>
    <w:rsid w:val="00C869DD"/>
    <w:rsid w:val="00C86DA8"/>
    <w:rsid w:val="00C873D1"/>
    <w:rsid w:val="00C8775D"/>
    <w:rsid w:val="00C87780"/>
    <w:rsid w:val="00C877C4"/>
    <w:rsid w:val="00C87861"/>
    <w:rsid w:val="00C90B7F"/>
    <w:rsid w:val="00C92BFA"/>
    <w:rsid w:val="00C94730"/>
    <w:rsid w:val="00C949A0"/>
    <w:rsid w:val="00C94A03"/>
    <w:rsid w:val="00C94BE8"/>
    <w:rsid w:val="00C94CAD"/>
    <w:rsid w:val="00C955D1"/>
    <w:rsid w:val="00C95BCE"/>
    <w:rsid w:val="00C95EAE"/>
    <w:rsid w:val="00C97557"/>
    <w:rsid w:val="00CA0ACD"/>
    <w:rsid w:val="00CA0D43"/>
    <w:rsid w:val="00CA1F69"/>
    <w:rsid w:val="00CA21B4"/>
    <w:rsid w:val="00CA2901"/>
    <w:rsid w:val="00CA2C12"/>
    <w:rsid w:val="00CA30CF"/>
    <w:rsid w:val="00CA35C3"/>
    <w:rsid w:val="00CA377E"/>
    <w:rsid w:val="00CA3847"/>
    <w:rsid w:val="00CA47BE"/>
    <w:rsid w:val="00CA49FA"/>
    <w:rsid w:val="00CA4CA2"/>
    <w:rsid w:val="00CA57BE"/>
    <w:rsid w:val="00CA5CC3"/>
    <w:rsid w:val="00CA6F75"/>
    <w:rsid w:val="00CB00AA"/>
    <w:rsid w:val="00CB098C"/>
    <w:rsid w:val="00CB0C92"/>
    <w:rsid w:val="00CB1C6D"/>
    <w:rsid w:val="00CB1E84"/>
    <w:rsid w:val="00CB3143"/>
    <w:rsid w:val="00CB32DC"/>
    <w:rsid w:val="00CB4057"/>
    <w:rsid w:val="00CB40E0"/>
    <w:rsid w:val="00CB5568"/>
    <w:rsid w:val="00CB59EC"/>
    <w:rsid w:val="00CB758B"/>
    <w:rsid w:val="00CB7E88"/>
    <w:rsid w:val="00CB7EDE"/>
    <w:rsid w:val="00CC03C9"/>
    <w:rsid w:val="00CC0EB1"/>
    <w:rsid w:val="00CC1156"/>
    <w:rsid w:val="00CC1286"/>
    <w:rsid w:val="00CC16D7"/>
    <w:rsid w:val="00CC213D"/>
    <w:rsid w:val="00CC2377"/>
    <w:rsid w:val="00CC24F0"/>
    <w:rsid w:val="00CC28A8"/>
    <w:rsid w:val="00CC38FD"/>
    <w:rsid w:val="00CC44A0"/>
    <w:rsid w:val="00CC48AB"/>
    <w:rsid w:val="00CC4C36"/>
    <w:rsid w:val="00CC4EA7"/>
    <w:rsid w:val="00CC4FDD"/>
    <w:rsid w:val="00CC7F78"/>
    <w:rsid w:val="00CD090E"/>
    <w:rsid w:val="00CD0D5A"/>
    <w:rsid w:val="00CD19A3"/>
    <w:rsid w:val="00CD2173"/>
    <w:rsid w:val="00CD230A"/>
    <w:rsid w:val="00CD2688"/>
    <w:rsid w:val="00CD2D8A"/>
    <w:rsid w:val="00CD3E47"/>
    <w:rsid w:val="00CD6616"/>
    <w:rsid w:val="00CD6B40"/>
    <w:rsid w:val="00CD6D54"/>
    <w:rsid w:val="00CD721F"/>
    <w:rsid w:val="00CD75E8"/>
    <w:rsid w:val="00CD7C25"/>
    <w:rsid w:val="00CE0206"/>
    <w:rsid w:val="00CE051C"/>
    <w:rsid w:val="00CE110F"/>
    <w:rsid w:val="00CE2002"/>
    <w:rsid w:val="00CE2790"/>
    <w:rsid w:val="00CE331A"/>
    <w:rsid w:val="00CE349B"/>
    <w:rsid w:val="00CE3DA2"/>
    <w:rsid w:val="00CE679E"/>
    <w:rsid w:val="00CE7115"/>
    <w:rsid w:val="00CF06EE"/>
    <w:rsid w:val="00CF0C9E"/>
    <w:rsid w:val="00CF119A"/>
    <w:rsid w:val="00CF1561"/>
    <w:rsid w:val="00CF1A25"/>
    <w:rsid w:val="00CF2005"/>
    <w:rsid w:val="00CF2AB8"/>
    <w:rsid w:val="00CF2BB4"/>
    <w:rsid w:val="00CF2DAE"/>
    <w:rsid w:val="00CF3750"/>
    <w:rsid w:val="00CF3D30"/>
    <w:rsid w:val="00CF3D99"/>
    <w:rsid w:val="00CF46AE"/>
    <w:rsid w:val="00CF47EA"/>
    <w:rsid w:val="00CF48FF"/>
    <w:rsid w:val="00CF497C"/>
    <w:rsid w:val="00CF5334"/>
    <w:rsid w:val="00CF64DC"/>
    <w:rsid w:val="00CF7BC1"/>
    <w:rsid w:val="00CF7F28"/>
    <w:rsid w:val="00CF7FB8"/>
    <w:rsid w:val="00D0061C"/>
    <w:rsid w:val="00D00BBC"/>
    <w:rsid w:val="00D0117A"/>
    <w:rsid w:val="00D0329B"/>
    <w:rsid w:val="00D0349B"/>
    <w:rsid w:val="00D040D9"/>
    <w:rsid w:val="00D04173"/>
    <w:rsid w:val="00D04FE8"/>
    <w:rsid w:val="00D05082"/>
    <w:rsid w:val="00D065BD"/>
    <w:rsid w:val="00D0674F"/>
    <w:rsid w:val="00D10445"/>
    <w:rsid w:val="00D10F10"/>
    <w:rsid w:val="00D11BCB"/>
    <w:rsid w:val="00D13123"/>
    <w:rsid w:val="00D131C1"/>
    <w:rsid w:val="00D13420"/>
    <w:rsid w:val="00D139CF"/>
    <w:rsid w:val="00D13A53"/>
    <w:rsid w:val="00D13B96"/>
    <w:rsid w:val="00D13EB7"/>
    <w:rsid w:val="00D13EE2"/>
    <w:rsid w:val="00D145A1"/>
    <w:rsid w:val="00D15124"/>
    <w:rsid w:val="00D15884"/>
    <w:rsid w:val="00D15C94"/>
    <w:rsid w:val="00D16319"/>
    <w:rsid w:val="00D170A7"/>
    <w:rsid w:val="00D174A2"/>
    <w:rsid w:val="00D207EF"/>
    <w:rsid w:val="00D21072"/>
    <w:rsid w:val="00D213B7"/>
    <w:rsid w:val="00D2236F"/>
    <w:rsid w:val="00D226BB"/>
    <w:rsid w:val="00D22908"/>
    <w:rsid w:val="00D22C9D"/>
    <w:rsid w:val="00D22CE1"/>
    <w:rsid w:val="00D2347A"/>
    <w:rsid w:val="00D236B3"/>
    <w:rsid w:val="00D248FB"/>
    <w:rsid w:val="00D24D16"/>
    <w:rsid w:val="00D24E73"/>
    <w:rsid w:val="00D254A2"/>
    <w:rsid w:val="00D25AE9"/>
    <w:rsid w:val="00D25EB9"/>
    <w:rsid w:val="00D25F13"/>
    <w:rsid w:val="00D2708A"/>
    <w:rsid w:val="00D302B4"/>
    <w:rsid w:val="00D30337"/>
    <w:rsid w:val="00D306B1"/>
    <w:rsid w:val="00D316D1"/>
    <w:rsid w:val="00D31718"/>
    <w:rsid w:val="00D31AC3"/>
    <w:rsid w:val="00D31C15"/>
    <w:rsid w:val="00D31F4C"/>
    <w:rsid w:val="00D32741"/>
    <w:rsid w:val="00D33854"/>
    <w:rsid w:val="00D33A52"/>
    <w:rsid w:val="00D33A6B"/>
    <w:rsid w:val="00D349F4"/>
    <w:rsid w:val="00D35F9D"/>
    <w:rsid w:val="00D403EC"/>
    <w:rsid w:val="00D40B7D"/>
    <w:rsid w:val="00D4156E"/>
    <w:rsid w:val="00D41B9D"/>
    <w:rsid w:val="00D41C38"/>
    <w:rsid w:val="00D42060"/>
    <w:rsid w:val="00D42081"/>
    <w:rsid w:val="00D42180"/>
    <w:rsid w:val="00D423C3"/>
    <w:rsid w:val="00D42914"/>
    <w:rsid w:val="00D42F9C"/>
    <w:rsid w:val="00D435B5"/>
    <w:rsid w:val="00D43665"/>
    <w:rsid w:val="00D43809"/>
    <w:rsid w:val="00D43881"/>
    <w:rsid w:val="00D43B69"/>
    <w:rsid w:val="00D43BAE"/>
    <w:rsid w:val="00D44C02"/>
    <w:rsid w:val="00D458C8"/>
    <w:rsid w:val="00D45F4B"/>
    <w:rsid w:val="00D4670F"/>
    <w:rsid w:val="00D46740"/>
    <w:rsid w:val="00D4730A"/>
    <w:rsid w:val="00D4778F"/>
    <w:rsid w:val="00D477CC"/>
    <w:rsid w:val="00D5056C"/>
    <w:rsid w:val="00D51231"/>
    <w:rsid w:val="00D512A8"/>
    <w:rsid w:val="00D517BF"/>
    <w:rsid w:val="00D51D1D"/>
    <w:rsid w:val="00D52AC0"/>
    <w:rsid w:val="00D52D32"/>
    <w:rsid w:val="00D536DC"/>
    <w:rsid w:val="00D54004"/>
    <w:rsid w:val="00D545F2"/>
    <w:rsid w:val="00D5515F"/>
    <w:rsid w:val="00D556AE"/>
    <w:rsid w:val="00D55BE4"/>
    <w:rsid w:val="00D55BF8"/>
    <w:rsid w:val="00D560F2"/>
    <w:rsid w:val="00D56823"/>
    <w:rsid w:val="00D57DE6"/>
    <w:rsid w:val="00D603D0"/>
    <w:rsid w:val="00D607BC"/>
    <w:rsid w:val="00D60E8B"/>
    <w:rsid w:val="00D61273"/>
    <w:rsid w:val="00D61275"/>
    <w:rsid w:val="00D618F5"/>
    <w:rsid w:val="00D620F4"/>
    <w:rsid w:val="00D621DD"/>
    <w:rsid w:val="00D6228C"/>
    <w:rsid w:val="00D6262E"/>
    <w:rsid w:val="00D627E1"/>
    <w:rsid w:val="00D62A1E"/>
    <w:rsid w:val="00D62B4A"/>
    <w:rsid w:val="00D631AC"/>
    <w:rsid w:val="00D631B3"/>
    <w:rsid w:val="00D63663"/>
    <w:rsid w:val="00D63D9C"/>
    <w:rsid w:val="00D640E1"/>
    <w:rsid w:val="00D65262"/>
    <w:rsid w:val="00D65328"/>
    <w:rsid w:val="00D65478"/>
    <w:rsid w:val="00D65B89"/>
    <w:rsid w:val="00D6679A"/>
    <w:rsid w:val="00D66AE4"/>
    <w:rsid w:val="00D67DD5"/>
    <w:rsid w:val="00D7012D"/>
    <w:rsid w:val="00D701C2"/>
    <w:rsid w:val="00D70245"/>
    <w:rsid w:val="00D702D3"/>
    <w:rsid w:val="00D70DFE"/>
    <w:rsid w:val="00D713B2"/>
    <w:rsid w:val="00D71806"/>
    <w:rsid w:val="00D71823"/>
    <w:rsid w:val="00D72E65"/>
    <w:rsid w:val="00D73BEF"/>
    <w:rsid w:val="00D74261"/>
    <w:rsid w:val="00D767B5"/>
    <w:rsid w:val="00D777DA"/>
    <w:rsid w:val="00D80B9F"/>
    <w:rsid w:val="00D80C46"/>
    <w:rsid w:val="00D80D49"/>
    <w:rsid w:val="00D8107C"/>
    <w:rsid w:val="00D81BA8"/>
    <w:rsid w:val="00D827DC"/>
    <w:rsid w:val="00D82B97"/>
    <w:rsid w:val="00D830AE"/>
    <w:rsid w:val="00D830B8"/>
    <w:rsid w:val="00D83301"/>
    <w:rsid w:val="00D8355D"/>
    <w:rsid w:val="00D83763"/>
    <w:rsid w:val="00D8379E"/>
    <w:rsid w:val="00D83FC9"/>
    <w:rsid w:val="00D84051"/>
    <w:rsid w:val="00D84184"/>
    <w:rsid w:val="00D843BE"/>
    <w:rsid w:val="00D845D5"/>
    <w:rsid w:val="00D84A80"/>
    <w:rsid w:val="00D850F1"/>
    <w:rsid w:val="00D858BD"/>
    <w:rsid w:val="00D8596A"/>
    <w:rsid w:val="00D865F3"/>
    <w:rsid w:val="00D86FCA"/>
    <w:rsid w:val="00D873F3"/>
    <w:rsid w:val="00D87A9F"/>
    <w:rsid w:val="00D903F0"/>
    <w:rsid w:val="00D91005"/>
    <w:rsid w:val="00D915A0"/>
    <w:rsid w:val="00D9167C"/>
    <w:rsid w:val="00D91815"/>
    <w:rsid w:val="00D91F51"/>
    <w:rsid w:val="00D92002"/>
    <w:rsid w:val="00D92B4E"/>
    <w:rsid w:val="00D931A5"/>
    <w:rsid w:val="00D9336F"/>
    <w:rsid w:val="00D93468"/>
    <w:rsid w:val="00D93BCB"/>
    <w:rsid w:val="00D946E3"/>
    <w:rsid w:val="00D951BE"/>
    <w:rsid w:val="00D97E79"/>
    <w:rsid w:val="00D97F2D"/>
    <w:rsid w:val="00D97FEA"/>
    <w:rsid w:val="00DA1170"/>
    <w:rsid w:val="00DA2B11"/>
    <w:rsid w:val="00DA30F8"/>
    <w:rsid w:val="00DA32B1"/>
    <w:rsid w:val="00DA35CC"/>
    <w:rsid w:val="00DA3BDF"/>
    <w:rsid w:val="00DA587F"/>
    <w:rsid w:val="00DA5C72"/>
    <w:rsid w:val="00DA630F"/>
    <w:rsid w:val="00DA6E08"/>
    <w:rsid w:val="00DA730D"/>
    <w:rsid w:val="00DB0A8D"/>
    <w:rsid w:val="00DB0F27"/>
    <w:rsid w:val="00DB14BC"/>
    <w:rsid w:val="00DB1D73"/>
    <w:rsid w:val="00DB20A4"/>
    <w:rsid w:val="00DB2766"/>
    <w:rsid w:val="00DB3043"/>
    <w:rsid w:val="00DB31F4"/>
    <w:rsid w:val="00DB3537"/>
    <w:rsid w:val="00DB3947"/>
    <w:rsid w:val="00DB3D23"/>
    <w:rsid w:val="00DB3F22"/>
    <w:rsid w:val="00DB415B"/>
    <w:rsid w:val="00DB4949"/>
    <w:rsid w:val="00DB49D6"/>
    <w:rsid w:val="00DB5065"/>
    <w:rsid w:val="00DB582D"/>
    <w:rsid w:val="00DB5AB8"/>
    <w:rsid w:val="00DB5F67"/>
    <w:rsid w:val="00DB6A8A"/>
    <w:rsid w:val="00DB6CC2"/>
    <w:rsid w:val="00DB6DF0"/>
    <w:rsid w:val="00DB726D"/>
    <w:rsid w:val="00DB7A76"/>
    <w:rsid w:val="00DC169E"/>
    <w:rsid w:val="00DC1C6B"/>
    <w:rsid w:val="00DC1FFB"/>
    <w:rsid w:val="00DC221D"/>
    <w:rsid w:val="00DC237A"/>
    <w:rsid w:val="00DC3157"/>
    <w:rsid w:val="00DC39AC"/>
    <w:rsid w:val="00DC4435"/>
    <w:rsid w:val="00DC46AE"/>
    <w:rsid w:val="00DC4EEE"/>
    <w:rsid w:val="00DC551A"/>
    <w:rsid w:val="00DC58B7"/>
    <w:rsid w:val="00DC599C"/>
    <w:rsid w:val="00DC5B0D"/>
    <w:rsid w:val="00DC6049"/>
    <w:rsid w:val="00DC6422"/>
    <w:rsid w:val="00DC70BF"/>
    <w:rsid w:val="00DC7824"/>
    <w:rsid w:val="00DC7D88"/>
    <w:rsid w:val="00DD0895"/>
    <w:rsid w:val="00DD0B57"/>
    <w:rsid w:val="00DD0CD8"/>
    <w:rsid w:val="00DD132E"/>
    <w:rsid w:val="00DD16BF"/>
    <w:rsid w:val="00DD23E4"/>
    <w:rsid w:val="00DD30C1"/>
    <w:rsid w:val="00DD368C"/>
    <w:rsid w:val="00DD469B"/>
    <w:rsid w:val="00DD49CB"/>
    <w:rsid w:val="00DD6134"/>
    <w:rsid w:val="00DD6508"/>
    <w:rsid w:val="00DD69F5"/>
    <w:rsid w:val="00DD6A4E"/>
    <w:rsid w:val="00DD6D2A"/>
    <w:rsid w:val="00DD7496"/>
    <w:rsid w:val="00DD75EC"/>
    <w:rsid w:val="00DD7A2C"/>
    <w:rsid w:val="00DD7BE9"/>
    <w:rsid w:val="00DE0529"/>
    <w:rsid w:val="00DE1180"/>
    <w:rsid w:val="00DE12CD"/>
    <w:rsid w:val="00DE1303"/>
    <w:rsid w:val="00DE16A7"/>
    <w:rsid w:val="00DE28B4"/>
    <w:rsid w:val="00DE2C50"/>
    <w:rsid w:val="00DE2C6E"/>
    <w:rsid w:val="00DE2DA6"/>
    <w:rsid w:val="00DE2E4A"/>
    <w:rsid w:val="00DE3F15"/>
    <w:rsid w:val="00DE4466"/>
    <w:rsid w:val="00DE4552"/>
    <w:rsid w:val="00DE4B0A"/>
    <w:rsid w:val="00DE52CA"/>
    <w:rsid w:val="00DE5D01"/>
    <w:rsid w:val="00DE5E0B"/>
    <w:rsid w:val="00DE6B41"/>
    <w:rsid w:val="00DE6C9B"/>
    <w:rsid w:val="00DE7A43"/>
    <w:rsid w:val="00DE7FA5"/>
    <w:rsid w:val="00DF0125"/>
    <w:rsid w:val="00DF056D"/>
    <w:rsid w:val="00DF19B4"/>
    <w:rsid w:val="00DF21DA"/>
    <w:rsid w:val="00DF2E2F"/>
    <w:rsid w:val="00DF340D"/>
    <w:rsid w:val="00DF35C8"/>
    <w:rsid w:val="00DF4180"/>
    <w:rsid w:val="00DF4458"/>
    <w:rsid w:val="00DF4F58"/>
    <w:rsid w:val="00DF509B"/>
    <w:rsid w:val="00DF52FA"/>
    <w:rsid w:val="00DF5549"/>
    <w:rsid w:val="00DF5DE8"/>
    <w:rsid w:val="00DF64F1"/>
    <w:rsid w:val="00DF7256"/>
    <w:rsid w:val="00DF74C8"/>
    <w:rsid w:val="00E00056"/>
    <w:rsid w:val="00E008D0"/>
    <w:rsid w:val="00E00EAC"/>
    <w:rsid w:val="00E011CB"/>
    <w:rsid w:val="00E01984"/>
    <w:rsid w:val="00E01E2B"/>
    <w:rsid w:val="00E02C1A"/>
    <w:rsid w:val="00E02DAD"/>
    <w:rsid w:val="00E02F47"/>
    <w:rsid w:val="00E02F52"/>
    <w:rsid w:val="00E03B00"/>
    <w:rsid w:val="00E04265"/>
    <w:rsid w:val="00E0444F"/>
    <w:rsid w:val="00E05355"/>
    <w:rsid w:val="00E06142"/>
    <w:rsid w:val="00E06231"/>
    <w:rsid w:val="00E0630F"/>
    <w:rsid w:val="00E06DDD"/>
    <w:rsid w:val="00E06F54"/>
    <w:rsid w:val="00E07F09"/>
    <w:rsid w:val="00E07F19"/>
    <w:rsid w:val="00E10106"/>
    <w:rsid w:val="00E10592"/>
    <w:rsid w:val="00E11275"/>
    <w:rsid w:val="00E11471"/>
    <w:rsid w:val="00E129D5"/>
    <w:rsid w:val="00E12B47"/>
    <w:rsid w:val="00E12B7D"/>
    <w:rsid w:val="00E12EDC"/>
    <w:rsid w:val="00E1351E"/>
    <w:rsid w:val="00E142AB"/>
    <w:rsid w:val="00E14425"/>
    <w:rsid w:val="00E145AB"/>
    <w:rsid w:val="00E14DA6"/>
    <w:rsid w:val="00E14FD5"/>
    <w:rsid w:val="00E1568A"/>
    <w:rsid w:val="00E1581F"/>
    <w:rsid w:val="00E15909"/>
    <w:rsid w:val="00E15F16"/>
    <w:rsid w:val="00E16287"/>
    <w:rsid w:val="00E165A3"/>
    <w:rsid w:val="00E167C2"/>
    <w:rsid w:val="00E17103"/>
    <w:rsid w:val="00E17224"/>
    <w:rsid w:val="00E179EE"/>
    <w:rsid w:val="00E17D34"/>
    <w:rsid w:val="00E20762"/>
    <w:rsid w:val="00E2085F"/>
    <w:rsid w:val="00E20D3C"/>
    <w:rsid w:val="00E21499"/>
    <w:rsid w:val="00E21BCD"/>
    <w:rsid w:val="00E2251A"/>
    <w:rsid w:val="00E2273A"/>
    <w:rsid w:val="00E228C3"/>
    <w:rsid w:val="00E22A54"/>
    <w:rsid w:val="00E22DE3"/>
    <w:rsid w:val="00E23181"/>
    <w:rsid w:val="00E23C31"/>
    <w:rsid w:val="00E24179"/>
    <w:rsid w:val="00E24628"/>
    <w:rsid w:val="00E24A34"/>
    <w:rsid w:val="00E24D7F"/>
    <w:rsid w:val="00E251C4"/>
    <w:rsid w:val="00E253BC"/>
    <w:rsid w:val="00E25B47"/>
    <w:rsid w:val="00E26016"/>
    <w:rsid w:val="00E26200"/>
    <w:rsid w:val="00E263E9"/>
    <w:rsid w:val="00E271ED"/>
    <w:rsid w:val="00E2760D"/>
    <w:rsid w:val="00E27A02"/>
    <w:rsid w:val="00E305AC"/>
    <w:rsid w:val="00E30D64"/>
    <w:rsid w:val="00E30FD7"/>
    <w:rsid w:val="00E32505"/>
    <w:rsid w:val="00E32DD4"/>
    <w:rsid w:val="00E340FD"/>
    <w:rsid w:val="00E3448F"/>
    <w:rsid w:val="00E344C9"/>
    <w:rsid w:val="00E34B9E"/>
    <w:rsid w:val="00E35294"/>
    <w:rsid w:val="00E35DD9"/>
    <w:rsid w:val="00E36912"/>
    <w:rsid w:val="00E37D74"/>
    <w:rsid w:val="00E40261"/>
    <w:rsid w:val="00E40CEC"/>
    <w:rsid w:val="00E41FC2"/>
    <w:rsid w:val="00E43506"/>
    <w:rsid w:val="00E43B98"/>
    <w:rsid w:val="00E440DA"/>
    <w:rsid w:val="00E4438A"/>
    <w:rsid w:val="00E44F87"/>
    <w:rsid w:val="00E45BE0"/>
    <w:rsid w:val="00E45DA0"/>
    <w:rsid w:val="00E462C6"/>
    <w:rsid w:val="00E46424"/>
    <w:rsid w:val="00E46604"/>
    <w:rsid w:val="00E46961"/>
    <w:rsid w:val="00E473A8"/>
    <w:rsid w:val="00E474A0"/>
    <w:rsid w:val="00E508DA"/>
    <w:rsid w:val="00E52042"/>
    <w:rsid w:val="00E5224A"/>
    <w:rsid w:val="00E52DBC"/>
    <w:rsid w:val="00E52F45"/>
    <w:rsid w:val="00E54F48"/>
    <w:rsid w:val="00E554C9"/>
    <w:rsid w:val="00E5559D"/>
    <w:rsid w:val="00E555DD"/>
    <w:rsid w:val="00E556C6"/>
    <w:rsid w:val="00E55969"/>
    <w:rsid w:val="00E55AEB"/>
    <w:rsid w:val="00E55FCD"/>
    <w:rsid w:val="00E56010"/>
    <w:rsid w:val="00E5654D"/>
    <w:rsid w:val="00E565C5"/>
    <w:rsid w:val="00E5679C"/>
    <w:rsid w:val="00E56D23"/>
    <w:rsid w:val="00E57158"/>
    <w:rsid w:val="00E6006D"/>
    <w:rsid w:val="00E609C1"/>
    <w:rsid w:val="00E6188B"/>
    <w:rsid w:val="00E61C89"/>
    <w:rsid w:val="00E61F89"/>
    <w:rsid w:val="00E6210D"/>
    <w:rsid w:val="00E62853"/>
    <w:rsid w:val="00E63546"/>
    <w:rsid w:val="00E635B8"/>
    <w:rsid w:val="00E63D33"/>
    <w:rsid w:val="00E63FCF"/>
    <w:rsid w:val="00E641A5"/>
    <w:rsid w:val="00E64566"/>
    <w:rsid w:val="00E646EA"/>
    <w:rsid w:val="00E64FAB"/>
    <w:rsid w:val="00E65C0B"/>
    <w:rsid w:val="00E662D8"/>
    <w:rsid w:val="00E6659D"/>
    <w:rsid w:val="00E67186"/>
    <w:rsid w:val="00E67BC5"/>
    <w:rsid w:val="00E70208"/>
    <w:rsid w:val="00E7020C"/>
    <w:rsid w:val="00E70883"/>
    <w:rsid w:val="00E71A3D"/>
    <w:rsid w:val="00E72231"/>
    <w:rsid w:val="00E723A8"/>
    <w:rsid w:val="00E72BF2"/>
    <w:rsid w:val="00E73C41"/>
    <w:rsid w:val="00E7444F"/>
    <w:rsid w:val="00E74716"/>
    <w:rsid w:val="00E754F7"/>
    <w:rsid w:val="00E756BE"/>
    <w:rsid w:val="00E759CA"/>
    <w:rsid w:val="00E75B3E"/>
    <w:rsid w:val="00E75DA7"/>
    <w:rsid w:val="00E76A98"/>
    <w:rsid w:val="00E76C43"/>
    <w:rsid w:val="00E8029E"/>
    <w:rsid w:val="00E805BB"/>
    <w:rsid w:val="00E80CD5"/>
    <w:rsid w:val="00E81651"/>
    <w:rsid w:val="00E81A38"/>
    <w:rsid w:val="00E81DFF"/>
    <w:rsid w:val="00E81ED6"/>
    <w:rsid w:val="00E81F00"/>
    <w:rsid w:val="00E82443"/>
    <w:rsid w:val="00E832E6"/>
    <w:rsid w:val="00E833F9"/>
    <w:rsid w:val="00E835ED"/>
    <w:rsid w:val="00E83807"/>
    <w:rsid w:val="00E83940"/>
    <w:rsid w:val="00E84124"/>
    <w:rsid w:val="00E84CD6"/>
    <w:rsid w:val="00E85046"/>
    <w:rsid w:val="00E856D9"/>
    <w:rsid w:val="00E87450"/>
    <w:rsid w:val="00E87639"/>
    <w:rsid w:val="00E903BF"/>
    <w:rsid w:val="00E90473"/>
    <w:rsid w:val="00E90605"/>
    <w:rsid w:val="00E9098D"/>
    <w:rsid w:val="00E91DC3"/>
    <w:rsid w:val="00E9273A"/>
    <w:rsid w:val="00E93040"/>
    <w:rsid w:val="00E934DC"/>
    <w:rsid w:val="00E93E88"/>
    <w:rsid w:val="00E944A0"/>
    <w:rsid w:val="00E946EB"/>
    <w:rsid w:val="00E94D5A"/>
    <w:rsid w:val="00E96533"/>
    <w:rsid w:val="00E96658"/>
    <w:rsid w:val="00E96A7D"/>
    <w:rsid w:val="00E96F0F"/>
    <w:rsid w:val="00E96F1F"/>
    <w:rsid w:val="00E978FF"/>
    <w:rsid w:val="00E97C4F"/>
    <w:rsid w:val="00EA0315"/>
    <w:rsid w:val="00EA0D3A"/>
    <w:rsid w:val="00EA0E56"/>
    <w:rsid w:val="00EA1357"/>
    <w:rsid w:val="00EA1ED5"/>
    <w:rsid w:val="00EA274F"/>
    <w:rsid w:val="00EA2EA7"/>
    <w:rsid w:val="00EA3FB3"/>
    <w:rsid w:val="00EA4A27"/>
    <w:rsid w:val="00EA4C35"/>
    <w:rsid w:val="00EA4F15"/>
    <w:rsid w:val="00EA516F"/>
    <w:rsid w:val="00EA537E"/>
    <w:rsid w:val="00EA53E4"/>
    <w:rsid w:val="00EA53F5"/>
    <w:rsid w:val="00EA5E84"/>
    <w:rsid w:val="00EA5F47"/>
    <w:rsid w:val="00EA7888"/>
    <w:rsid w:val="00EA7EC4"/>
    <w:rsid w:val="00EA7EF8"/>
    <w:rsid w:val="00EB0341"/>
    <w:rsid w:val="00EB1092"/>
    <w:rsid w:val="00EB1113"/>
    <w:rsid w:val="00EB13D9"/>
    <w:rsid w:val="00EB306C"/>
    <w:rsid w:val="00EB3157"/>
    <w:rsid w:val="00EB33D6"/>
    <w:rsid w:val="00EB3F55"/>
    <w:rsid w:val="00EB3FE3"/>
    <w:rsid w:val="00EB4703"/>
    <w:rsid w:val="00EB4B45"/>
    <w:rsid w:val="00EB58F7"/>
    <w:rsid w:val="00EB65C9"/>
    <w:rsid w:val="00EB6CED"/>
    <w:rsid w:val="00EB72AE"/>
    <w:rsid w:val="00EB756C"/>
    <w:rsid w:val="00EC0C00"/>
    <w:rsid w:val="00EC1AD2"/>
    <w:rsid w:val="00EC2877"/>
    <w:rsid w:val="00EC28FE"/>
    <w:rsid w:val="00EC3620"/>
    <w:rsid w:val="00EC3FBD"/>
    <w:rsid w:val="00EC46A5"/>
    <w:rsid w:val="00EC6025"/>
    <w:rsid w:val="00EC7404"/>
    <w:rsid w:val="00ED17BE"/>
    <w:rsid w:val="00ED1BF0"/>
    <w:rsid w:val="00ED33F0"/>
    <w:rsid w:val="00ED3498"/>
    <w:rsid w:val="00ED3546"/>
    <w:rsid w:val="00ED3F5E"/>
    <w:rsid w:val="00ED4309"/>
    <w:rsid w:val="00ED4CBD"/>
    <w:rsid w:val="00ED50A6"/>
    <w:rsid w:val="00ED552E"/>
    <w:rsid w:val="00ED631F"/>
    <w:rsid w:val="00ED6F47"/>
    <w:rsid w:val="00ED7161"/>
    <w:rsid w:val="00EE02A2"/>
    <w:rsid w:val="00EE0666"/>
    <w:rsid w:val="00EE082F"/>
    <w:rsid w:val="00EE0C78"/>
    <w:rsid w:val="00EE0F5D"/>
    <w:rsid w:val="00EE14D6"/>
    <w:rsid w:val="00EE1503"/>
    <w:rsid w:val="00EE16CA"/>
    <w:rsid w:val="00EE181C"/>
    <w:rsid w:val="00EE29DF"/>
    <w:rsid w:val="00EE2CA2"/>
    <w:rsid w:val="00EE2FEB"/>
    <w:rsid w:val="00EE31C8"/>
    <w:rsid w:val="00EE33C0"/>
    <w:rsid w:val="00EE4CAB"/>
    <w:rsid w:val="00EE4D46"/>
    <w:rsid w:val="00EE521D"/>
    <w:rsid w:val="00EE5329"/>
    <w:rsid w:val="00EE574D"/>
    <w:rsid w:val="00EE66E4"/>
    <w:rsid w:val="00EE686A"/>
    <w:rsid w:val="00EE715A"/>
    <w:rsid w:val="00EF07EE"/>
    <w:rsid w:val="00EF2047"/>
    <w:rsid w:val="00EF2453"/>
    <w:rsid w:val="00EF2B5F"/>
    <w:rsid w:val="00EF2E79"/>
    <w:rsid w:val="00EF3466"/>
    <w:rsid w:val="00EF49C8"/>
    <w:rsid w:val="00EF556F"/>
    <w:rsid w:val="00EF5B39"/>
    <w:rsid w:val="00EF5FCF"/>
    <w:rsid w:val="00EF6005"/>
    <w:rsid w:val="00EF6684"/>
    <w:rsid w:val="00EF67D2"/>
    <w:rsid w:val="00EF67ED"/>
    <w:rsid w:val="00EF68C9"/>
    <w:rsid w:val="00EF69E9"/>
    <w:rsid w:val="00EF78F5"/>
    <w:rsid w:val="00EF7F03"/>
    <w:rsid w:val="00F0000C"/>
    <w:rsid w:val="00F00B9F"/>
    <w:rsid w:val="00F00E73"/>
    <w:rsid w:val="00F0107C"/>
    <w:rsid w:val="00F01189"/>
    <w:rsid w:val="00F014FF"/>
    <w:rsid w:val="00F02CB9"/>
    <w:rsid w:val="00F035B0"/>
    <w:rsid w:val="00F0386C"/>
    <w:rsid w:val="00F03B85"/>
    <w:rsid w:val="00F03E82"/>
    <w:rsid w:val="00F04372"/>
    <w:rsid w:val="00F05A13"/>
    <w:rsid w:val="00F05D6B"/>
    <w:rsid w:val="00F05D8D"/>
    <w:rsid w:val="00F05FFD"/>
    <w:rsid w:val="00F06068"/>
    <w:rsid w:val="00F06E99"/>
    <w:rsid w:val="00F070BB"/>
    <w:rsid w:val="00F070D1"/>
    <w:rsid w:val="00F07517"/>
    <w:rsid w:val="00F07F16"/>
    <w:rsid w:val="00F1050B"/>
    <w:rsid w:val="00F10630"/>
    <w:rsid w:val="00F10864"/>
    <w:rsid w:val="00F10D7E"/>
    <w:rsid w:val="00F1125F"/>
    <w:rsid w:val="00F11821"/>
    <w:rsid w:val="00F11948"/>
    <w:rsid w:val="00F11C11"/>
    <w:rsid w:val="00F12017"/>
    <w:rsid w:val="00F1298C"/>
    <w:rsid w:val="00F13249"/>
    <w:rsid w:val="00F143B1"/>
    <w:rsid w:val="00F151B9"/>
    <w:rsid w:val="00F15526"/>
    <w:rsid w:val="00F1597D"/>
    <w:rsid w:val="00F159C0"/>
    <w:rsid w:val="00F15FCA"/>
    <w:rsid w:val="00F16757"/>
    <w:rsid w:val="00F16B40"/>
    <w:rsid w:val="00F178E9"/>
    <w:rsid w:val="00F17D7F"/>
    <w:rsid w:val="00F207F4"/>
    <w:rsid w:val="00F20B30"/>
    <w:rsid w:val="00F2100C"/>
    <w:rsid w:val="00F21779"/>
    <w:rsid w:val="00F21DF0"/>
    <w:rsid w:val="00F228D6"/>
    <w:rsid w:val="00F24A02"/>
    <w:rsid w:val="00F24B56"/>
    <w:rsid w:val="00F253C0"/>
    <w:rsid w:val="00F268EC"/>
    <w:rsid w:val="00F274CF"/>
    <w:rsid w:val="00F275D0"/>
    <w:rsid w:val="00F27876"/>
    <w:rsid w:val="00F27FDD"/>
    <w:rsid w:val="00F30640"/>
    <w:rsid w:val="00F30BE1"/>
    <w:rsid w:val="00F30CF6"/>
    <w:rsid w:val="00F323A1"/>
    <w:rsid w:val="00F32651"/>
    <w:rsid w:val="00F326DE"/>
    <w:rsid w:val="00F3460D"/>
    <w:rsid w:val="00F35B62"/>
    <w:rsid w:val="00F36537"/>
    <w:rsid w:val="00F36BFB"/>
    <w:rsid w:val="00F3730A"/>
    <w:rsid w:val="00F40036"/>
    <w:rsid w:val="00F40192"/>
    <w:rsid w:val="00F4098E"/>
    <w:rsid w:val="00F41738"/>
    <w:rsid w:val="00F41ABF"/>
    <w:rsid w:val="00F422E1"/>
    <w:rsid w:val="00F42319"/>
    <w:rsid w:val="00F423AF"/>
    <w:rsid w:val="00F42B8F"/>
    <w:rsid w:val="00F4358F"/>
    <w:rsid w:val="00F43B3F"/>
    <w:rsid w:val="00F43E6C"/>
    <w:rsid w:val="00F44891"/>
    <w:rsid w:val="00F44FB5"/>
    <w:rsid w:val="00F45FA5"/>
    <w:rsid w:val="00F45FEE"/>
    <w:rsid w:val="00F46904"/>
    <w:rsid w:val="00F4743A"/>
    <w:rsid w:val="00F4756F"/>
    <w:rsid w:val="00F476F1"/>
    <w:rsid w:val="00F47F9B"/>
    <w:rsid w:val="00F50349"/>
    <w:rsid w:val="00F50753"/>
    <w:rsid w:val="00F50A99"/>
    <w:rsid w:val="00F51491"/>
    <w:rsid w:val="00F516BD"/>
    <w:rsid w:val="00F52469"/>
    <w:rsid w:val="00F52592"/>
    <w:rsid w:val="00F525F8"/>
    <w:rsid w:val="00F5321D"/>
    <w:rsid w:val="00F53A9F"/>
    <w:rsid w:val="00F54BBC"/>
    <w:rsid w:val="00F54E0D"/>
    <w:rsid w:val="00F54E70"/>
    <w:rsid w:val="00F54FDD"/>
    <w:rsid w:val="00F55A79"/>
    <w:rsid w:val="00F56076"/>
    <w:rsid w:val="00F5724D"/>
    <w:rsid w:val="00F57A85"/>
    <w:rsid w:val="00F57DC7"/>
    <w:rsid w:val="00F601F0"/>
    <w:rsid w:val="00F6064C"/>
    <w:rsid w:val="00F60A7D"/>
    <w:rsid w:val="00F60E8D"/>
    <w:rsid w:val="00F61584"/>
    <w:rsid w:val="00F6167B"/>
    <w:rsid w:val="00F61F29"/>
    <w:rsid w:val="00F63A4F"/>
    <w:rsid w:val="00F64529"/>
    <w:rsid w:val="00F64728"/>
    <w:rsid w:val="00F649A5"/>
    <w:rsid w:val="00F65E52"/>
    <w:rsid w:val="00F663A2"/>
    <w:rsid w:val="00F66AF6"/>
    <w:rsid w:val="00F67220"/>
    <w:rsid w:val="00F67806"/>
    <w:rsid w:val="00F67D5A"/>
    <w:rsid w:val="00F70353"/>
    <w:rsid w:val="00F70F8C"/>
    <w:rsid w:val="00F70FB5"/>
    <w:rsid w:val="00F7135D"/>
    <w:rsid w:val="00F71808"/>
    <w:rsid w:val="00F71F34"/>
    <w:rsid w:val="00F72A48"/>
    <w:rsid w:val="00F73B1E"/>
    <w:rsid w:val="00F7426D"/>
    <w:rsid w:val="00F74454"/>
    <w:rsid w:val="00F752FA"/>
    <w:rsid w:val="00F754DB"/>
    <w:rsid w:val="00F761DA"/>
    <w:rsid w:val="00F7635E"/>
    <w:rsid w:val="00F76A23"/>
    <w:rsid w:val="00F76AB0"/>
    <w:rsid w:val="00F76C51"/>
    <w:rsid w:val="00F779E3"/>
    <w:rsid w:val="00F77B48"/>
    <w:rsid w:val="00F8063F"/>
    <w:rsid w:val="00F806B9"/>
    <w:rsid w:val="00F807F7"/>
    <w:rsid w:val="00F8086E"/>
    <w:rsid w:val="00F8198F"/>
    <w:rsid w:val="00F81C27"/>
    <w:rsid w:val="00F81D4C"/>
    <w:rsid w:val="00F81E43"/>
    <w:rsid w:val="00F82062"/>
    <w:rsid w:val="00F825DB"/>
    <w:rsid w:val="00F83116"/>
    <w:rsid w:val="00F83897"/>
    <w:rsid w:val="00F854F0"/>
    <w:rsid w:val="00F85894"/>
    <w:rsid w:val="00F85E44"/>
    <w:rsid w:val="00F86162"/>
    <w:rsid w:val="00F86FDA"/>
    <w:rsid w:val="00F87454"/>
    <w:rsid w:val="00F87FED"/>
    <w:rsid w:val="00F9024A"/>
    <w:rsid w:val="00F91336"/>
    <w:rsid w:val="00F91363"/>
    <w:rsid w:val="00F92742"/>
    <w:rsid w:val="00F92DF9"/>
    <w:rsid w:val="00F934AD"/>
    <w:rsid w:val="00F935A4"/>
    <w:rsid w:val="00F937DB"/>
    <w:rsid w:val="00F9399D"/>
    <w:rsid w:val="00F93BBA"/>
    <w:rsid w:val="00F93BCE"/>
    <w:rsid w:val="00F94070"/>
    <w:rsid w:val="00F9429C"/>
    <w:rsid w:val="00F94655"/>
    <w:rsid w:val="00F94BAE"/>
    <w:rsid w:val="00F9611D"/>
    <w:rsid w:val="00F96D95"/>
    <w:rsid w:val="00F96DC3"/>
    <w:rsid w:val="00F97D60"/>
    <w:rsid w:val="00F97F3A"/>
    <w:rsid w:val="00FA0A4F"/>
    <w:rsid w:val="00FA19DA"/>
    <w:rsid w:val="00FA22F3"/>
    <w:rsid w:val="00FA28BC"/>
    <w:rsid w:val="00FA2BE0"/>
    <w:rsid w:val="00FA31C8"/>
    <w:rsid w:val="00FA3470"/>
    <w:rsid w:val="00FA3620"/>
    <w:rsid w:val="00FA58F3"/>
    <w:rsid w:val="00FA6D10"/>
    <w:rsid w:val="00FA7CDF"/>
    <w:rsid w:val="00FB0B4F"/>
    <w:rsid w:val="00FB167E"/>
    <w:rsid w:val="00FB178D"/>
    <w:rsid w:val="00FB1C6C"/>
    <w:rsid w:val="00FB1DA9"/>
    <w:rsid w:val="00FB246F"/>
    <w:rsid w:val="00FB2976"/>
    <w:rsid w:val="00FB2B10"/>
    <w:rsid w:val="00FB2C29"/>
    <w:rsid w:val="00FB2F18"/>
    <w:rsid w:val="00FB3298"/>
    <w:rsid w:val="00FB3809"/>
    <w:rsid w:val="00FB3951"/>
    <w:rsid w:val="00FB5070"/>
    <w:rsid w:val="00FB515B"/>
    <w:rsid w:val="00FB5422"/>
    <w:rsid w:val="00FB6113"/>
    <w:rsid w:val="00FB66FC"/>
    <w:rsid w:val="00FB736F"/>
    <w:rsid w:val="00FB7741"/>
    <w:rsid w:val="00FC06EE"/>
    <w:rsid w:val="00FC07F7"/>
    <w:rsid w:val="00FC15E0"/>
    <w:rsid w:val="00FC203B"/>
    <w:rsid w:val="00FC2B0F"/>
    <w:rsid w:val="00FC2CF1"/>
    <w:rsid w:val="00FC34BF"/>
    <w:rsid w:val="00FC4702"/>
    <w:rsid w:val="00FC499C"/>
    <w:rsid w:val="00FC50C7"/>
    <w:rsid w:val="00FC53D2"/>
    <w:rsid w:val="00FC53D3"/>
    <w:rsid w:val="00FC6165"/>
    <w:rsid w:val="00FC67F4"/>
    <w:rsid w:val="00FC689A"/>
    <w:rsid w:val="00FC7D6B"/>
    <w:rsid w:val="00FC7F25"/>
    <w:rsid w:val="00FD0919"/>
    <w:rsid w:val="00FD0BC0"/>
    <w:rsid w:val="00FD16E3"/>
    <w:rsid w:val="00FD2029"/>
    <w:rsid w:val="00FD2474"/>
    <w:rsid w:val="00FD28A3"/>
    <w:rsid w:val="00FD2EC1"/>
    <w:rsid w:val="00FD41DE"/>
    <w:rsid w:val="00FD5329"/>
    <w:rsid w:val="00FD5E01"/>
    <w:rsid w:val="00FD65F0"/>
    <w:rsid w:val="00FD66AE"/>
    <w:rsid w:val="00FD6A7D"/>
    <w:rsid w:val="00FD6EEE"/>
    <w:rsid w:val="00FD7DCB"/>
    <w:rsid w:val="00FD7F14"/>
    <w:rsid w:val="00FD7F1D"/>
    <w:rsid w:val="00FD7FAA"/>
    <w:rsid w:val="00FE028E"/>
    <w:rsid w:val="00FE041A"/>
    <w:rsid w:val="00FE07F1"/>
    <w:rsid w:val="00FE10B1"/>
    <w:rsid w:val="00FE154F"/>
    <w:rsid w:val="00FE17B4"/>
    <w:rsid w:val="00FE21E1"/>
    <w:rsid w:val="00FE2852"/>
    <w:rsid w:val="00FE34AF"/>
    <w:rsid w:val="00FE3A7D"/>
    <w:rsid w:val="00FE3D0C"/>
    <w:rsid w:val="00FE50F8"/>
    <w:rsid w:val="00FE540D"/>
    <w:rsid w:val="00FE5B8F"/>
    <w:rsid w:val="00FE60B4"/>
    <w:rsid w:val="00FE6480"/>
    <w:rsid w:val="00FE6B23"/>
    <w:rsid w:val="00FE6C44"/>
    <w:rsid w:val="00FF1394"/>
    <w:rsid w:val="00FF18D4"/>
    <w:rsid w:val="00FF1E07"/>
    <w:rsid w:val="00FF351E"/>
    <w:rsid w:val="00FF3C9D"/>
    <w:rsid w:val="00FF3E83"/>
    <w:rsid w:val="00FF4436"/>
    <w:rsid w:val="00FF45BF"/>
    <w:rsid w:val="00FF4D8A"/>
    <w:rsid w:val="00FF579A"/>
    <w:rsid w:val="00FF584F"/>
    <w:rsid w:val="00FF58E0"/>
    <w:rsid w:val="00FF5B9D"/>
    <w:rsid w:val="00FF5C44"/>
    <w:rsid w:val="00FF6B0D"/>
    <w:rsid w:val="00FF7C93"/>
    <w:rsid w:val="00FF7F84"/>
    <w:rsid w:val="012A4E6C"/>
    <w:rsid w:val="012E0D5A"/>
    <w:rsid w:val="01310D5C"/>
    <w:rsid w:val="0136125B"/>
    <w:rsid w:val="0149531F"/>
    <w:rsid w:val="015500D4"/>
    <w:rsid w:val="01E77EE0"/>
    <w:rsid w:val="01FC6FBA"/>
    <w:rsid w:val="0242619F"/>
    <w:rsid w:val="027448F3"/>
    <w:rsid w:val="027D3ECA"/>
    <w:rsid w:val="02EE3AAB"/>
    <w:rsid w:val="03446AC6"/>
    <w:rsid w:val="035A7648"/>
    <w:rsid w:val="037F7029"/>
    <w:rsid w:val="0388494E"/>
    <w:rsid w:val="03AA2F90"/>
    <w:rsid w:val="03CD00F3"/>
    <w:rsid w:val="03E233DD"/>
    <w:rsid w:val="03F94E04"/>
    <w:rsid w:val="04003DAC"/>
    <w:rsid w:val="04207820"/>
    <w:rsid w:val="043A4C0C"/>
    <w:rsid w:val="04661FE2"/>
    <w:rsid w:val="048D054A"/>
    <w:rsid w:val="04956AD6"/>
    <w:rsid w:val="049C7436"/>
    <w:rsid w:val="04B66F97"/>
    <w:rsid w:val="04C64E9E"/>
    <w:rsid w:val="04D53478"/>
    <w:rsid w:val="04DC3312"/>
    <w:rsid w:val="04F6678A"/>
    <w:rsid w:val="05376BD5"/>
    <w:rsid w:val="05567AF3"/>
    <w:rsid w:val="057A26DE"/>
    <w:rsid w:val="058256F6"/>
    <w:rsid w:val="059F614C"/>
    <w:rsid w:val="05A6293E"/>
    <w:rsid w:val="05A7359D"/>
    <w:rsid w:val="05C1492D"/>
    <w:rsid w:val="05C828FE"/>
    <w:rsid w:val="05D77182"/>
    <w:rsid w:val="06670B8A"/>
    <w:rsid w:val="06921177"/>
    <w:rsid w:val="06B167E3"/>
    <w:rsid w:val="06C03211"/>
    <w:rsid w:val="06F6157D"/>
    <w:rsid w:val="06F63052"/>
    <w:rsid w:val="072F1C6A"/>
    <w:rsid w:val="07310FED"/>
    <w:rsid w:val="073305C6"/>
    <w:rsid w:val="074118B7"/>
    <w:rsid w:val="07AD048D"/>
    <w:rsid w:val="07C64A91"/>
    <w:rsid w:val="07EB6D3A"/>
    <w:rsid w:val="0808088E"/>
    <w:rsid w:val="084E5AEC"/>
    <w:rsid w:val="08590278"/>
    <w:rsid w:val="08BD0619"/>
    <w:rsid w:val="09295185"/>
    <w:rsid w:val="096E31D5"/>
    <w:rsid w:val="09823D38"/>
    <w:rsid w:val="09872D90"/>
    <w:rsid w:val="098E76FD"/>
    <w:rsid w:val="099C5B56"/>
    <w:rsid w:val="09DD401D"/>
    <w:rsid w:val="09E72B7C"/>
    <w:rsid w:val="09FB32DC"/>
    <w:rsid w:val="0A0B09C3"/>
    <w:rsid w:val="0A245F94"/>
    <w:rsid w:val="0A317B36"/>
    <w:rsid w:val="0A6E5999"/>
    <w:rsid w:val="0A7A468C"/>
    <w:rsid w:val="0A8B72C2"/>
    <w:rsid w:val="0AA47642"/>
    <w:rsid w:val="0ABB0D74"/>
    <w:rsid w:val="0ABF1D6B"/>
    <w:rsid w:val="0AD52FF9"/>
    <w:rsid w:val="0AF767EC"/>
    <w:rsid w:val="0B4F5D4F"/>
    <w:rsid w:val="0BC00D50"/>
    <w:rsid w:val="0BF250A2"/>
    <w:rsid w:val="0C436882"/>
    <w:rsid w:val="0C7B0006"/>
    <w:rsid w:val="0C7C5345"/>
    <w:rsid w:val="0CA17B55"/>
    <w:rsid w:val="0CB75E6F"/>
    <w:rsid w:val="0CD533FA"/>
    <w:rsid w:val="0D306709"/>
    <w:rsid w:val="0D3346E5"/>
    <w:rsid w:val="0D4450B0"/>
    <w:rsid w:val="0D534FD2"/>
    <w:rsid w:val="0D651E2C"/>
    <w:rsid w:val="0D8C7A88"/>
    <w:rsid w:val="0DB20DFF"/>
    <w:rsid w:val="0DBD4E2F"/>
    <w:rsid w:val="0DF04CC1"/>
    <w:rsid w:val="0E1036E9"/>
    <w:rsid w:val="0E422787"/>
    <w:rsid w:val="0E4D7DAB"/>
    <w:rsid w:val="0E8C70DE"/>
    <w:rsid w:val="0EA8009C"/>
    <w:rsid w:val="0EAE52BF"/>
    <w:rsid w:val="0F1E0287"/>
    <w:rsid w:val="0F273A0D"/>
    <w:rsid w:val="0F2B57F0"/>
    <w:rsid w:val="0F576A08"/>
    <w:rsid w:val="0F5D67A2"/>
    <w:rsid w:val="0F6372E1"/>
    <w:rsid w:val="0F7313E1"/>
    <w:rsid w:val="0FA5497D"/>
    <w:rsid w:val="0FE21AB3"/>
    <w:rsid w:val="0FFF767F"/>
    <w:rsid w:val="10047D86"/>
    <w:rsid w:val="10195331"/>
    <w:rsid w:val="101D2EFA"/>
    <w:rsid w:val="107A7D33"/>
    <w:rsid w:val="1082555B"/>
    <w:rsid w:val="10852178"/>
    <w:rsid w:val="10AC3FAC"/>
    <w:rsid w:val="10AE1C76"/>
    <w:rsid w:val="10B35F68"/>
    <w:rsid w:val="110C636E"/>
    <w:rsid w:val="11281D66"/>
    <w:rsid w:val="11657B50"/>
    <w:rsid w:val="11C87CA0"/>
    <w:rsid w:val="11CC78F9"/>
    <w:rsid w:val="12046D71"/>
    <w:rsid w:val="121A65A7"/>
    <w:rsid w:val="123D7484"/>
    <w:rsid w:val="12570F54"/>
    <w:rsid w:val="127E3BBB"/>
    <w:rsid w:val="128412D9"/>
    <w:rsid w:val="1295668E"/>
    <w:rsid w:val="12BD325C"/>
    <w:rsid w:val="13440507"/>
    <w:rsid w:val="135F6956"/>
    <w:rsid w:val="136071AC"/>
    <w:rsid w:val="137A6033"/>
    <w:rsid w:val="13A41FEF"/>
    <w:rsid w:val="13D67062"/>
    <w:rsid w:val="141515A1"/>
    <w:rsid w:val="142065F5"/>
    <w:rsid w:val="14404290"/>
    <w:rsid w:val="145A0D08"/>
    <w:rsid w:val="147416D9"/>
    <w:rsid w:val="14A96658"/>
    <w:rsid w:val="14BB3F7F"/>
    <w:rsid w:val="14E006BA"/>
    <w:rsid w:val="15071FAF"/>
    <w:rsid w:val="152F2973"/>
    <w:rsid w:val="154D0DC2"/>
    <w:rsid w:val="15A80E4B"/>
    <w:rsid w:val="15CF36FD"/>
    <w:rsid w:val="15D0042D"/>
    <w:rsid w:val="15E24345"/>
    <w:rsid w:val="15EF0BE8"/>
    <w:rsid w:val="163A5D75"/>
    <w:rsid w:val="166D3A17"/>
    <w:rsid w:val="167359D5"/>
    <w:rsid w:val="168C471C"/>
    <w:rsid w:val="16BB366F"/>
    <w:rsid w:val="16CD0B15"/>
    <w:rsid w:val="16CD0EF8"/>
    <w:rsid w:val="171F1698"/>
    <w:rsid w:val="176F6BD6"/>
    <w:rsid w:val="178F3F72"/>
    <w:rsid w:val="17A66E94"/>
    <w:rsid w:val="17B71A03"/>
    <w:rsid w:val="17C211AB"/>
    <w:rsid w:val="17C834ED"/>
    <w:rsid w:val="17CC7926"/>
    <w:rsid w:val="180A3D45"/>
    <w:rsid w:val="1854361B"/>
    <w:rsid w:val="18684BBD"/>
    <w:rsid w:val="18930B44"/>
    <w:rsid w:val="18A321FC"/>
    <w:rsid w:val="18C13624"/>
    <w:rsid w:val="18D16667"/>
    <w:rsid w:val="19513E97"/>
    <w:rsid w:val="197F636C"/>
    <w:rsid w:val="19BB24E6"/>
    <w:rsid w:val="1A1E1ADA"/>
    <w:rsid w:val="1A370542"/>
    <w:rsid w:val="1A6B6279"/>
    <w:rsid w:val="1A9A77C2"/>
    <w:rsid w:val="1AA33132"/>
    <w:rsid w:val="1B0906D3"/>
    <w:rsid w:val="1B2C5222"/>
    <w:rsid w:val="1B8C07D1"/>
    <w:rsid w:val="1B94638E"/>
    <w:rsid w:val="1B9B4D9E"/>
    <w:rsid w:val="1BD47D61"/>
    <w:rsid w:val="1BFA10C3"/>
    <w:rsid w:val="1C091561"/>
    <w:rsid w:val="1C091F39"/>
    <w:rsid w:val="1C412B3F"/>
    <w:rsid w:val="1CF201D2"/>
    <w:rsid w:val="1D0E2CF8"/>
    <w:rsid w:val="1D0F5673"/>
    <w:rsid w:val="1D141825"/>
    <w:rsid w:val="1D386DF9"/>
    <w:rsid w:val="1D505154"/>
    <w:rsid w:val="1DA01FE1"/>
    <w:rsid w:val="1DBF7689"/>
    <w:rsid w:val="1DC505CB"/>
    <w:rsid w:val="1DEE7C98"/>
    <w:rsid w:val="1DF025DA"/>
    <w:rsid w:val="1E431800"/>
    <w:rsid w:val="1E680BA9"/>
    <w:rsid w:val="1E78018F"/>
    <w:rsid w:val="1E8A5F7B"/>
    <w:rsid w:val="1ECA5EA4"/>
    <w:rsid w:val="1EF36751"/>
    <w:rsid w:val="1EF8008D"/>
    <w:rsid w:val="1F18701E"/>
    <w:rsid w:val="1F1E7E3A"/>
    <w:rsid w:val="1F532976"/>
    <w:rsid w:val="1F5935A3"/>
    <w:rsid w:val="1F6479BB"/>
    <w:rsid w:val="1F9905F4"/>
    <w:rsid w:val="200F04E7"/>
    <w:rsid w:val="20482C70"/>
    <w:rsid w:val="20611E55"/>
    <w:rsid w:val="206C1D38"/>
    <w:rsid w:val="208657D1"/>
    <w:rsid w:val="208D0E3A"/>
    <w:rsid w:val="2094379A"/>
    <w:rsid w:val="20A22A81"/>
    <w:rsid w:val="20C80919"/>
    <w:rsid w:val="20E20E83"/>
    <w:rsid w:val="20EF7907"/>
    <w:rsid w:val="20F876D7"/>
    <w:rsid w:val="2166718A"/>
    <w:rsid w:val="216E18BC"/>
    <w:rsid w:val="217309C5"/>
    <w:rsid w:val="21757D4C"/>
    <w:rsid w:val="217B0960"/>
    <w:rsid w:val="2189158D"/>
    <w:rsid w:val="21A0540B"/>
    <w:rsid w:val="21AB0DDD"/>
    <w:rsid w:val="22052E84"/>
    <w:rsid w:val="220F2CE9"/>
    <w:rsid w:val="22197456"/>
    <w:rsid w:val="223C0D42"/>
    <w:rsid w:val="22536145"/>
    <w:rsid w:val="226856F0"/>
    <w:rsid w:val="22CC3241"/>
    <w:rsid w:val="22D40728"/>
    <w:rsid w:val="22EE1928"/>
    <w:rsid w:val="23072668"/>
    <w:rsid w:val="23276D7E"/>
    <w:rsid w:val="233D769A"/>
    <w:rsid w:val="235052BC"/>
    <w:rsid w:val="23685361"/>
    <w:rsid w:val="23967B32"/>
    <w:rsid w:val="23CD5173"/>
    <w:rsid w:val="23DB718D"/>
    <w:rsid w:val="240E76C2"/>
    <w:rsid w:val="24316300"/>
    <w:rsid w:val="246E2F0F"/>
    <w:rsid w:val="247A53BF"/>
    <w:rsid w:val="249C1BBC"/>
    <w:rsid w:val="24A34F1A"/>
    <w:rsid w:val="24A613DF"/>
    <w:rsid w:val="24AE71FA"/>
    <w:rsid w:val="24B732F6"/>
    <w:rsid w:val="24F00E83"/>
    <w:rsid w:val="24F139CB"/>
    <w:rsid w:val="24FC04A0"/>
    <w:rsid w:val="25035564"/>
    <w:rsid w:val="2511142F"/>
    <w:rsid w:val="254D7A23"/>
    <w:rsid w:val="25715715"/>
    <w:rsid w:val="25A61FDD"/>
    <w:rsid w:val="25C21597"/>
    <w:rsid w:val="25C815AF"/>
    <w:rsid w:val="25E11BF0"/>
    <w:rsid w:val="25EE5DA2"/>
    <w:rsid w:val="25FA0415"/>
    <w:rsid w:val="26351C20"/>
    <w:rsid w:val="267679EB"/>
    <w:rsid w:val="26877020"/>
    <w:rsid w:val="269A1043"/>
    <w:rsid w:val="26C6100B"/>
    <w:rsid w:val="26D120FA"/>
    <w:rsid w:val="26D97329"/>
    <w:rsid w:val="26E84D7C"/>
    <w:rsid w:val="271F631A"/>
    <w:rsid w:val="27932341"/>
    <w:rsid w:val="279359BE"/>
    <w:rsid w:val="27AC01D7"/>
    <w:rsid w:val="27BE603D"/>
    <w:rsid w:val="27ED2999"/>
    <w:rsid w:val="282B24D6"/>
    <w:rsid w:val="285771CC"/>
    <w:rsid w:val="28824E8E"/>
    <w:rsid w:val="28846BB0"/>
    <w:rsid w:val="288A2CE9"/>
    <w:rsid w:val="28A822AB"/>
    <w:rsid w:val="28C66944"/>
    <w:rsid w:val="290335BE"/>
    <w:rsid w:val="290E0457"/>
    <w:rsid w:val="29327394"/>
    <w:rsid w:val="293E1C5C"/>
    <w:rsid w:val="294011E1"/>
    <w:rsid w:val="295016A7"/>
    <w:rsid w:val="2952728E"/>
    <w:rsid w:val="29B76E94"/>
    <w:rsid w:val="29CD0561"/>
    <w:rsid w:val="29DA4EB6"/>
    <w:rsid w:val="29F25330"/>
    <w:rsid w:val="2A030EFE"/>
    <w:rsid w:val="2A0959C0"/>
    <w:rsid w:val="2A1739D1"/>
    <w:rsid w:val="2A34549C"/>
    <w:rsid w:val="2A842290"/>
    <w:rsid w:val="2A903778"/>
    <w:rsid w:val="2AC46EB1"/>
    <w:rsid w:val="2AD3311C"/>
    <w:rsid w:val="2AD7337A"/>
    <w:rsid w:val="2ADB1AB6"/>
    <w:rsid w:val="2AF76BDF"/>
    <w:rsid w:val="2AFE040E"/>
    <w:rsid w:val="2B263DC3"/>
    <w:rsid w:val="2B555603"/>
    <w:rsid w:val="2B6820ED"/>
    <w:rsid w:val="2B7B4F81"/>
    <w:rsid w:val="2BC112F5"/>
    <w:rsid w:val="2BD40964"/>
    <w:rsid w:val="2BD46B6B"/>
    <w:rsid w:val="2C067286"/>
    <w:rsid w:val="2C1772A5"/>
    <w:rsid w:val="2C3D31F7"/>
    <w:rsid w:val="2C3F74E9"/>
    <w:rsid w:val="2C6E2B0C"/>
    <w:rsid w:val="2CC62D0C"/>
    <w:rsid w:val="2D472D4A"/>
    <w:rsid w:val="2D5B11C9"/>
    <w:rsid w:val="2DA02166"/>
    <w:rsid w:val="2DAE5044"/>
    <w:rsid w:val="2DDE164C"/>
    <w:rsid w:val="2DEC0318"/>
    <w:rsid w:val="2E1E23DD"/>
    <w:rsid w:val="2E66137F"/>
    <w:rsid w:val="2E6B15A5"/>
    <w:rsid w:val="2E99414A"/>
    <w:rsid w:val="2F295A70"/>
    <w:rsid w:val="2F4D41E8"/>
    <w:rsid w:val="2F96123D"/>
    <w:rsid w:val="2FAA033C"/>
    <w:rsid w:val="2FAC12CC"/>
    <w:rsid w:val="2FB51147"/>
    <w:rsid w:val="2FE5717F"/>
    <w:rsid w:val="2FEB1BA1"/>
    <w:rsid w:val="2FF23238"/>
    <w:rsid w:val="302044D0"/>
    <w:rsid w:val="30223C45"/>
    <w:rsid w:val="30302D0C"/>
    <w:rsid w:val="3081490B"/>
    <w:rsid w:val="30E44F5E"/>
    <w:rsid w:val="311305FD"/>
    <w:rsid w:val="3171114A"/>
    <w:rsid w:val="31C02773"/>
    <w:rsid w:val="31D14FEB"/>
    <w:rsid w:val="31F3165B"/>
    <w:rsid w:val="32427880"/>
    <w:rsid w:val="328349B4"/>
    <w:rsid w:val="329C754F"/>
    <w:rsid w:val="32A14834"/>
    <w:rsid w:val="32BE6A4B"/>
    <w:rsid w:val="32F56750"/>
    <w:rsid w:val="32FC7F7F"/>
    <w:rsid w:val="32FF6662"/>
    <w:rsid w:val="33396CB7"/>
    <w:rsid w:val="334A087C"/>
    <w:rsid w:val="336C4D30"/>
    <w:rsid w:val="33E1245E"/>
    <w:rsid w:val="33FB4C1C"/>
    <w:rsid w:val="340111A5"/>
    <w:rsid w:val="344A1E11"/>
    <w:rsid w:val="34971840"/>
    <w:rsid w:val="34C66609"/>
    <w:rsid w:val="34E3110E"/>
    <w:rsid w:val="35117216"/>
    <w:rsid w:val="35383C61"/>
    <w:rsid w:val="356950B0"/>
    <w:rsid w:val="358E64BC"/>
    <w:rsid w:val="35A02CD7"/>
    <w:rsid w:val="35CC00C0"/>
    <w:rsid w:val="35FB46DE"/>
    <w:rsid w:val="36025665"/>
    <w:rsid w:val="363B215E"/>
    <w:rsid w:val="365726D9"/>
    <w:rsid w:val="365E2A53"/>
    <w:rsid w:val="365F082C"/>
    <w:rsid w:val="367241FA"/>
    <w:rsid w:val="36873E0A"/>
    <w:rsid w:val="36DD46BB"/>
    <w:rsid w:val="36E04B76"/>
    <w:rsid w:val="370C0BD9"/>
    <w:rsid w:val="37311BED"/>
    <w:rsid w:val="37394491"/>
    <w:rsid w:val="37655702"/>
    <w:rsid w:val="378F09BE"/>
    <w:rsid w:val="37A8245B"/>
    <w:rsid w:val="37AF4D0A"/>
    <w:rsid w:val="37B932BC"/>
    <w:rsid w:val="37C6509C"/>
    <w:rsid w:val="37E740B1"/>
    <w:rsid w:val="380A46BF"/>
    <w:rsid w:val="381A6423"/>
    <w:rsid w:val="38614552"/>
    <w:rsid w:val="38AE3080"/>
    <w:rsid w:val="392767C3"/>
    <w:rsid w:val="39475EFF"/>
    <w:rsid w:val="39771A4F"/>
    <w:rsid w:val="39CF6446"/>
    <w:rsid w:val="39F52667"/>
    <w:rsid w:val="39FC0708"/>
    <w:rsid w:val="3A117EA7"/>
    <w:rsid w:val="3A2E5082"/>
    <w:rsid w:val="3A31327C"/>
    <w:rsid w:val="3A362DCF"/>
    <w:rsid w:val="3A4F0A2A"/>
    <w:rsid w:val="3B2673BA"/>
    <w:rsid w:val="3B394DC9"/>
    <w:rsid w:val="3B544EE3"/>
    <w:rsid w:val="3B67241C"/>
    <w:rsid w:val="3B880797"/>
    <w:rsid w:val="3B906572"/>
    <w:rsid w:val="3B906B81"/>
    <w:rsid w:val="3BB06041"/>
    <w:rsid w:val="3BC00FE9"/>
    <w:rsid w:val="3BCB0BD5"/>
    <w:rsid w:val="3BD21143"/>
    <w:rsid w:val="3C1E0517"/>
    <w:rsid w:val="3C2D4152"/>
    <w:rsid w:val="3C354A2D"/>
    <w:rsid w:val="3C511128"/>
    <w:rsid w:val="3C721DA4"/>
    <w:rsid w:val="3C764F58"/>
    <w:rsid w:val="3CC83B67"/>
    <w:rsid w:val="3CEE4359"/>
    <w:rsid w:val="3D1D6707"/>
    <w:rsid w:val="3D5D3FDB"/>
    <w:rsid w:val="3D65650F"/>
    <w:rsid w:val="3D6B4B86"/>
    <w:rsid w:val="3DB50EA6"/>
    <w:rsid w:val="3DCA6440"/>
    <w:rsid w:val="3DF32A79"/>
    <w:rsid w:val="3E5F061D"/>
    <w:rsid w:val="3E7D0D4B"/>
    <w:rsid w:val="3EC6057D"/>
    <w:rsid w:val="3EE87094"/>
    <w:rsid w:val="3F0429F9"/>
    <w:rsid w:val="3F2418E1"/>
    <w:rsid w:val="3F2A2081"/>
    <w:rsid w:val="3F2A5534"/>
    <w:rsid w:val="3F3F19AF"/>
    <w:rsid w:val="3F5D204E"/>
    <w:rsid w:val="3F7B551A"/>
    <w:rsid w:val="3FA93140"/>
    <w:rsid w:val="400845E2"/>
    <w:rsid w:val="404B7893"/>
    <w:rsid w:val="404F637A"/>
    <w:rsid w:val="405722D8"/>
    <w:rsid w:val="405B46CA"/>
    <w:rsid w:val="40771794"/>
    <w:rsid w:val="40A362B0"/>
    <w:rsid w:val="40A84555"/>
    <w:rsid w:val="40D1786A"/>
    <w:rsid w:val="41324D77"/>
    <w:rsid w:val="41514948"/>
    <w:rsid w:val="41597BEE"/>
    <w:rsid w:val="4172751F"/>
    <w:rsid w:val="41D82CE0"/>
    <w:rsid w:val="425A10D1"/>
    <w:rsid w:val="425C6138"/>
    <w:rsid w:val="425F271C"/>
    <w:rsid w:val="42691B96"/>
    <w:rsid w:val="42F32859"/>
    <w:rsid w:val="42FB0305"/>
    <w:rsid w:val="43081E5F"/>
    <w:rsid w:val="435556B8"/>
    <w:rsid w:val="436804A8"/>
    <w:rsid w:val="438424A5"/>
    <w:rsid w:val="43871421"/>
    <w:rsid w:val="43A44B23"/>
    <w:rsid w:val="43C66CA2"/>
    <w:rsid w:val="43CD0DC6"/>
    <w:rsid w:val="43E90ABD"/>
    <w:rsid w:val="43F34014"/>
    <w:rsid w:val="44212C66"/>
    <w:rsid w:val="446B128D"/>
    <w:rsid w:val="446C5F6F"/>
    <w:rsid w:val="44853F02"/>
    <w:rsid w:val="449A3FD0"/>
    <w:rsid w:val="44A33E73"/>
    <w:rsid w:val="44A800D7"/>
    <w:rsid w:val="44BB3707"/>
    <w:rsid w:val="452F779A"/>
    <w:rsid w:val="453F415C"/>
    <w:rsid w:val="457C60B2"/>
    <w:rsid w:val="457E364E"/>
    <w:rsid w:val="459667EF"/>
    <w:rsid w:val="45B24705"/>
    <w:rsid w:val="46012220"/>
    <w:rsid w:val="461664BD"/>
    <w:rsid w:val="461B46AB"/>
    <w:rsid w:val="464E2623"/>
    <w:rsid w:val="466D6995"/>
    <w:rsid w:val="46BD5810"/>
    <w:rsid w:val="46CB33CC"/>
    <w:rsid w:val="47027899"/>
    <w:rsid w:val="475A17A7"/>
    <w:rsid w:val="47645B00"/>
    <w:rsid w:val="47964AFD"/>
    <w:rsid w:val="47ED751E"/>
    <w:rsid w:val="48265F8D"/>
    <w:rsid w:val="482A4B96"/>
    <w:rsid w:val="483B10FF"/>
    <w:rsid w:val="48997EFF"/>
    <w:rsid w:val="48A508CD"/>
    <w:rsid w:val="48A870D4"/>
    <w:rsid w:val="48CA30F8"/>
    <w:rsid w:val="48D379A5"/>
    <w:rsid w:val="48DB3A74"/>
    <w:rsid w:val="49714E65"/>
    <w:rsid w:val="497A3793"/>
    <w:rsid w:val="498851BA"/>
    <w:rsid w:val="498E52A5"/>
    <w:rsid w:val="49C64816"/>
    <w:rsid w:val="49F360DE"/>
    <w:rsid w:val="4A98496D"/>
    <w:rsid w:val="4ADF36A6"/>
    <w:rsid w:val="4B016210"/>
    <w:rsid w:val="4B0C3EC3"/>
    <w:rsid w:val="4B273C7C"/>
    <w:rsid w:val="4B540007"/>
    <w:rsid w:val="4B635F2C"/>
    <w:rsid w:val="4B6A377F"/>
    <w:rsid w:val="4B7F36DE"/>
    <w:rsid w:val="4BD03713"/>
    <w:rsid w:val="4C0657F2"/>
    <w:rsid w:val="4C8F1D26"/>
    <w:rsid w:val="4CFA49CA"/>
    <w:rsid w:val="4D0057B7"/>
    <w:rsid w:val="4D06528A"/>
    <w:rsid w:val="4D2510CC"/>
    <w:rsid w:val="4D4F140C"/>
    <w:rsid w:val="4DAF414B"/>
    <w:rsid w:val="4DD20515"/>
    <w:rsid w:val="4E1D0ADE"/>
    <w:rsid w:val="4E7453E6"/>
    <w:rsid w:val="4E765529"/>
    <w:rsid w:val="4E8027FD"/>
    <w:rsid w:val="4EA66E29"/>
    <w:rsid w:val="4ECD32A1"/>
    <w:rsid w:val="4F143108"/>
    <w:rsid w:val="4F1E0845"/>
    <w:rsid w:val="4F21727E"/>
    <w:rsid w:val="4F3909FA"/>
    <w:rsid w:val="4F3D44DD"/>
    <w:rsid w:val="4F57248C"/>
    <w:rsid w:val="4F8B252C"/>
    <w:rsid w:val="4F913A08"/>
    <w:rsid w:val="4F914EDF"/>
    <w:rsid w:val="4F966AD6"/>
    <w:rsid w:val="4FA6373A"/>
    <w:rsid w:val="4FCD5206"/>
    <w:rsid w:val="50133BBE"/>
    <w:rsid w:val="50253CC5"/>
    <w:rsid w:val="503C5DFF"/>
    <w:rsid w:val="50546009"/>
    <w:rsid w:val="505460AE"/>
    <w:rsid w:val="506C0B99"/>
    <w:rsid w:val="5086600F"/>
    <w:rsid w:val="50AE7A8E"/>
    <w:rsid w:val="510F6638"/>
    <w:rsid w:val="51633882"/>
    <w:rsid w:val="51817D05"/>
    <w:rsid w:val="51957601"/>
    <w:rsid w:val="51B41D7E"/>
    <w:rsid w:val="51BD24EE"/>
    <w:rsid w:val="51BE4F9B"/>
    <w:rsid w:val="51D602E8"/>
    <w:rsid w:val="51E708AB"/>
    <w:rsid w:val="5235630D"/>
    <w:rsid w:val="52570226"/>
    <w:rsid w:val="527C6A92"/>
    <w:rsid w:val="52906074"/>
    <w:rsid w:val="5383520B"/>
    <w:rsid w:val="53EF35D8"/>
    <w:rsid w:val="543B608B"/>
    <w:rsid w:val="544706DE"/>
    <w:rsid w:val="544D584E"/>
    <w:rsid w:val="54A1135F"/>
    <w:rsid w:val="54B62810"/>
    <w:rsid w:val="54D7515D"/>
    <w:rsid w:val="54DA4850"/>
    <w:rsid w:val="54E5588A"/>
    <w:rsid w:val="551241D8"/>
    <w:rsid w:val="551A42B3"/>
    <w:rsid w:val="555A3CE1"/>
    <w:rsid w:val="55913446"/>
    <w:rsid w:val="55966FBE"/>
    <w:rsid w:val="55BF5A05"/>
    <w:rsid w:val="55D34395"/>
    <w:rsid w:val="56082A3D"/>
    <w:rsid w:val="564D0655"/>
    <w:rsid w:val="567A7931"/>
    <w:rsid w:val="56A47B66"/>
    <w:rsid w:val="56CD0912"/>
    <w:rsid w:val="56EA00B5"/>
    <w:rsid w:val="57161029"/>
    <w:rsid w:val="573764A1"/>
    <w:rsid w:val="57591B2D"/>
    <w:rsid w:val="575F2100"/>
    <w:rsid w:val="57E17B6F"/>
    <w:rsid w:val="58167D43"/>
    <w:rsid w:val="582500D6"/>
    <w:rsid w:val="583D417E"/>
    <w:rsid w:val="5851753C"/>
    <w:rsid w:val="58645FAE"/>
    <w:rsid w:val="58C07FF9"/>
    <w:rsid w:val="58CF2F38"/>
    <w:rsid w:val="58E42FE9"/>
    <w:rsid w:val="58ED3FA1"/>
    <w:rsid w:val="591A67C8"/>
    <w:rsid w:val="59440BA9"/>
    <w:rsid w:val="594676E1"/>
    <w:rsid w:val="594B7C5B"/>
    <w:rsid w:val="594E6FF5"/>
    <w:rsid w:val="59521FCB"/>
    <w:rsid w:val="59795CFB"/>
    <w:rsid w:val="598337D6"/>
    <w:rsid w:val="59A94DD9"/>
    <w:rsid w:val="59D10AB8"/>
    <w:rsid w:val="59FB0F85"/>
    <w:rsid w:val="5A26697F"/>
    <w:rsid w:val="5A2B793C"/>
    <w:rsid w:val="5AA270DE"/>
    <w:rsid w:val="5AC1514B"/>
    <w:rsid w:val="5B110C38"/>
    <w:rsid w:val="5B2C74BB"/>
    <w:rsid w:val="5B351B4B"/>
    <w:rsid w:val="5B3E0571"/>
    <w:rsid w:val="5B516E4A"/>
    <w:rsid w:val="5B794156"/>
    <w:rsid w:val="5BB93225"/>
    <w:rsid w:val="5BC22E68"/>
    <w:rsid w:val="5BC86904"/>
    <w:rsid w:val="5BDD060E"/>
    <w:rsid w:val="5BE01255"/>
    <w:rsid w:val="5BE321B6"/>
    <w:rsid w:val="5BF20065"/>
    <w:rsid w:val="5C6D0B1D"/>
    <w:rsid w:val="5D0A64FD"/>
    <w:rsid w:val="5D7E0CDA"/>
    <w:rsid w:val="5DC33B8F"/>
    <w:rsid w:val="5DC847C5"/>
    <w:rsid w:val="5DCE574E"/>
    <w:rsid w:val="5DE36092"/>
    <w:rsid w:val="5DF337D9"/>
    <w:rsid w:val="5E0A048C"/>
    <w:rsid w:val="5E374F61"/>
    <w:rsid w:val="5E403025"/>
    <w:rsid w:val="5E685990"/>
    <w:rsid w:val="5E7642C9"/>
    <w:rsid w:val="5E80482B"/>
    <w:rsid w:val="5E8C5BA6"/>
    <w:rsid w:val="5E8E5CDF"/>
    <w:rsid w:val="5E910898"/>
    <w:rsid w:val="5EB6128F"/>
    <w:rsid w:val="5ECE6C91"/>
    <w:rsid w:val="5EF85B77"/>
    <w:rsid w:val="5F4308D0"/>
    <w:rsid w:val="5F4836E8"/>
    <w:rsid w:val="5F731B33"/>
    <w:rsid w:val="5F7F6746"/>
    <w:rsid w:val="603705A3"/>
    <w:rsid w:val="603773F4"/>
    <w:rsid w:val="604C3E36"/>
    <w:rsid w:val="60E44E7D"/>
    <w:rsid w:val="60F43D54"/>
    <w:rsid w:val="612F23A6"/>
    <w:rsid w:val="614D47E8"/>
    <w:rsid w:val="61532C1F"/>
    <w:rsid w:val="61972C46"/>
    <w:rsid w:val="619C449B"/>
    <w:rsid w:val="61BD78E1"/>
    <w:rsid w:val="61D75AEB"/>
    <w:rsid w:val="621C11FC"/>
    <w:rsid w:val="62266027"/>
    <w:rsid w:val="6254063F"/>
    <w:rsid w:val="62712174"/>
    <w:rsid w:val="62AA186A"/>
    <w:rsid w:val="62CC2455"/>
    <w:rsid w:val="631800E4"/>
    <w:rsid w:val="6363519B"/>
    <w:rsid w:val="638E73E2"/>
    <w:rsid w:val="63BB67C9"/>
    <w:rsid w:val="63C34F8E"/>
    <w:rsid w:val="63FB0920"/>
    <w:rsid w:val="641C732D"/>
    <w:rsid w:val="642F6C3E"/>
    <w:rsid w:val="644909C9"/>
    <w:rsid w:val="644E077A"/>
    <w:rsid w:val="6464582C"/>
    <w:rsid w:val="64737D70"/>
    <w:rsid w:val="648C5B1B"/>
    <w:rsid w:val="64DC53F5"/>
    <w:rsid w:val="64DF4066"/>
    <w:rsid w:val="64F71B0A"/>
    <w:rsid w:val="64FE3259"/>
    <w:rsid w:val="65031C69"/>
    <w:rsid w:val="656F39ED"/>
    <w:rsid w:val="65A5251E"/>
    <w:rsid w:val="65B47C38"/>
    <w:rsid w:val="65EB597D"/>
    <w:rsid w:val="663D572E"/>
    <w:rsid w:val="666B7890"/>
    <w:rsid w:val="666C4155"/>
    <w:rsid w:val="66B30ACD"/>
    <w:rsid w:val="66B80931"/>
    <w:rsid w:val="66C94413"/>
    <w:rsid w:val="66E0307F"/>
    <w:rsid w:val="66F1769B"/>
    <w:rsid w:val="66FD226F"/>
    <w:rsid w:val="67243BFA"/>
    <w:rsid w:val="673445F8"/>
    <w:rsid w:val="673E2479"/>
    <w:rsid w:val="674A5EB4"/>
    <w:rsid w:val="67522D63"/>
    <w:rsid w:val="675D601B"/>
    <w:rsid w:val="677918CD"/>
    <w:rsid w:val="67A777C4"/>
    <w:rsid w:val="67CE5232"/>
    <w:rsid w:val="67DA56B8"/>
    <w:rsid w:val="67FB3AAC"/>
    <w:rsid w:val="68057A04"/>
    <w:rsid w:val="68057A7E"/>
    <w:rsid w:val="68481000"/>
    <w:rsid w:val="686E2344"/>
    <w:rsid w:val="686F51C9"/>
    <w:rsid w:val="688F4D31"/>
    <w:rsid w:val="689C4384"/>
    <w:rsid w:val="68A71FB8"/>
    <w:rsid w:val="68A82ECB"/>
    <w:rsid w:val="68F07BF4"/>
    <w:rsid w:val="69546C46"/>
    <w:rsid w:val="69802E4F"/>
    <w:rsid w:val="69CF7C88"/>
    <w:rsid w:val="69DD545D"/>
    <w:rsid w:val="6A604CB8"/>
    <w:rsid w:val="6AA33B42"/>
    <w:rsid w:val="6AFB75D7"/>
    <w:rsid w:val="6B066B2A"/>
    <w:rsid w:val="6B116BB4"/>
    <w:rsid w:val="6B447A04"/>
    <w:rsid w:val="6B50286D"/>
    <w:rsid w:val="6B6546E8"/>
    <w:rsid w:val="6B852D4E"/>
    <w:rsid w:val="6B956FAE"/>
    <w:rsid w:val="6BBB6B28"/>
    <w:rsid w:val="6C474002"/>
    <w:rsid w:val="6CAC69B3"/>
    <w:rsid w:val="6CB413B4"/>
    <w:rsid w:val="6CC242C0"/>
    <w:rsid w:val="6CD36E3E"/>
    <w:rsid w:val="6CD950D0"/>
    <w:rsid w:val="6D036C2A"/>
    <w:rsid w:val="6D0B5525"/>
    <w:rsid w:val="6D6C19C4"/>
    <w:rsid w:val="6D701075"/>
    <w:rsid w:val="6D93093A"/>
    <w:rsid w:val="6DA7739D"/>
    <w:rsid w:val="6DC817C6"/>
    <w:rsid w:val="6E373FBB"/>
    <w:rsid w:val="6E571562"/>
    <w:rsid w:val="6EC4220E"/>
    <w:rsid w:val="6F727754"/>
    <w:rsid w:val="6FA97443"/>
    <w:rsid w:val="6FAA1BBE"/>
    <w:rsid w:val="6FB618A1"/>
    <w:rsid w:val="6FBF45C0"/>
    <w:rsid w:val="6FC579E0"/>
    <w:rsid w:val="70A040DE"/>
    <w:rsid w:val="70AC154B"/>
    <w:rsid w:val="70B023D1"/>
    <w:rsid w:val="70B97AF7"/>
    <w:rsid w:val="70DB73F4"/>
    <w:rsid w:val="71846A13"/>
    <w:rsid w:val="71861D63"/>
    <w:rsid w:val="7206720D"/>
    <w:rsid w:val="7210160A"/>
    <w:rsid w:val="722A3CC2"/>
    <w:rsid w:val="7237094B"/>
    <w:rsid w:val="72610599"/>
    <w:rsid w:val="726118BF"/>
    <w:rsid w:val="726518E7"/>
    <w:rsid w:val="72675DF1"/>
    <w:rsid w:val="72AD0661"/>
    <w:rsid w:val="72EF6A20"/>
    <w:rsid w:val="73290A79"/>
    <w:rsid w:val="73844796"/>
    <w:rsid w:val="73EB2CA1"/>
    <w:rsid w:val="741B4AA5"/>
    <w:rsid w:val="74374B83"/>
    <w:rsid w:val="74376BE4"/>
    <w:rsid w:val="74390349"/>
    <w:rsid w:val="743D5E58"/>
    <w:rsid w:val="743D680E"/>
    <w:rsid w:val="74502127"/>
    <w:rsid w:val="749A669E"/>
    <w:rsid w:val="74AA24C4"/>
    <w:rsid w:val="74B46B72"/>
    <w:rsid w:val="74D3578E"/>
    <w:rsid w:val="75007772"/>
    <w:rsid w:val="75032075"/>
    <w:rsid w:val="7524407D"/>
    <w:rsid w:val="75387B9A"/>
    <w:rsid w:val="75841DF5"/>
    <w:rsid w:val="75A64AFF"/>
    <w:rsid w:val="75F24668"/>
    <w:rsid w:val="760A11C3"/>
    <w:rsid w:val="76230E5B"/>
    <w:rsid w:val="762874A3"/>
    <w:rsid w:val="7657561C"/>
    <w:rsid w:val="76B63849"/>
    <w:rsid w:val="76BF1CE0"/>
    <w:rsid w:val="76C526EB"/>
    <w:rsid w:val="76C8115D"/>
    <w:rsid w:val="779D446C"/>
    <w:rsid w:val="77A50292"/>
    <w:rsid w:val="77CE7D13"/>
    <w:rsid w:val="77DF7C3B"/>
    <w:rsid w:val="78425EA1"/>
    <w:rsid w:val="786E7406"/>
    <w:rsid w:val="7871235D"/>
    <w:rsid w:val="78840613"/>
    <w:rsid w:val="78B108A1"/>
    <w:rsid w:val="78CC72CC"/>
    <w:rsid w:val="790879D5"/>
    <w:rsid w:val="79192953"/>
    <w:rsid w:val="79217B0E"/>
    <w:rsid w:val="79684161"/>
    <w:rsid w:val="79810F54"/>
    <w:rsid w:val="79887A47"/>
    <w:rsid w:val="79DC46E1"/>
    <w:rsid w:val="79E54F1A"/>
    <w:rsid w:val="79E9425F"/>
    <w:rsid w:val="7A0C11F8"/>
    <w:rsid w:val="7A1D0D56"/>
    <w:rsid w:val="7AB133C6"/>
    <w:rsid w:val="7B3B4467"/>
    <w:rsid w:val="7B5C36AA"/>
    <w:rsid w:val="7BCC3C36"/>
    <w:rsid w:val="7BF2348F"/>
    <w:rsid w:val="7BF77265"/>
    <w:rsid w:val="7C0E45F9"/>
    <w:rsid w:val="7C1F7AA2"/>
    <w:rsid w:val="7C6F4CAB"/>
    <w:rsid w:val="7C766ED3"/>
    <w:rsid w:val="7C822AA2"/>
    <w:rsid w:val="7C8F7049"/>
    <w:rsid w:val="7CBD4240"/>
    <w:rsid w:val="7CC135E2"/>
    <w:rsid w:val="7D073EEA"/>
    <w:rsid w:val="7D3F6F73"/>
    <w:rsid w:val="7D6B175D"/>
    <w:rsid w:val="7D7B1BB4"/>
    <w:rsid w:val="7D867B9A"/>
    <w:rsid w:val="7DAF6096"/>
    <w:rsid w:val="7DB26197"/>
    <w:rsid w:val="7DD65B7E"/>
    <w:rsid w:val="7E1C6DD5"/>
    <w:rsid w:val="7E391ECC"/>
    <w:rsid w:val="7E4D0F43"/>
    <w:rsid w:val="7E4E2F23"/>
    <w:rsid w:val="7E540BED"/>
    <w:rsid w:val="7E601245"/>
    <w:rsid w:val="7E7E7336"/>
    <w:rsid w:val="7EBB11AC"/>
    <w:rsid w:val="7EC2093E"/>
    <w:rsid w:val="7ED37938"/>
    <w:rsid w:val="7ED865A4"/>
    <w:rsid w:val="7EE61DE0"/>
    <w:rsid w:val="7F2145B7"/>
    <w:rsid w:val="7F6C14E5"/>
    <w:rsid w:val="7F7B6057"/>
    <w:rsid w:val="7F812BD2"/>
    <w:rsid w:val="7F8277DF"/>
    <w:rsid w:val="7F8457FD"/>
    <w:rsid w:val="7FA309AA"/>
    <w:rsid w:val="7FA75A47"/>
    <w:rsid w:val="7FF364AF"/>
    <w:rsid w:val="7FF46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9"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0" w:semiHidden="0" w:name="endnote reference"/>
    <w:lsdException w:qFormat="1" w:unhideWhenUsed="0" w:uiPriority="0" w:semiHidden="0" w:name="endnote text"/>
    <w:lsdException w:qFormat="1" w:uiPriority="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uiPriority="0" w:name="Table Grid 6"/>
    <w:lsdException w:uiPriority="0" w:name="Table Grid 7"/>
    <w:lsdException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0" w:semiHidden="0" w:name="Balloon Text"/>
    <w:lsdException w:qFormat="1" w:unhideWhenUsed="0" w:uiPriority="0" w:semiHidden="0" w:name="Table Grid"/>
    <w:lsdException w:qFormat="1"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宋体" w:cs="Times New Roman"/>
      <w:kern w:val="2"/>
      <w:sz w:val="21"/>
      <w:lang w:val="en-US" w:eastAsia="zh-CN" w:bidi="ar-SA"/>
    </w:rPr>
  </w:style>
  <w:style w:type="paragraph" w:styleId="5">
    <w:name w:val="heading 1"/>
    <w:basedOn w:val="1"/>
    <w:next w:val="1"/>
    <w:link w:val="109"/>
    <w:qFormat/>
    <w:uiPriority w:val="0"/>
    <w:pPr>
      <w:keepNext/>
      <w:keepLines/>
      <w:numPr>
        <w:ilvl w:val="0"/>
        <w:numId w:val="1"/>
      </w:numPr>
      <w:spacing w:before="340" w:after="330" w:line="578" w:lineRule="auto"/>
      <w:outlineLvl w:val="0"/>
    </w:pPr>
    <w:rPr>
      <w:rFonts w:asciiTheme="minorHAnsi" w:hAnsiTheme="minorHAnsi" w:eastAsiaTheme="minorEastAsia" w:cstheme="minorBidi"/>
      <w:b/>
      <w:bCs/>
      <w:kern w:val="44"/>
      <w:sz w:val="44"/>
      <w:szCs w:val="44"/>
    </w:rPr>
  </w:style>
  <w:style w:type="paragraph" w:styleId="6">
    <w:name w:val="heading 2"/>
    <w:basedOn w:val="1"/>
    <w:next w:val="1"/>
    <w:link w:val="110"/>
    <w:qFormat/>
    <w:uiPriority w:val="9"/>
    <w:pPr>
      <w:keepNext/>
      <w:keepLines/>
      <w:numPr>
        <w:ilvl w:val="1"/>
        <w:numId w:val="1"/>
      </w:numPr>
      <w:spacing w:before="260" w:after="260" w:line="416" w:lineRule="auto"/>
      <w:outlineLvl w:val="1"/>
    </w:pPr>
    <w:rPr>
      <w:rFonts w:eastAsia="黑体" w:cstheme="minorBidi"/>
      <w:b/>
      <w:bCs/>
      <w:kern w:val="0"/>
      <w:sz w:val="32"/>
      <w:szCs w:val="32"/>
    </w:rPr>
  </w:style>
  <w:style w:type="paragraph" w:styleId="7">
    <w:name w:val="heading 3"/>
    <w:basedOn w:val="1"/>
    <w:next w:val="1"/>
    <w:link w:val="111"/>
    <w:unhideWhenUsed/>
    <w:qFormat/>
    <w:uiPriority w:val="0"/>
    <w:pPr>
      <w:keepNext/>
      <w:keepLines/>
      <w:numPr>
        <w:ilvl w:val="2"/>
        <w:numId w:val="1"/>
      </w:numPr>
      <w:spacing w:before="260" w:after="260" w:line="416" w:lineRule="auto"/>
      <w:outlineLvl w:val="2"/>
    </w:pPr>
    <w:rPr>
      <w:rFonts w:asciiTheme="minorHAnsi" w:hAnsiTheme="minorHAnsi" w:eastAsiaTheme="minorEastAsia" w:cstheme="minorBidi"/>
      <w:b/>
      <w:bCs/>
      <w:kern w:val="0"/>
      <w:sz w:val="32"/>
      <w:szCs w:val="32"/>
    </w:rPr>
  </w:style>
  <w:style w:type="paragraph" w:styleId="8">
    <w:name w:val="heading 4"/>
    <w:basedOn w:val="1"/>
    <w:next w:val="1"/>
    <w:link w:val="112"/>
    <w:qFormat/>
    <w:uiPriority w:val="9"/>
    <w:pPr>
      <w:keepNext/>
      <w:keepLines/>
      <w:numPr>
        <w:ilvl w:val="3"/>
        <w:numId w:val="1"/>
      </w:numPr>
      <w:spacing w:before="280" w:after="290" w:line="376" w:lineRule="auto"/>
      <w:outlineLvl w:val="3"/>
    </w:pPr>
    <w:rPr>
      <w:rFonts w:eastAsia="黑体" w:cstheme="minorBidi"/>
      <w:b/>
      <w:bCs/>
      <w:sz w:val="28"/>
      <w:szCs w:val="28"/>
    </w:rPr>
  </w:style>
  <w:style w:type="paragraph" w:styleId="9">
    <w:name w:val="heading 5"/>
    <w:basedOn w:val="1"/>
    <w:next w:val="1"/>
    <w:link w:val="113"/>
    <w:unhideWhenUsed/>
    <w:qFormat/>
    <w:uiPriority w:val="9"/>
    <w:pPr>
      <w:keepNext/>
      <w:keepLines/>
      <w:numPr>
        <w:ilvl w:val="4"/>
        <w:numId w:val="1"/>
      </w:numPr>
      <w:spacing w:before="280" w:after="290" w:line="376" w:lineRule="auto"/>
      <w:outlineLvl w:val="4"/>
    </w:pPr>
    <w:rPr>
      <w:rFonts w:asciiTheme="minorHAnsi" w:hAnsiTheme="minorHAnsi" w:eastAsiaTheme="minorEastAsia" w:cstheme="minorBidi"/>
      <w:b/>
      <w:bCs/>
      <w:sz w:val="28"/>
      <w:szCs w:val="28"/>
    </w:rPr>
  </w:style>
  <w:style w:type="paragraph" w:styleId="10">
    <w:name w:val="heading 6"/>
    <w:basedOn w:val="1"/>
    <w:next w:val="1"/>
    <w:link w:val="114"/>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1">
    <w:name w:val="heading 7"/>
    <w:basedOn w:val="1"/>
    <w:next w:val="1"/>
    <w:link w:val="115"/>
    <w:unhideWhenUsed/>
    <w:qFormat/>
    <w:uiPriority w:val="9"/>
    <w:pPr>
      <w:keepNext/>
      <w:keepLines/>
      <w:numPr>
        <w:ilvl w:val="6"/>
        <w:numId w:val="1"/>
      </w:numPr>
      <w:spacing w:before="240" w:after="64" w:line="320" w:lineRule="auto"/>
      <w:outlineLvl w:val="6"/>
    </w:pPr>
    <w:rPr>
      <w:rFonts w:asciiTheme="minorHAnsi" w:hAnsiTheme="minorHAnsi" w:eastAsiaTheme="minorEastAsia" w:cstheme="minorBidi"/>
      <w:b/>
      <w:bCs/>
      <w:sz w:val="24"/>
      <w:szCs w:val="24"/>
    </w:rPr>
  </w:style>
  <w:style w:type="paragraph" w:styleId="12">
    <w:name w:val="heading 8"/>
    <w:basedOn w:val="1"/>
    <w:next w:val="1"/>
    <w:link w:val="116"/>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3">
    <w:name w:val="heading 9"/>
    <w:basedOn w:val="1"/>
    <w:next w:val="1"/>
    <w:link w:val="117"/>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89">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30"/>
    <w:qFormat/>
    <w:uiPriority w:val="99"/>
    <w:pPr>
      <w:spacing w:after="120"/>
    </w:pPr>
    <w:rPr>
      <w:rFonts w:asciiTheme="minorHAnsi" w:hAnsiTheme="minorHAnsi" w:eastAsiaTheme="minorEastAsia" w:cstheme="minorBidi"/>
      <w:szCs w:val="22"/>
    </w:rPr>
  </w:style>
  <w:style w:type="paragraph" w:styleId="3">
    <w:name w:val="List Bullet 5"/>
    <w:basedOn w:val="1"/>
    <w:qFormat/>
    <w:uiPriority w:val="0"/>
    <w:pPr>
      <w:numPr>
        <w:ilvl w:val="0"/>
        <w:numId w:val="2"/>
      </w:numPr>
      <w:tabs>
        <w:tab w:val="left" w:pos="432"/>
      </w:tabs>
    </w:pPr>
    <w:rPr>
      <w:rFonts w:asciiTheme="minorHAnsi" w:hAnsiTheme="minorHAnsi" w:eastAsiaTheme="minorEastAsia" w:cstheme="minorBidi"/>
      <w:szCs w:val="22"/>
    </w:rPr>
  </w:style>
  <w:style w:type="paragraph" w:styleId="4">
    <w:name w:val="macro"/>
    <w:link w:val="440"/>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en-US" w:bidi="en-US"/>
    </w:rPr>
  </w:style>
  <w:style w:type="paragraph" w:styleId="14">
    <w:name w:val="List 3"/>
    <w:basedOn w:val="1"/>
    <w:qFormat/>
    <w:uiPriority w:val="0"/>
    <w:pPr>
      <w:ind w:left="100" w:leftChars="400" w:hanging="200" w:hangingChars="200"/>
    </w:pPr>
    <w:rPr>
      <w:rFonts w:asciiTheme="minorHAnsi" w:hAnsiTheme="minorHAnsi" w:eastAsiaTheme="minorEastAsia" w:cstheme="minorBidi"/>
      <w:szCs w:val="22"/>
    </w:rPr>
  </w:style>
  <w:style w:type="paragraph" w:styleId="15">
    <w:name w:val="toc 7"/>
    <w:basedOn w:val="1"/>
    <w:next w:val="1"/>
    <w:qFormat/>
    <w:uiPriority w:val="39"/>
    <w:pPr>
      <w:ind w:left="2520" w:leftChars="1200"/>
    </w:pPr>
    <w:rPr>
      <w:rFonts w:asciiTheme="minorHAnsi" w:hAnsiTheme="minorHAnsi" w:eastAsiaTheme="minorEastAsia" w:cstheme="minorBidi"/>
      <w:szCs w:val="22"/>
    </w:rPr>
  </w:style>
  <w:style w:type="paragraph" w:styleId="16">
    <w:name w:val="List Number 2"/>
    <w:basedOn w:val="1"/>
    <w:qFormat/>
    <w:uiPriority w:val="0"/>
    <w:pPr>
      <w:widowControl/>
      <w:tabs>
        <w:tab w:val="left" w:pos="643"/>
      </w:tabs>
      <w:snapToGrid w:val="0"/>
      <w:spacing w:line="400" w:lineRule="exact"/>
      <w:ind w:left="643" w:hanging="360"/>
      <w:jc w:val="left"/>
    </w:pPr>
    <w:rPr>
      <w:rFonts w:eastAsia="PMingLiU" w:asciiTheme="minorHAnsi" w:hAnsiTheme="minorHAnsi" w:cstheme="minorBidi"/>
      <w:kern w:val="0"/>
      <w:sz w:val="22"/>
      <w:lang w:val="en-GB" w:eastAsia="zh-TW"/>
    </w:rPr>
  </w:style>
  <w:style w:type="paragraph" w:styleId="17">
    <w:name w:val="Note Heading"/>
    <w:basedOn w:val="1"/>
    <w:next w:val="1"/>
    <w:link w:val="138"/>
    <w:qFormat/>
    <w:uiPriority w:val="0"/>
    <w:pPr>
      <w:jc w:val="center"/>
    </w:pPr>
    <w:rPr>
      <w:rFonts w:asciiTheme="minorHAnsi" w:hAnsiTheme="minorHAnsi" w:eastAsiaTheme="minorEastAsia" w:cstheme="minorBidi"/>
    </w:rPr>
  </w:style>
  <w:style w:type="paragraph" w:styleId="18">
    <w:name w:val="List Bullet 4"/>
    <w:basedOn w:val="1"/>
    <w:qFormat/>
    <w:uiPriority w:val="0"/>
    <w:pPr>
      <w:numPr>
        <w:ilvl w:val="0"/>
        <w:numId w:val="3"/>
      </w:numPr>
      <w:tabs>
        <w:tab w:val="left" w:pos="432"/>
      </w:tabs>
    </w:pPr>
    <w:rPr>
      <w:rFonts w:asciiTheme="minorHAnsi" w:hAnsiTheme="minorHAnsi" w:eastAsiaTheme="minorEastAsia" w:cstheme="minorBidi"/>
      <w:szCs w:val="22"/>
    </w:rPr>
  </w:style>
  <w:style w:type="paragraph" w:styleId="19">
    <w:name w:val="index 8"/>
    <w:basedOn w:val="1"/>
    <w:next w:val="1"/>
    <w:qFormat/>
    <w:uiPriority w:val="0"/>
    <w:pPr>
      <w:widowControl/>
      <w:ind w:left="1400" w:leftChars="1400"/>
      <w:jc w:val="left"/>
    </w:pPr>
    <w:rPr>
      <w:rFonts w:ascii="Calibri" w:hAnsi="Calibri"/>
      <w:kern w:val="0"/>
      <w:sz w:val="24"/>
      <w:szCs w:val="24"/>
      <w:lang w:eastAsia="en-US" w:bidi="en-US"/>
    </w:rPr>
  </w:style>
  <w:style w:type="paragraph" w:styleId="20">
    <w:name w:val="E-mail Signature"/>
    <w:basedOn w:val="1"/>
    <w:link w:val="146"/>
    <w:qFormat/>
    <w:uiPriority w:val="0"/>
    <w:rPr>
      <w:rFonts w:asciiTheme="minorHAnsi" w:hAnsiTheme="minorHAnsi" w:eastAsiaTheme="minorEastAsia" w:cstheme="minorBidi"/>
      <w:szCs w:val="22"/>
    </w:rPr>
  </w:style>
  <w:style w:type="paragraph" w:styleId="21">
    <w:name w:val="List Number"/>
    <w:basedOn w:val="22"/>
    <w:qFormat/>
    <w:uiPriority w:val="0"/>
    <w:pPr>
      <w:widowControl/>
      <w:snapToGrid w:val="0"/>
      <w:spacing w:line="360" w:lineRule="auto"/>
      <w:ind w:left="360" w:right="720" w:firstLine="0"/>
    </w:pPr>
    <w:rPr>
      <w:rFonts w:ascii="Garamond" w:hAnsi="Garamond" w:eastAsia="楷体_GB2312"/>
      <w:kern w:val="0"/>
      <w:sz w:val="32"/>
    </w:rPr>
  </w:style>
  <w:style w:type="paragraph" w:styleId="22">
    <w:name w:val="List"/>
    <w:basedOn w:val="1"/>
    <w:link w:val="126"/>
    <w:qFormat/>
    <w:uiPriority w:val="0"/>
    <w:pPr>
      <w:ind w:left="420" w:hanging="420"/>
    </w:pPr>
    <w:rPr>
      <w:rFonts w:ascii="Times New Roman" w:hAnsi="Times New Roman" w:cstheme="minorBidi"/>
    </w:rPr>
  </w:style>
  <w:style w:type="paragraph" w:styleId="23">
    <w:name w:val="Normal Indent"/>
    <w:basedOn w:val="1"/>
    <w:link w:val="120"/>
    <w:qFormat/>
    <w:uiPriority w:val="0"/>
    <w:pPr>
      <w:spacing w:after="120" w:line="360" w:lineRule="auto"/>
      <w:ind w:firstLine="420"/>
    </w:pPr>
    <w:rPr>
      <w:rFonts w:ascii="Times New Roman" w:hAnsi="Times New Roman" w:cstheme="minorBidi"/>
      <w:kern w:val="0"/>
      <w:sz w:val="28"/>
    </w:rPr>
  </w:style>
  <w:style w:type="paragraph" w:styleId="24">
    <w:name w:val="caption"/>
    <w:basedOn w:val="1"/>
    <w:next w:val="1"/>
    <w:link w:val="125"/>
    <w:qFormat/>
    <w:uiPriority w:val="0"/>
    <w:pPr>
      <w:adjustRightInd w:val="0"/>
      <w:snapToGrid w:val="0"/>
      <w:spacing w:before="120" w:line="300" w:lineRule="auto"/>
      <w:jc w:val="left"/>
    </w:pPr>
    <w:rPr>
      <w:rFonts w:eastAsia="黑体" w:cs="Arial"/>
      <w:snapToGrid w:val="0"/>
      <w:kern w:val="0"/>
      <w:sz w:val="24"/>
    </w:rPr>
  </w:style>
  <w:style w:type="paragraph" w:styleId="25">
    <w:name w:val="index 5"/>
    <w:basedOn w:val="1"/>
    <w:next w:val="1"/>
    <w:qFormat/>
    <w:uiPriority w:val="0"/>
    <w:pPr>
      <w:widowControl/>
      <w:ind w:left="800" w:leftChars="800"/>
      <w:jc w:val="left"/>
    </w:pPr>
    <w:rPr>
      <w:rFonts w:ascii="Calibri" w:hAnsi="Calibri"/>
      <w:kern w:val="0"/>
      <w:sz w:val="24"/>
      <w:szCs w:val="24"/>
      <w:lang w:eastAsia="en-US" w:bidi="en-US"/>
    </w:rPr>
  </w:style>
  <w:style w:type="paragraph" w:styleId="26">
    <w:name w:val="List Bullet"/>
    <w:basedOn w:val="1"/>
    <w:qFormat/>
    <w:uiPriority w:val="0"/>
    <w:pPr>
      <w:widowControl/>
      <w:tabs>
        <w:tab w:val="left" w:pos="360"/>
      </w:tabs>
      <w:snapToGrid w:val="0"/>
      <w:spacing w:after="120" w:line="400" w:lineRule="exact"/>
      <w:ind w:left="360" w:hanging="360"/>
      <w:jc w:val="left"/>
    </w:pPr>
    <w:rPr>
      <w:rFonts w:eastAsia="PMingLiU" w:asciiTheme="minorHAnsi" w:hAnsiTheme="minorHAnsi" w:cstheme="minorBidi"/>
      <w:kern w:val="0"/>
      <w:sz w:val="22"/>
      <w:lang w:val="en-GB" w:eastAsia="zh-TW"/>
    </w:rPr>
  </w:style>
  <w:style w:type="paragraph" w:styleId="27">
    <w:name w:val="envelope address"/>
    <w:basedOn w:val="1"/>
    <w:qFormat/>
    <w:uiPriority w:val="0"/>
    <w:pPr>
      <w:framePr w:w="7920" w:h="1980" w:hRule="exact" w:hSpace="180" w:wrap="around" w:vAnchor="margin" w:hAnchor="page" w:xAlign="center" w:yAlign="bottom"/>
      <w:snapToGrid w:val="0"/>
      <w:ind w:left="100" w:leftChars="1400"/>
    </w:pPr>
    <w:rPr>
      <w:rFonts w:cs="Arial" w:eastAsiaTheme="minorEastAsia"/>
      <w:sz w:val="24"/>
      <w:szCs w:val="22"/>
    </w:rPr>
  </w:style>
  <w:style w:type="paragraph" w:styleId="28">
    <w:name w:val="Document Map"/>
    <w:basedOn w:val="1"/>
    <w:link w:val="144"/>
    <w:unhideWhenUsed/>
    <w:qFormat/>
    <w:uiPriority w:val="0"/>
    <w:rPr>
      <w:rFonts w:ascii="宋体" w:hAnsiTheme="minorHAnsi" w:cstheme="minorBidi"/>
      <w:kern w:val="0"/>
      <w:sz w:val="18"/>
      <w:szCs w:val="18"/>
    </w:rPr>
  </w:style>
  <w:style w:type="paragraph" w:styleId="29">
    <w:name w:val="toa heading"/>
    <w:basedOn w:val="1"/>
    <w:next w:val="1"/>
    <w:qFormat/>
    <w:uiPriority w:val="0"/>
    <w:pPr>
      <w:widowControl/>
      <w:spacing w:before="120"/>
      <w:jc w:val="left"/>
    </w:pPr>
    <w:rPr>
      <w:rFonts w:cs="Arial"/>
      <w:kern w:val="0"/>
      <w:sz w:val="24"/>
      <w:szCs w:val="24"/>
      <w:lang w:eastAsia="en-US" w:bidi="en-US"/>
    </w:rPr>
  </w:style>
  <w:style w:type="paragraph" w:styleId="30">
    <w:name w:val="annotation text"/>
    <w:basedOn w:val="1"/>
    <w:link w:val="122"/>
    <w:qFormat/>
    <w:uiPriority w:val="99"/>
    <w:pPr>
      <w:jc w:val="left"/>
    </w:pPr>
    <w:rPr>
      <w:rFonts w:asciiTheme="minorHAnsi" w:hAnsiTheme="minorHAnsi" w:eastAsiaTheme="minorEastAsia" w:cstheme="minorBidi"/>
      <w:szCs w:val="22"/>
    </w:rPr>
  </w:style>
  <w:style w:type="paragraph" w:styleId="31">
    <w:name w:val="index 6"/>
    <w:basedOn w:val="1"/>
    <w:next w:val="1"/>
    <w:qFormat/>
    <w:uiPriority w:val="0"/>
    <w:pPr>
      <w:widowControl/>
      <w:ind w:left="1000" w:leftChars="1000"/>
      <w:jc w:val="left"/>
    </w:pPr>
    <w:rPr>
      <w:rFonts w:ascii="Calibri" w:hAnsi="Calibri"/>
      <w:kern w:val="0"/>
      <w:sz w:val="24"/>
      <w:szCs w:val="24"/>
      <w:lang w:eastAsia="en-US" w:bidi="en-US"/>
    </w:rPr>
  </w:style>
  <w:style w:type="paragraph" w:styleId="32">
    <w:name w:val="Salutation"/>
    <w:basedOn w:val="1"/>
    <w:next w:val="1"/>
    <w:link w:val="134"/>
    <w:qFormat/>
    <w:uiPriority w:val="0"/>
    <w:rPr>
      <w:rFonts w:asciiTheme="minorHAnsi" w:hAnsiTheme="minorHAnsi" w:eastAsiaTheme="minorEastAsia" w:cstheme="minorBidi"/>
      <w:szCs w:val="22"/>
    </w:rPr>
  </w:style>
  <w:style w:type="paragraph" w:styleId="33">
    <w:name w:val="Body Text 3"/>
    <w:basedOn w:val="1"/>
    <w:link w:val="140"/>
    <w:qFormat/>
    <w:uiPriority w:val="0"/>
    <w:pPr>
      <w:snapToGrid w:val="0"/>
      <w:spacing w:line="400" w:lineRule="exact"/>
      <w:jc w:val="center"/>
    </w:pPr>
    <w:rPr>
      <w:rFonts w:asciiTheme="minorHAnsi" w:hAnsiTheme="minorHAnsi" w:eastAsiaTheme="minorEastAsia" w:cstheme="minorBidi"/>
      <w:sz w:val="18"/>
      <w:szCs w:val="22"/>
    </w:rPr>
  </w:style>
  <w:style w:type="paragraph" w:styleId="34">
    <w:name w:val="Closing"/>
    <w:basedOn w:val="1"/>
    <w:link w:val="128"/>
    <w:qFormat/>
    <w:uiPriority w:val="0"/>
    <w:pPr>
      <w:ind w:left="100" w:leftChars="2100"/>
    </w:pPr>
    <w:rPr>
      <w:rFonts w:asciiTheme="minorHAnsi" w:hAnsiTheme="minorHAnsi" w:eastAsiaTheme="minorEastAsia" w:cstheme="minorBidi"/>
      <w:szCs w:val="22"/>
    </w:rPr>
  </w:style>
  <w:style w:type="paragraph" w:styleId="35">
    <w:name w:val="List Bullet 3"/>
    <w:basedOn w:val="1"/>
    <w:qFormat/>
    <w:uiPriority w:val="0"/>
    <w:pPr>
      <w:numPr>
        <w:ilvl w:val="0"/>
        <w:numId w:val="4"/>
      </w:numPr>
      <w:tabs>
        <w:tab w:val="left" w:pos="432"/>
      </w:tabs>
    </w:pPr>
    <w:rPr>
      <w:rFonts w:asciiTheme="minorHAnsi" w:hAnsiTheme="minorHAnsi" w:eastAsiaTheme="minorEastAsia" w:cstheme="minorBidi"/>
      <w:szCs w:val="22"/>
    </w:rPr>
  </w:style>
  <w:style w:type="paragraph" w:styleId="36">
    <w:name w:val="Body Text Indent"/>
    <w:basedOn w:val="1"/>
    <w:link w:val="131"/>
    <w:unhideWhenUsed/>
    <w:qFormat/>
    <w:uiPriority w:val="0"/>
    <w:pPr>
      <w:spacing w:after="120"/>
      <w:ind w:left="420" w:leftChars="200"/>
    </w:pPr>
    <w:rPr>
      <w:rFonts w:asciiTheme="minorHAnsi" w:hAnsiTheme="minorHAnsi" w:eastAsiaTheme="minorEastAsia" w:cstheme="minorBidi"/>
      <w:szCs w:val="22"/>
    </w:rPr>
  </w:style>
  <w:style w:type="paragraph" w:styleId="37">
    <w:name w:val="List Number 3"/>
    <w:basedOn w:val="1"/>
    <w:qFormat/>
    <w:uiPriority w:val="0"/>
    <w:pPr>
      <w:numPr>
        <w:ilvl w:val="0"/>
        <w:numId w:val="5"/>
      </w:numPr>
      <w:tabs>
        <w:tab w:val="left" w:pos="432"/>
      </w:tabs>
    </w:pPr>
    <w:rPr>
      <w:rFonts w:asciiTheme="minorHAnsi" w:hAnsiTheme="minorHAnsi" w:eastAsiaTheme="minorEastAsia" w:cstheme="minorBidi"/>
      <w:szCs w:val="22"/>
    </w:rPr>
  </w:style>
  <w:style w:type="paragraph" w:styleId="38">
    <w:name w:val="List 2"/>
    <w:basedOn w:val="1"/>
    <w:qFormat/>
    <w:uiPriority w:val="0"/>
    <w:pPr>
      <w:ind w:left="100" w:leftChars="200" w:hanging="200" w:hangingChars="200"/>
    </w:pPr>
    <w:rPr>
      <w:rFonts w:asciiTheme="minorHAnsi" w:hAnsiTheme="minorHAnsi" w:eastAsiaTheme="minorEastAsia" w:cstheme="minorBidi"/>
      <w:szCs w:val="22"/>
    </w:rPr>
  </w:style>
  <w:style w:type="paragraph" w:styleId="39">
    <w:name w:val="List Continue"/>
    <w:basedOn w:val="1"/>
    <w:qFormat/>
    <w:uiPriority w:val="0"/>
    <w:pPr>
      <w:spacing w:after="120"/>
      <w:ind w:left="420" w:leftChars="200"/>
    </w:pPr>
    <w:rPr>
      <w:rFonts w:asciiTheme="minorHAnsi" w:hAnsiTheme="minorHAnsi" w:eastAsiaTheme="minorEastAsia" w:cstheme="minorBidi"/>
      <w:szCs w:val="22"/>
    </w:rPr>
  </w:style>
  <w:style w:type="paragraph" w:styleId="40">
    <w:name w:val="Block Text"/>
    <w:basedOn w:val="1"/>
    <w:link w:val="143"/>
    <w:qFormat/>
    <w:uiPriority w:val="0"/>
    <w:pPr>
      <w:spacing w:after="120"/>
      <w:ind w:left="1440" w:leftChars="700" w:right="1440" w:rightChars="700"/>
    </w:pPr>
    <w:rPr>
      <w:rFonts w:asciiTheme="minorHAnsi" w:hAnsiTheme="minorHAnsi" w:eastAsiaTheme="minorEastAsia" w:cstheme="minorBidi"/>
      <w:szCs w:val="22"/>
    </w:rPr>
  </w:style>
  <w:style w:type="paragraph" w:styleId="41">
    <w:name w:val="List Bullet 2"/>
    <w:basedOn w:val="1"/>
    <w:qFormat/>
    <w:uiPriority w:val="0"/>
    <w:pPr>
      <w:numPr>
        <w:ilvl w:val="0"/>
        <w:numId w:val="6"/>
      </w:numPr>
      <w:tabs>
        <w:tab w:val="left" w:pos="432"/>
      </w:tabs>
    </w:pPr>
    <w:rPr>
      <w:rFonts w:asciiTheme="minorHAnsi" w:hAnsiTheme="minorHAnsi" w:eastAsiaTheme="minorEastAsia" w:cstheme="minorBidi"/>
      <w:szCs w:val="22"/>
    </w:rPr>
  </w:style>
  <w:style w:type="paragraph" w:styleId="42">
    <w:name w:val="HTML Address"/>
    <w:basedOn w:val="1"/>
    <w:link w:val="148"/>
    <w:qFormat/>
    <w:uiPriority w:val="0"/>
    <w:rPr>
      <w:rFonts w:asciiTheme="minorHAnsi" w:hAnsiTheme="minorHAnsi" w:eastAsiaTheme="minorEastAsia" w:cstheme="minorBidi"/>
      <w:i/>
      <w:iCs/>
      <w:szCs w:val="22"/>
    </w:rPr>
  </w:style>
  <w:style w:type="paragraph" w:styleId="43">
    <w:name w:val="index 4"/>
    <w:basedOn w:val="1"/>
    <w:next w:val="1"/>
    <w:qFormat/>
    <w:uiPriority w:val="0"/>
    <w:pPr>
      <w:widowControl/>
      <w:ind w:left="600" w:leftChars="600"/>
      <w:jc w:val="left"/>
    </w:pPr>
    <w:rPr>
      <w:rFonts w:ascii="Calibri" w:hAnsi="Calibri"/>
      <w:kern w:val="0"/>
      <w:sz w:val="24"/>
      <w:szCs w:val="24"/>
      <w:lang w:eastAsia="en-US" w:bidi="en-US"/>
    </w:rPr>
  </w:style>
  <w:style w:type="paragraph" w:styleId="44">
    <w:name w:val="toc 5"/>
    <w:basedOn w:val="1"/>
    <w:next w:val="1"/>
    <w:qFormat/>
    <w:uiPriority w:val="39"/>
    <w:pPr>
      <w:ind w:left="1680" w:leftChars="800"/>
    </w:pPr>
    <w:rPr>
      <w:rFonts w:asciiTheme="minorHAnsi" w:hAnsiTheme="minorHAnsi" w:eastAsiaTheme="minorEastAsia" w:cstheme="minorBidi"/>
      <w:szCs w:val="22"/>
    </w:rPr>
  </w:style>
  <w:style w:type="paragraph" w:styleId="45">
    <w:name w:val="toc 3"/>
    <w:basedOn w:val="1"/>
    <w:next w:val="1"/>
    <w:link w:val="119"/>
    <w:qFormat/>
    <w:uiPriority w:val="39"/>
    <w:pPr>
      <w:ind w:left="840" w:leftChars="400"/>
    </w:pPr>
    <w:rPr>
      <w:rFonts w:asciiTheme="minorHAnsi" w:hAnsiTheme="minorHAnsi" w:eastAsiaTheme="minorEastAsia" w:cstheme="minorBidi"/>
      <w:szCs w:val="22"/>
    </w:rPr>
  </w:style>
  <w:style w:type="paragraph" w:styleId="46">
    <w:name w:val="Plain Text"/>
    <w:basedOn w:val="1"/>
    <w:link w:val="145"/>
    <w:qFormat/>
    <w:uiPriority w:val="0"/>
    <w:pPr>
      <w:spacing w:after="50" w:line="400" w:lineRule="exact"/>
      <w:ind w:firstLine="510"/>
    </w:pPr>
    <w:rPr>
      <w:rFonts w:ascii="宋体" w:hAnsi="Courier New" w:eastAsiaTheme="minorEastAsia" w:cstheme="minorBidi"/>
    </w:rPr>
  </w:style>
  <w:style w:type="paragraph" w:styleId="47">
    <w:name w:val="List Number 4"/>
    <w:basedOn w:val="1"/>
    <w:qFormat/>
    <w:uiPriority w:val="0"/>
    <w:pPr>
      <w:numPr>
        <w:ilvl w:val="0"/>
        <w:numId w:val="7"/>
      </w:numPr>
      <w:tabs>
        <w:tab w:val="left" w:pos="432"/>
      </w:tabs>
    </w:pPr>
    <w:rPr>
      <w:rFonts w:asciiTheme="minorHAnsi" w:hAnsiTheme="minorHAnsi" w:eastAsiaTheme="minorEastAsia" w:cstheme="minorBidi"/>
      <w:szCs w:val="22"/>
    </w:rPr>
  </w:style>
  <w:style w:type="paragraph" w:styleId="48">
    <w:name w:val="toc 8"/>
    <w:basedOn w:val="1"/>
    <w:next w:val="1"/>
    <w:qFormat/>
    <w:uiPriority w:val="39"/>
    <w:pPr>
      <w:ind w:left="2940" w:leftChars="1400"/>
    </w:pPr>
    <w:rPr>
      <w:rFonts w:asciiTheme="minorHAnsi" w:hAnsiTheme="minorHAnsi" w:eastAsiaTheme="minorEastAsia" w:cstheme="minorBidi"/>
      <w:szCs w:val="22"/>
    </w:rPr>
  </w:style>
  <w:style w:type="paragraph" w:styleId="49">
    <w:name w:val="index 3"/>
    <w:basedOn w:val="1"/>
    <w:next w:val="1"/>
    <w:qFormat/>
    <w:uiPriority w:val="0"/>
    <w:pPr>
      <w:widowControl/>
      <w:ind w:left="400" w:leftChars="400"/>
      <w:jc w:val="left"/>
    </w:pPr>
    <w:rPr>
      <w:rFonts w:ascii="Calibri" w:hAnsi="Calibri"/>
      <w:kern w:val="0"/>
      <w:sz w:val="24"/>
      <w:szCs w:val="24"/>
      <w:lang w:eastAsia="en-US" w:bidi="en-US"/>
    </w:rPr>
  </w:style>
  <w:style w:type="paragraph" w:styleId="50">
    <w:name w:val="Date"/>
    <w:basedOn w:val="1"/>
    <w:next w:val="1"/>
    <w:link w:val="135"/>
    <w:qFormat/>
    <w:uiPriority w:val="0"/>
    <w:rPr>
      <w:rFonts w:ascii="仿宋_GB2312" w:eastAsia="仿宋_GB2312" w:hAnsiTheme="minorHAnsi" w:cstheme="minorBidi"/>
      <w:sz w:val="32"/>
    </w:rPr>
  </w:style>
  <w:style w:type="paragraph" w:styleId="51">
    <w:name w:val="Body Text Indent 2"/>
    <w:basedOn w:val="1"/>
    <w:link w:val="141"/>
    <w:qFormat/>
    <w:uiPriority w:val="0"/>
    <w:pPr>
      <w:spacing w:line="560" w:lineRule="exact"/>
      <w:ind w:firstLine="624"/>
    </w:pPr>
    <w:rPr>
      <w:rFonts w:ascii="仿宋_GB2312" w:hAnsi="Times New Roman" w:eastAsia="仿宋_GB2312" w:cstheme="minorBidi"/>
      <w:kern w:val="0"/>
      <w:sz w:val="30"/>
    </w:rPr>
  </w:style>
  <w:style w:type="paragraph" w:styleId="52">
    <w:name w:val="endnote text"/>
    <w:basedOn w:val="1"/>
    <w:link w:val="441"/>
    <w:qFormat/>
    <w:uiPriority w:val="0"/>
    <w:pPr>
      <w:widowControl/>
      <w:snapToGrid w:val="0"/>
      <w:jc w:val="left"/>
    </w:pPr>
    <w:rPr>
      <w:rFonts w:ascii="Calibri" w:hAnsi="Calibri"/>
      <w:kern w:val="0"/>
      <w:sz w:val="24"/>
      <w:szCs w:val="24"/>
      <w:lang w:eastAsia="en-US" w:bidi="en-US"/>
    </w:rPr>
  </w:style>
  <w:style w:type="paragraph" w:styleId="53">
    <w:name w:val="List Continue 5"/>
    <w:basedOn w:val="1"/>
    <w:qFormat/>
    <w:uiPriority w:val="0"/>
    <w:pPr>
      <w:spacing w:after="120"/>
      <w:ind w:left="2100" w:leftChars="1000"/>
    </w:pPr>
    <w:rPr>
      <w:rFonts w:asciiTheme="minorHAnsi" w:hAnsiTheme="minorHAnsi" w:eastAsiaTheme="minorEastAsia" w:cstheme="minorBidi"/>
      <w:szCs w:val="22"/>
    </w:rPr>
  </w:style>
  <w:style w:type="paragraph" w:styleId="54">
    <w:name w:val="Balloon Text"/>
    <w:basedOn w:val="1"/>
    <w:link w:val="151"/>
    <w:unhideWhenUsed/>
    <w:qFormat/>
    <w:uiPriority w:val="0"/>
    <w:rPr>
      <w:rFonts w:asciiTheme="minorHAnsi" w:hAnsiTheme="minorHAnsi" w:eastAsiaTheme="minorEastAsia" w:cstheme="minorBidi"/>
      <w:kern w:val="0"/>
      <w:sz w:val="18"/>
      <w:szCs w:val="18"/>
    </w:rPr>
  </w:style>
  <w:style w:type="paragraph" w:styleId="55">
    <w:name w:val="footer"/>
    <w:basedOn w:val="1"/>
    <w:link w:val="124"/>
    <w:qFormat/>
    <w:uiPriority w:val="0"/>
    <w:pPr>
      <w:tabs>
        <w:tab w:val="center" w:pos="4153"/>
        <w:tab w:val="right" w:pos="8306"/>
      </w:tabs>
      <w:snapToGrid w:val="0"/>
      <w:ind w:right="360"/>
      <w:jc w:val="center"/>
    </w:pPr>
    <w:rPr>
      <w:rFonts w:ascii="方正魏碑简体" w:eastAsia="方正魏碑简体" w:hAnsiTheme="minorHAnsi" w:cstheme="minorBidi"/>
      <w:szCs w:val="21"/>
    </w:rPr>
  </w:style>
  <w:style w:type="paragraph" w:styleId="56">
    <w:name w:val="envelope return"/>
    <w:basedOn w:val="1"/>
    <w:qFormat/>
    <w:uiPriority w:val="0"/>
    <w:pPr>
      <w:snapToGrid w:val="0"/>
    </w:pPr>
    <w:rPr>
      <w:rFonts w:cs="Arial" w:eastAsiaTheme="minorEastAsia"/>
      <w:szCs w:val="22"/>
    </w:rPr>
  </w:style>
  <w:style w:type="paragraph" w:styleId="57">
    <w:name w:val="header"/>
    <w:basedOn w:val="1"/>
    <w:next w:val="1"/>
    <w:link w:val="123"/>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8">
    <w:name w:val="Signature"/>
    <w:basedOn w:val="1"/>
    <w:link w:val="129"/>
    <w:qFormat/>
    <w:uiPriority w:val="0"/>
    <w:pPr>
      <w:ind w:left="100" w:leftChars="2100"/>
    </w:pPr>
    <w:rPr>
      <w:rFonts w:asciiTheme="minorHAnsi" w:hAnsiTheme="minorHAnsi" w:eastAsiaTheme="minorEastAsia" w:cstheme="minorBidi"/>
      <w:szCs w:val="22"/>
    </w:rPr>
  </w:style>
  <w:style w:type="paragraph" w:styleId="59">
    <w:name w:val="toc 1"/>
    <w:basedOn w:val="1"/>
    <w:next w:val="1"/>
    <w:link w:val="118"/>
    <w:qFormat/>
    <w:uiPriority w:val="39"/>
    <w:pPr>
      <w:spacing w:before="120" w:after="120"/>
      <w:jc w:val="left"/>
    </w:pPr>
    <w:rPr>
      <w:rFonts w:ascii="Times New Roman" w:hAnsi="Times New Roman" w:cstheme="minorBidi"/>
      <w:b/>
      <w:bCs/>
      <w:caps/>
      <w:sz w:val="28"/>
    </w:rPr>
  </w:style>
  <w:style w:type="paragraph" w:styleId="60">
    <w:name w:val="List Continue 4"/>
    <w:basedOn w:val="1"/>
    <w:qFormat/>
    <w:uiPriority w:val="0"/>
    <w:pPr>
      <w:spacing w:after="120"/>
      <w:ind w:left="1680" w:leftChars="800"/>
    </w:pPr>
    <w:rPr>
      <w:rFonts w:asciiTheme="minorHAnsi" w:hAnsiTheme="minorHAnsi" w:eastAsiaTheme="minorEastAsia" w:cstheme="minorBidi"/>
      <w:szCs w:val="22"/>
    </w:rPr>
  </w:style>
  <w:style w:type="paragraph" w:styleId="61">
    <w:name w:val="toc 4"/>
    <w:basedOn w:val="1"/>
    <w:next w:val="1"/>
    <w:qFormat/>
    <w:uiPriority w:val="39"/>
    <w:pPr>
      <w:ind w:left="1260" w:leftChars="600"/>
    </w:pPr>
    <w:rPr>
      <w:rFonts w:asciiTheme="minorHAnsi" w:hAnsiTheme="minorHAnsi" w:eastAsiaTheme="minorEastAsia" w:cstheme="minorBidi"/>
      <w:szCs w:val="22"/>
    </w:rPr>
  </w:style>
  <w:style w:type="paragraph" w:styleId="62">
    <w:name w:val="index heading"/>
    <w:basedOn w:val="1"/>
    <w:next w:val="63"/>
    <w:qFormat/>
    <w:uiPriority w:val="0"/>
    <w:pPr>
      <w:widowControl/>
      <w:jc w:val="left"/>
    </w:pPr>
    <w:rPr>
      <w:rFonts w:cs="Arial"/>
      <w:b/>
      <w:bCs/>
      <w:kern w:val="0"/>
      <w:sz w:val="24"/>
      <w:szCs w:val="24"/>
      <w:lang w:eastAsia="en-US" w:bidi="en-US"/>
    </w:rPr>
  </w:style>
  <w:style w:type="paragraph" w:styleId="63">
    <w:name w:val="index 1"/>
    <w:basedOn w:val="1"/>
    <w:next w:val="1"/>
    <w:unhideWhenUsed/>
    <w:qFormat/>
    <w:uiPriority w:val="0"/>
  </w:style>
  <w:style w:type="paragraph" w:styleId="64">
    <w:name w:val="Subtitle"/>
    <w:basedOn w:val="1"/>
    <w:next w:val="1"/>
    <w:link w:val="133"/>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65">
    <w:name w:val="List Number 5"/>
    <w:basedOn w:val="1"/>
    <w:qFormat/>
    <w:uiPriority w:val="0"/>
    <w:pPr>
      <w:numPr>
        <w:ilvl w:val="0"/>
        <w:numId w:val="8"/>
      </w:numPr>
      <w:tabs>
        <w:tab w:val="left" w:pos="432"/>
      </w:tabs>
    </w:pPr>
    <w:rPr>
      <w:rFonts w:asciiTheme="minorHAnsi" w:hAnsiTheme="minorHAnsi" w:eastAsiaTheme="minorEastAsia" w:cstheme="minorBidi"/>
      <w:szCs w:val="22"/>
    </w:rPr>
  </w:style>
  <w:style w:type="paragraph" w:styleId="66">
    <w:name w:val="footnote text"/>
    <w:basedOn w:val="1"/>
    <w:link w:val="121"/>
    <w:qFormat/>
    <w:uiPriority w:val="0"/>
    <w:pPr>
      <w:snapToGrid w:val="0"/>
      <w:jc w:val="left"/>
    </w:pPr>
    <w:rPr>
      <w:rFonts w:asciiTheme="minorHAnsi" w:hAnsiTheme="minorHAnsi" w:eastAsiaTheme="minorEastAsia" w:cstheme="minorBidi"/>
      <w:sz w:val="18"/>
      <w:szCs w:val="18"/>
    </w:rPr>
  </w:style>
  <w:style w:type="paragraph" w:styleId="67">
    <w:name w:val="toc 6"/>
    <w:basedOn w:val="1"/>
    <w:next w:val="1"/>
    <w:qFormat/>
    <w:uiPriority w:val="39"/>
    <w:pPr>
      <w:ind w:left="2100" w:leftChars="1000"/>
    </w:pPr>
    <w:rPr>
      <w:rFonts w:asciiTheme="minorHAnsi" w:hAnsiTheme="minorHAnsi" w:eastAsiaTheme="minorEastAsia" w:cstheme="minorBidi"/>
      <w:szCs w:val="22"/>
    </w:rPr>
  </w:style>
  <w:style w:type="paragraph" w:styleId="68">
    <w:name w:val="List 5"/>
    <w:basedOn w:val="1"/>
    <w:qFormat/>
    <w:uiPriority w:val="0"/>
    <w:pPr>
      <w:ind w:left="100" w:leftChars="800" w:hanging="200" w:hangingChars="200"/>
    </w:pPr>
    <w:rPr>
      <w:rFonts w:asciiTheme="minorHAnsi" w:hAnsiTheme="minorHAnsi" w:eastAsiaTheme="minorEastAsia" w:cstheme="minorBidi"/>
      <w:szCs w:val="22"/>
    </w:rPr>
  </w:style>
  <w:style w:type="paragraph" w:styleId="69">
    <w:name w:val="Body Text Indent 3"/>
    <w:basedOn w:val="1"/>
    <w:link w:val="142"/>
    <w:unhideWhenUsed/>
    <w:qFormat/>
    <w:uiPriority w:val="0"/>
    <w:pPr>
      <w:spacing w:after="120"/>
      <w:ind w:left="420" w:leftChars="200"/>
    </w:pPr>
    <w:rPr>
      <w:rFonts w:asciiTheme="minorHAnsi" w:hAnsiTheme="minorHAnsi" w:eastAsiaTheme="minorEastAsia" w:cstheme="minorBidi"/>
      <w:kern w:val="0"/>
      <w:sz w:val="16"/>
      <w:szCs w:val="16"/>
    </w:rPr>
  </w:style>
  <w:style w:type="paragraph" w:styleId="70">
    <w:name w:val="index 7"/>
    <w:basedOn w:val="1"/>
    <w:next w:val="1"/>
    <w:qFormat/>
    <w:uiPriority w:val="0"/>
    <w:pPr>
      <w:widowControl/>
      <w:ind w:left="1200" w:leftChars="1200"/>
      <w:jc w:val="left"/>
    </w:pPr>
    <w:rPr>
      <w:rFonts w:ascii="Calibri" w:hAnsi="Calibri"/>
      <w:kern w:val="0"/>
      <w:sz w:val="24"/>
      <w:szCs w:val="24"/>
      <w:lang w:eastAsia="en-US" w:bidi="en-US"/>
    </w:rPr>
  </w:style>
  <w:style w:type="paragraph" w:styleId="71">
    <w:name w:val="index 9"/>
    <w:basedOn w:val="1"/>
    <w:next w:val="1"/>
    <w:qFormat/>
    <w:uiPriority w:val="0"/>
    <w:pPr>
      <w:widowControl/>
      <w:ind w:left="1600" w:leftChars="1600"/>
      <w:jc w:val="left"/>
    </w:pPr>
    <w:rPr>
      <w:rFonts w:ascii="Calibri" w:hAnsi="Calibri"/>
      <w:kern w:val="0"/>
      <w:sz w:val="24"/>
      <w:szCs w:val="24"/>
      <w:lang w:eastAsia="en-US" w:bidi="en-US"/>
    </w:rPr>
  </w:style>
  <w:style w:type="paragraph" w:styleId="72">
    <w:name w:val="table of figures"/>
    <w:basedOn w:val="1"/>
    <w:next w:val="1"/>
    <w:qFormat/>
    <w:uiPriority w:val="0"/>
    <w:pPr>
      <w:ind w:left="840" w:leftChars="200" w:hanging="420" w:hangingChars="200"/>
    </w:pPr>
    <w:rPr>
      <w:rFonts w:asciiTheme="minorHAnsi" w:hAnsiTheme="minorHAnsi" w:eastAsiaTheme="minorEastAsia" w:cstheme="minorBidi"/>
      <w:szCs w:val="22"/>
    </w:rPr>
  </w:style>
  <w:style w:type="paragraph" w:styleId="73">
    <w:name w:val="toc 2"/>
    <w:basedOn w:val="1"/>
    <w:next w:val="1"/>
    <w:qFormat/>
    <w:uiPriority w:val="39"/>
    <w:pPr>
      <w:tabs>
        <w:tab w:val="left" w:pos="905"/>
        <w:tab w:val="right" w:leader="dot" w:pos="9060"/>
      </w:tabs>
      <w:spacing w:line="460" w:lineRule="exact"/>
      <w:ind w:firstLine="480" w:firstLineChars="200"/>
    </w:pPr>
    <w:rPr>
      <w:rFonts w:asciiTheme="minorHAnsi" w:hAnsiTheme="minorHAnsi" w:eastAsiaTheme="minorEastAsia" w:cstheme="minorBidi"/>
      <w:sz w:val="24"/>
      <w:szCs w:val="22"/>
    </w:rPr>
  </w:style>
  <w:style w:type="paragraph" w:styleId="74">
    <w:name w:val="toc 9"/>
    <w:basedOn w:val="1"/>
    <w:next w:val="1"/>
    <w:qFormat/>
    <w:uiPriority w:val="39"/>
    <w:pPr>
      <w:ind w:left="3360" w:leftChars="1600"/>
    </w:pPr>
    <w:rPr>
      <w:rFonts w:asciiTheme="minorHAnsi" w:hAnsiTheme="minorHAnsi" w:eastAsiaTheme="minorEastAsia" w:cstheme="minorBidi"/>
      <w:szCs w:val="22"/>
    </w:rPr>
  </w:style>
  <w:style w:type="paragraph" w:styleId="75">
    <w:name w:val="Body Text 2"/>
    <w:basedOn w:val="1"/>
    <w:link w:val="139"/>
    <w:qFormat/>
    <w:uiPriority w:val="0"/>
    <w:pPr>
      <w:spacing w:after="120" w:line="480" w:lineRule="auto"/>
    </w:pPr>
    <w:rPr>
      <w:rFonts w:asciiTheme="minorHAnsi" w:hAnsiTheme="minorHAnsi" w:eastAsiaTheme="minorEastAsia" w:cstheme="minorBidi"/>
      <w:szCs w:val="22"/>
    </w:rPr>
  </w:style>
  <w:style w:type="paragraph" w:styleId="76">
    <w:name w:val="List 4"/>
    <w:basedOn w:val="1"/>
    <w:qFormat/>
    <w:uiPriority w:val="0"/>
    <w:pPr>
      <w:ind w:left="100" w:leftChars="600" w:hanging="200" w:hangingChars="200"/>
    </w:pPr>
    <w:rPr>
      <w:rFonts w:asciiTheme="minorHAnsi" w:hAnsiTheme="minorHAnsi" w:eastAsiaTheme="minorEastAsia" w:cstheme="minorBidi"/>
      <w:szCs w:val="22"/>
    </w:rPr>
  </w:style>
  <w:style w:type="paragraph" w:styleId="77">
    <w:name w:val="List Continue 2"/>
    <w:basedOn w:val="1"/>
    <w:qFormat/>
    <w:uiPriority w:val="0"/>
    <w:pPr>
      <w:spacing w:after="120"/>
      <w:ind w:left="840" w:leftChars="400"/>
    </w:pPr>
    <w:rPr>
      <w:rFonts w:asciiTheme="minorHAnsi" w:hAnsiTheme="minorHAnsi" w:eastAsiaTheme="minorEastAsia" w:cstheme="minorBidi"/>
      <w:szCs w:val="22"/>
    </w:rPr>
  </w:style>
  <w:style w:type="paragraph" w:styleId="78">
    <w:name w:val="Message Header"/>
    <w:basedOn w:val="1"/>
    <w:link w:val="13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cs="Arial" w:eastAsiaTheme="minorEastAsia"/>
      <w:sz w:val="24"/>
      <w:szCs w:val="22"/>
    </w:rPr>
  </w:style>
  <w:style w:type="paragraph" w:styleId="79">
    <w:name w:val="HTML Preformatted"/>
    <w:basedOn w:val="1"/>
    <w:link w:val="1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kern w:val="0"/>
      <w:sz w:val="24"/>
      <w:szCs w:val="22"/>
    </w:rPr>
  </w:style>
  <w:style w:type="paragraph" w:styleId="80">
    <w:name w:val="Normal (Web)"/>
    <w:basedOn w:val="1"/>
    <w:link w:val="147"/>
    <w:qFormat/>
    <w:uiPriority w:val="0"/>
    <w:pPr>
      <w:widowControl/>
      <w:spacing w:before="100" w:beforeAutospacing="1" w:after="100" w:afterAutospacing="1"/>
      <w:jc w:val="left"/>
    </w:pPr>
    <w:rPr>
      <w:rFonts w:ascii="宋体" w:hAnsi="宋体" w:cs="宋体" w:eastAsiaTheme="minorEastAsia"/>
      <w:color w:val="000000"/>
      <w:kern w:val="0"/>
      <w:sz w:val="24"/>
      <w:szCs w:val="22"/>
    </w:rPr>
  </w:style>
  <w:style w:type="paragraph" w:styleId="81">
    <w:name w:val="List Continue 3"/>
    <w:basedOn w:val="1"/>
    <w:qFormat/>
    <w:uiPriority w:val="0"/>
    <w:pPr>
      <w:spacing w:after="120"/>
      <w:ind w:left="1260" w:leftChars="600"/>
    </w:pPr>
    <w:rPr>
      <w:rFonts w:asciiTheme="minorHAnsi" w:hAnsiTheme="minorHAnsi" w:eastAsiaTheme="minorEastAsia" w:cstheme="minorBidi"/>
      <w:szCs w:val="22"/>
    </w:rPr>
  </w:style>
  <w:style w:type="paragraph" w:styleId="82">
    <w:name w:val="index 2"/>
    <w:basedOn w:val="1"/>
    <w:next w:val="1"/>
    <w:qFormat/>
    <w:uiPriority w:val="0"/>
    <w:pPr>
      <w:widowControl/>
      <w:ind w:left="200" w:leftChars="200"/>
      <w:jc w:val="left"/>
    </w:pPr>
    <w:rPr>
      <w:rFonts w:ascii="Calibri" w:hAnsi="Calibri"/>
      <w:kern w:val="0"/>
      <w:sz w:val="24"/>
      <w:szCs w:val="24"/>
      <w:lang w:eastAsia="en-US" w:bidi="en-US"/>
    </w:rPr>
  </w:style>
  <w:style w:type="paragraph" w:styleId="83">
    <w:name w:val="Title"/>
    <w:basedOn w:val="1"/>
    <w:next w:val="1"/>
    <w:link w:val="127"/>
    <w:qFormat/>
    <w:uiPriority w:val="10"/>
    <w:pPr>
      <w:spacing w:before="240" w:after="60"/>
      <w:jc w:val="center"/>
      <w:outlineLvl w:val="0"/>
    </w:pPr>
    <w:rPr>
      <w:rFonts w:asciiTheme="majorHAnsi" w:hAnsiTheme="majorHAnsi" w:cstheme="majorBidi"/>
      <w:b/>
      <w:bCs/>
      <w:kern w:val="0"/>
      <w:sz w:val="32"/>
      <w:szCs w:val="32"/>
    </w:rPr>
  </w:style>
  <w:style w:type="paragraph" w:styleId="84">
    <w:name w:val="annotation subject"/>
    <w:basedOn w:val="30"/>
    <w:next w:val="30"/>
    <w:link w:val="150"/>
    <w:qFormat/>
    <w:uiPriority w:val="99"/>
    <w:rPr>
      <w:b/>
      <w:bCs/>
    </w:rPr>
  </w:style>
  <w:style w:type="paragraph" w:styleId="85">
    <w:name w:val="Body Text First Indent"/>
    <w:basedOn w:val="2"/>
    <w:link w:val="136"/>
    <w:qFormat/>
    <w:uiPriority w:val="0"/>
    <w:pPr>
      <w:snapToGrid w:val="0"/>
      <w:spacing w:line="300" w:lineRule="auto"/>
      <w:ind w:firstLine="420" w:firstLineChars="100"/>
    </w:pPr>
    <w:rPr>
      <w:rFonts w:eastAsia="仿宋_GB2312"/>
      <w:sz w:val="28"/>
    </w:rPr>
  </w:style>
  <w:style w:type="paragraph" w:styleId="86">
    <w:name w:val="Body Text First Indent 2"/>
    <w:basedOn w:val="36"/>
    <w:link w:val="137"/>
    <w:qFormat/>
    <w:uiPriority w:val="0"/>
    <w:pPr>
      <w:ind w:firstLine="420" w:firstLineChars="200"/>
    </w:pPr>
    <w:rPr>
      <w:rFonts w:ascii="Times New Roman" w:eastAsia="宋体"/>
      <w:szCs w:val="24"/>
    </w:rPr>
  </w:style>
  <w:style w:type="table" w:styleId="88">
    <w:name w:val="Table Grid"/>
    <w:basedOn w:val="8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0">
    <w:name w:val="Strong"/>
    <w:basedOn w:val="89"/>
    <w:qFormat/>
    <w:uiPriority w:val="0"/>
    <w:rPr>
      <w:b/>
      <w:bCs/>
    </w:rPr>
  </w:style>
  <w:style w:type="character" w:styleId="91">
    <w:name w:val="endnote reference"/>
    <w:unhideWhenUsed/>
    <w:qFormat/>
    <w:uiPriority w:val="0"/>
    <w:rPr>
      <w:vertAlign w:val="superscript"/>
    </w:rPr>
  </w:style>
  <w:style w:type="character" w:styleId="92">
    <w:name w:val="page number"/>
    <w:basedOn w:val="89"/>
    <w:qFormat/>
    <w:uiPriority w:val="0"/>
  </w:style>
  <w:style w:type="character" w:styleId="93">
    <w:name w:val="FollowedHyperlink"/>
    <w:basedOn w:val="89"/>
    <w:qFormat/>
    <w:uiPriority w:val="99"/>
    <w:rPr>
      <w:color w:val="800080"/>
      <w:u w:val="single"/>
    </w:rPr>
  </w:style>
  <w:style w:type="character" w:styleId="94">
    <w:name w:val="Emphasis"/>
    <w:basedOn w:val="89"/>
    <w:qFormat/>
    <w:uiPriority w:val="0"/>
    <w:rPr>
      <w:i/>
      <w:iCs/>
    </w:rPr>
  </w:style>
  <w:style w:type="character" w:styleId="95">
    <w:name w:val="line number"/>
    <w:basedOn w:val="89"/>
    <w:qFormat/>
    <w:uiPriority w:val="0"/>
  </w:style>
  <w:style w:type="character" w:styleId="96">
    <w:name w:val="HTML Definition"/>
    <w:basedOn w:val="89"/>
    <w:qFormat/>
    <w:uiPriority w:val="0"/>
    <w:rPr>
      <w:i/>
      <w:iCs/>
    </w:rPr>
  </w:style>
  <w:style w:type="character" w:styleId="97">
    <w:name w:val="HTML Typewriter"/>
    <w:basedOn w:val="89"/>
    <w:qFormat/>
    <w:uiPriority w:val="0"/>
    <w:rPr>
      <w:rFonts w:ascii="Courier New" w:hAnsi="Courier New" w:cs="Courier New"/>
      <w:sz w:val="20"/>
      <w:szCs w:val="20"/>
    </w:rPr>
  </w:style>
  <w:style w:type="character" w:styleId="98">
    <w:name w:val="HTML Acronym"/>
    <w:basedOn w:val="89"/>
    <w:qFormat/>
    <w:uiPriority w:val="0"/>
  </w:style>
  <w:style w:type="character" w:styleId="99">
    <w:name w:val="HTML Variable"/>
    <w:basedOn w:val="89"/>
    <w:qFormat/>
    <w:uiPriority w:val="0"/>
    <w:rPr>
      <w:i/>
      <w:iCs/>
    </w:rPr>
  </w:style>
  <w:style w:type="character" w:styleId="100">
    <w:name w:val="Hyperlink"/>
    <w:basedOn w:val="89"/>
    <w:unhideWhenUsed/>
    <w:qFormat/>
    <w:uiPriority w:val="99"/>
    <w:rPr>
      <w:color w:val="3F88BF"/>
      <w:u w:val="none"/>
    </w:rPr>
  </w:style>
  <w:style w:type="character" w:styleId="101">
    <w:name w:val="HTML Code"/>
    <w:basedOn w:val="89"/>
    <w:qFormat/>
    <w:uiPriority w:val="0"/>
    <w:rPr>
      <w:rFonts w:ascii="Courier New" w:hAnsi="Courier New" w:cs="Courier New"/>
      <w:sz w:val="20"/>
      <w:szCs w:val="20"/>
    </w:rPr>
  </w:style>
  <w:style w:type="character" w:styleId="102">
    <w:name w:val="annotation reference"/>
    <w:basedOn w:val="89"/>
    <w:qFormat/>
    <w:uiPriority w:val="0"/>
    <w:rPr>
      <w:sz w:val="21"/>
      <w:szCs w:val="21"/>
    </w:rPr>
  </w:style>
  <w:style w:type="character" w:styleId="103">
    <w:name w:val="HTML Cite"/>
    <w:basedOn w:val="89"/>
    <w:qFormat/>
    <w:uiPriority w:val="0"/>
    <w:rPr>
      <w:i/>
      <w:iCs/>
    </w:rPr>
  </w:style>
  <w:style w:type="character" w:styleId="104">
    <w:name w:val="footnote reference"/>
    <w:basedOn w:val="89"/>
    <w:qFormat/>
    <w:uiPriority w:val="0"/>
    <w:rPr>
      <w:vertAlign w:val="superscript"/>
    </w:rPr>
  </w:style>
  <w:style w:type="character" w:styleId="105">
    <w:name w:val="HTML Keyboard"/>
    <w:basedOn w:val="89"/>
    <w:qFormat/>
    <w:uiPriority w:val="0"/>
    <w:rPr>
      <w:rFonts w:ascii="Courier New" w:hAnsi="Courier New" w:cs="Courier New"/>
      <w:sz w:val="20"/>
      <w:szCs w:val="20"/>
    </w:rPr>
  </w:style>
  <w:style w:type="character" w:styleId="106">
    <w:name w:val="HTML Sample"/>
    <w:basedOn w:val="89"/>
    <w:qFormat/>
    <w:uiPriority w:val="0"/>
    <w:rPr>
      <w:rFonts w:ascii="Courier New" w:hAnsi="Courier New" w:cs="Courier New"/>
    </w:rPr>
  </w:style>
  <w:style w:type="paragraph" w:customStyle="1" w:styleId="107">
    <w:name w:val="Default"/>
    <w:basedOn w:val="108"/>
    <w:next w:val="1"/>
    <w:link w:val="156"/>
    <w:qFormat/>
    <w:uiPriority w:val="0"/>
    <w:pPr>
      <w:autoSpaceDE w:val="0"/>
      <w:autoSpaceDN w:val="0"/>
    </w:pPr>
    <w:rPr>
      <w:rFonts w:ascii="ST Song" w:eastAsia="ST Song" w:cs="ST Song" w:hAnsiTheme="minorHAnsi"/>
      <w:color w:val="000000"/>
      <w:sz w:val="24"/>
      <w:szCs w:val="24"/>
    </w:rPr>
  </w:style>
  <w:style w:type="paragraph" w:customStyle="1" w:styleId="108">
    <w:name w:val="纯文本1"/>
    <w:basedOn w:val="1"/>
    <w:qFormat/>
    <w:uiPriority w:val="0"/>
    <w:pPr>
      <w:adjustRightInd w:val="0"/>
      <w:textAlignment w:val="baseline"/>
    </w:pPr>
    <w:rPr>
      <w:rFonts w:ascii="宋体" w:hAnsi="Courier New"/>
    </w:rPr>
  </w:style>
  <w:style w:type="character" w:customStyle="1" w:styleId="109">
    <w:name w:val="标题 1 Char"/>
    <w:basedOn w:val="89"/>
    <w:link w:val="5"/>
    <w:qFormat/>
    <w:uiPriority w:val="9"/>
    <w:rPr>
      <w:b/>
      <w:bCs/>
      <w:kern w:val="44"/>
      <w:sz w:val="44"/>
      <w:szCs w:val="44"/>
    </w:rPr>
  </w:style>
  <w:style w:type="character" w:customStyle="1" w:styleId="110">
    <w:name w:val="标题 2 Char"/>
    <w:basedOn w:val="89"/>
    <w:link w:val="6"/>
    <w:qFormat/>
    <w:uiPriority w:val="9"/>
    <w:rPr>
      <w:rFonts w:ascii="Arial" w:hAnsi="Arial" w:eastAsia="黑体"/>
      <w:b/>
      <w:bCs/>
      <w:sz w:val="32"/>
      <w:szCs w:val="32"/>
    </w:rPr>
  </w:style>
  <w:style w:type="character" w:customStyle="1" w:styleId="111">
    <w:name w:val="标题 3 Char"/>
    <w:basedOn w:val="89"/>
    <w:link w:val="7"/>
    <w:qFormat/>
    <w:uiPriority w:val="9"/>
    <w:rPr>
      <w:b/>
      <w:bCs/>
      <w:sz w:val="32"/>
      <w:szCs w:val="32"/>
    </w:rPr>
  </w:style>
  <w:style w:type="character" w:customStyle="1" w:styleId="112">
    <w:name w:val="标题 4 Char"/>
    <w:basedOn w:val="89"/>
    <w:link w:val="8"/>
    <w:qFormat/>
    <w:uiPriority w:val="9"/>
    <w:rPr>
      <w:rFonts w:ascii="Arial" w:hAnsi="Arial" w:eastAsia="黑体"/>
      <w:b/>
      <w:bCs/>
      <w:kern w:val="2"/>
      <w:sz w:val="28"/>
      <w:szCs w:val="28"/>
    </w:rPr>
  </w:style>
  <w:style w:type="character" w:customStyle="1" w:styleId="113">
    <w:name w:val="标题 5 Char"/>
    <w:basedOn w:val="89"/>
    <w:link w:val="9"/>
    <w:qFormat/>
    <w:uiPriority w:val="9"/>
    <w:rPr>
      <w:b/>
      <w:bCs/>
      <w:kern w:val="2"/>
      <w:sz w:val="28"/>
      <w:szCs w:val="28"/>
    </w:rPr>
  </w:style>
  <w:style w:type="character" w:customStyle="1" w:styleId="114">
    <w:name w:val="标题 6 Char"/>
    <w:link w:val="10"/>
    <w:qFormat/>
    <w:uiPriority w:val="9"/>
    <w:rPr>
      <w:rFonts w:asciiTheme="majorHAnsi" w:hAnsiTheme="majorHAnsi" w:eastAsiaTheme="majorEastAsia" w:cstheme="majorBidi"/>
      <w:b/>
      <w:bCs/>
      <w:kern w:val="2"/>
      <w:sz w:val="24"/>
      <w:szCs w:val="24"/>
    </w:rPr>
  </w:style>
  <w:style w:type="character" w:customStyle="1" w:styleId="115">
    <w:name w:val="标题 7 Char"/>
    <w:basedOn w:val="89"/>
    <w:link w:val="11"/>
    <w:qFormat/>
    <w:uiPriority w:val="9"/>
    <w:rPr>
      <w:b/>
      <w:bCs/>
      <w:kern w:val="2"/>
      <w:sz w:val="24"/>
      <w:szCs w:val="24"/>
    </w:rPr>
  </w:style>
  <w:style w:type="character" w:customStyle="1" w:styleId="116">
    <w:name w:val="标题 8 Char"/>
    <w:basedOn w:val="89"/>
    <w:link w:val="12"/>
    <w:qFormat/>
    <w:uiPriority w:val="9"/>
    <w:rPr>
      <w:rFonts w:asciiTheme="majorHAnsi" w:hAnsiTheme="majorHAnsi" w:eastAsiaTheme="majorEastAsia" w:cstheme="majorBidi"/>
      <w:kern w:val="2"/>
      <w:sz w:val="24"/>
      <w:szCs w:val="24"/>
    </w:rPr>
  </w:style>
  <w:style w:type="character" w:customStyle="1" w:styleId="117">
    <w:name w:val="标题 9 Char"/>
    <w:basedOn w:val="89"/>
    <w:link w:val="13"/>
    <w:qFormat/>
    <w:uiPriority w:val="9"/>
    <w:rPr>
      <w:rFonts w:asciiTheme="majorHAnsi" w:hAnsiTheme="majorHAnsi" w:eastAsiaTheme="majorEastAsia" w:cstheme="majorBidi"/>
      <w:kern w:val="2"/>
      <w:sz w:val="21"/>
      <w:szCs w:val="21"/>
    </w:rPr>
  </w:style>
  <w:style w:type="character" w:customStyle="1" w:styleId="118">
    <w:name w:val="目录 1 Char"/>
    <w:link w:val="59"/>
    <w:qFormat/>
    <w:uiPriority w:val="39"/>
    <w:rPr>
      <w:rFonts w:ascii="Times New Roman" w:hAnsi="Times New Roman" w:eastAsia="宋体"/>
      <w:b/>
      <w:bCs/>
      <w:caps/>
      <w:kern w:val="2"/>
      <w:sz w:val="28"/>
    </w:rPr>
  </w:style>
  <w:style w:type="character" w:customStyle="1" w:styleId="119">
    <w:name w:val="目录 3 Char"/>
    <w:link w:val="45"/>
    <w:qFormat/>
    <w:uiPriority w:val="39"/>
    <w:rPr>
      <w:kern w:val="2"/>
      <w:sz w:val="21"/>
      <w:szCs w:val="22"/>
    </w:rPr>
  </w:style>
  <w:style w:type="character" w:customStyle="1" w:styleId="120">
    <w:name w:val="正文缩进 Char"/>
    <w:basedOn w:val="89"/>
    <w:link w:val="23"/>
    <w:qFormat/>
    <w:uiPriority w:val="0"/>
    <w:rPr>
      <w:rFonts w:ascii="Times New Roman" w:hAnsi="Times New Roman" w:eastAsia="宋体"/>
      <w:sz w:val="28"/>
    </w:rPr>
  </w:style>
  <w:style w:type="character" w:customStyle="1" w:styleId="121">
    <w:name w:val="脚注文本 Char"/>
    <w:basedOn w:val="89"/>
    <w:link w:val="66"/>
    <w:qFormat/>
    <w:uiPriority w:val="0"/>
    <w:rPr>
      <w:kern w:val="2"/>
      <w:sz w:val="18"/>
      <w:szCs w:val="18"/>
    </w:rPr>
  </w:style>
  <w:style w:type="character" w:customStyle="1" w:styleId="122">
    <w:name w:val="批注文字 Char"/>
    <w:basedOn w:val="89"/>
    <w:link w:val="30"/>
    <w:qFormat/>
    <w:uiPriority w:val="0"/>
    <w:rPr>
      <w:kern w:val="2"/>
      <w:sz w:val="21"/>
      <w:szCs w:val="24"/>
    </w:rPr>
  </w:style>
  <w:style w:type="character" w:customStyle="1" w:styleId="123">
    <w:name w:val="页眉 Char"/>
    <w:basedOn w:val="89"/>
    <w:link w:val="57"/>
    <w:qFormat/>
    <w:uiPriority w:val="99"/>
    <w:rPr>
      <w:rFonts w:eastAsia="宋体"/>
      <w:kern w:val="2"/>
      <w:sz w:val="18"/>
      <w:szCs w:val="18"/>
      <w:lang w:val="en-US" w:eastAsia="zh-CN" w:bidi="ar-SA"/>
    </w:rPr>
  </w:style>
  <w:style w:type="character" w:customStyle="1" w:styleId="124">
    <w:name w:val="页脚 Char"/>
    <w:basedOn w:val="89"/>
    <w:link w:val="55"/>
    <w:qFormat/>
    <w:uiPriority w:val="0"/>
    <w:rPr>
      <w:rFonts w:ascii="方正魏碑简体" w:eastAsia="方正魏碑简体"/>
      <w:kern w:val="2"/>
      <w:sz w:val="21"/>
      <w:szCs w:val="21"/>
    </w:rPr>
  </w:style>
  <w:style w:type="character" w:customStyle="1" w:styleId="125">
    <w:name w:val="题注 Char"/>
    <w:basedOn w:val="89"/>
    <w:link w:val="24"/>
    <w:qFormat/>
    <w:uiPriority w:val="0"/>
    <w:rPr>
      <w:rFonts w:ascii="Arial" w:hAnsi="Arial" w:eastAsia="黑体" w:cs="Arial"/>
      <w:snapToGrid w:val="0"/>
      <w:kern w:val="0"/>
      <w:sz w:val="24"/>
      <w:szCs w:val="20"/>
    </w:rPr>
  </w:style>
  <w:style w:type="character" w:customStyle="1" w:styleId="126">
    <w:name w:val="列表 Char"/>
    <w:link w:val="22"/>
    <w:qFormat/>
    <w:locked/>
    <w:uiPriority w:val="0"/>
    <w:rPr>
      <w:rFonts w:ascii="Times New Roman" w:hAnsi="Times New Roman" w:eastAsia="宋体"/>
      <w:kern w:val="2"/>
      <w:sz w:val="21"/>
    </w:rPr>
  </w:style>
  <w:style w:type="character" w:customStyle="1" w:styleId="127">
    <w:name w:val="标题 Char"/>
    <w:basedOn w:val="89"/>
    <w:link w:val="83"/>
    <w:qFormat/>
    <w:uiPriority w:val="0"/>
    <w:rPr>
      <w:rFonts w:eastAsia="宋体" w:asciiTheme="majorHAnsi" w:hAnsiTheme="majorHAnsi" w:cstheme="majorBidi"/>
      <w:b/>
      <w:bCs/>
      <w:sz w:val="32"/>
      <w:szCs w:val="32"/>
    </w:rPr>
  </w:style>
  <w:style w:type="character" w:customStyle="1" w:styleId="128">
    <w:name w:val="结束语 Char"/>
    <w:basedOn w:val="89"/>
    <w:link w:val="34"/>
    <w:qFormat/>
    <w:uiPriority w:val="0"/>
    <w:rPr>
      <w:kern w:val="2"/>
      <w:sz w:val="21"/>
      <w:szCs w:val="24"/>
    </w:rPr>
  </w:style>
  <w:style w:type="character" w:customStyle="1" w:styleId="129">
    <w:name w:val="签名 Char"/>
    <w:basedOn w:val="89"/>
    <w:link w:val="58"/>
    <w:qFormat/>
    <w:uiPriority w:val="0"/>
    <w:rPr>
      <w:kern w:val="2"/>
      <w:sz w:val="21"/>
      <w:szCs w:val="24"/>
    </w:rPr>
  </w:style>
  <w:style w:type="character" w:customStyle="1" w:styleId="130">
    <w:name w:val="正文文本 Char"/>
    <w:basedOn w:val="89"/>
    <w:link w:val="2"/>
    <w:qFormat/>
    <w:uiPriority w:val="99"/>
    <w:rPr>
      <w:rFonts w:eastAsia="宋体"/>
      <w:kern w:val="2"/>
      <w:sz w:val="21"/>
      <w:szCs w:val="24"/>
      <w:lang w:val="en-US" w:eastAsia="zh-CN" w:bidi="ar-SA"/>
    </w:rPr>
  </w:style>
  <w:style w:type="character" w:customStyle="1" w:styleId="131">
    <w:name w:val="正文文本缩进 Char"/>
    <w:basedOn w:val="89"/>
    <w:link w:val="36"/>
    <w:qFormat/>
    <w:uiPriority w:val="99"/>
  </w:style>
  <w:style w:type="character" w:customStyle="1" w:styleId="132">
    <w:name w:val="信息标题 Char"/>
    <w:basedOn w:val="89"/>
    <w:link w:val="78"/>
    <w:qFormat/>
    <w:uiPriority w:val="0"/>
    <w:rPr>
      <w:rFonts w:ascii="Arial" w:hAnsi="Arial" w:cs="Arial"/>
      <w:kern w:val="2"/>
      <w:sz w:val="24"/>
      <w:szCs w:val="24"/>
      <w:shd w:val="pct20" w:color="auto" w:fill="auto"/>
    </w:rPr>
  </w:style>
  <w:style w:type="character" w:customStyle="1" w:styleId="133">
    <w:name w:val="副标题 Char"/>
    <w:basedOn w:val="89"/>
    <w:link w:val="64"/>
    <w:qFormat/>
    <w:uiPriority w:val="11"/>
    <w:rPr>
      <w:rFonts w:eastAsia="宋体" w:asciiTheme="majorHAnsi" w:hAnsiTheme="majorHAnsi" w:cstheme="majorBidi"/>
      <w:b/>
      <w:bCs/>
      <w:kern w:val="28"/>
      <w:sz w:val="32"/>
      <w:szCs w:val="32"/>
    </w:rPr>
  </w:style>
  <w:style w:type="character" w:customStyle="1" w:styleId="134">
    <w:name w:val="称呼 Char"/>
    <w:basedOn w:val="89"/>
    <w:link w:val="32"/>
    <w:qFormat/>
    <w:uiPriority w:val="0"/>
    <w:rPr>
      <w:kern w:val="2"/>
      <w:sz w:val="21"/>
      <w:szCs w:val="24"/>
    </w:rPr>
  </w:style>
  <w:style w:type="character" w:customStyle="1" w:styleId="135">
    <w:name w:val="日期 Char"/>
    <w:basedOn w:val="89"/>
    <w:link w:val="50"/>
    <w:qFormat/>
    <w:uiPriority w:val="0"/>
    <w:rPr>
      <w:rFonts w:ascii="仿宋_GB2312" w:eastAsia="仿宋_GB2312"/>
      <w:kern w:val="2"/>
      <w:sz w:val="32"/>
      <w:lang w:val="en-US" w:eastAsia="zh-CN" w:bidi="ar-SA"/>
    </w:rPr>
  </w:style>
  <w:style w:type="character" w:customStyle="1" w:styleId="136">
    <w:name w:val="正文首行缩进 Char"/>
    <w:basedOn w:val="130"/>
    <w:link w:val="85"/>
    <w:qFormat/>
    <w:uiPriority w:val="0"/>
    <w:rPr>
      <w:rFonts w:eastAsia="仿宋_GB2312"/>
      <w:kern w:val="2"/>
      <w:sz w:val="28"/>
      <w:szCs w:val="24"/>
      <w:lang w:val="en-US" w:eastAsia="zh-CN" w:bidi="ar-SA"/>
    </w:rPr>
  </w:style>
  <w:style w:type="character" w:customStyle="1" w:styleId="137">
    <w:name w:val="正文首行缩进 2 Char"/>
    <w:basedOn w:val="131"/>
    <w:link w:val="86"/>
    <w:qFormat/>
    <w:uiPriority w:val="0"/>
    <w:rPr>
      <w:sz w:val="21"/>
      <w:szCs w:val="24"/>
    </w:rPr>
  </w:style>
  <w:style w:type="character" w:customStyle="1" w:styleId="138">
    <w:name w:val="注释标题 Char"/>
    <w:basedOn w:val="89"/>
    <w:link w:val="17"/>
    <w:qFormat/>
    <w:uiPriority w:val="0"/>
    <w:rPr>
      <w:kern w:val="2"/>
      <w:sz w:val="21"/>
    </w:rPr>
  </w:style>
  <w:style w:type="character" w:customStyle="1" w:styleId="139">
    <w:name w:val="正文文本 2 Char"/>
    <w:basedOn w:val="89"/>
    <w:link w:val="75"/>
    <w:qFormat/>
    <w:uiPriority w:val="0"/>
    <w:rPr>
      <w:rFonts w:eastAsia="宋体"/>
      <w:kern w:val="2"/>
      <w:sz w:val="21"/>
      <w:szCs w:val="24"/>
      <w:lang w:val="en-US" w:eastAsia="zh-CN" w:bidi="ar-SA"/>
    </w:rPr>
  </w:style>
  <w:style w:type="character" w:customStyle="1" w:styleId="140">
    <w:name w:val="正文文本 3 Char"/>
    <w:basedOn w:val="89"/>
    <w:link w:val="33"/>
    <w:qFormat/>
    <w:uiPriority w:val="0"/>
    <w:rPr>
      <w:rFonts w:eastAsia="宋体"/>
      <w:kern w:val="2"/>
      <w:sz w:val="18"/>
      <w:szCs w:val="24"/>
      <w:lang w:val="en-US" w:eastAsia="zh-CN" w:bidi="ar-SA"/>
    </w:rPr>
  </w:style>
  <w:style w:type="character" w:customStyle="1" w:styleId="141">
    <w:name w:val="正文文本缩进 2 Char"/>
    <w:basedOn w:val="89"/>
    <w:link w:val="51"/>
    <w:qFormat/>
    <w:uiPriority w:val="99"/>
    <w:rPr>
      <w:rFonts w:ascii="仿宋_GB2312" w:hAnsi="Times New Roman" w:eastAsia="仿宋_GB2312"/>
      <w:sz w:val="30"/>
    </w:rPr>
  </w:style>
  <w:style w:type="character" w:customStyle="1" w:styleId="142">
    <w:name w:val="正文文本缩进 3 Char"/>
    <w:basedOn w:val="89"/>
    <w:link w:val="69"/>
    <w:qFormat/>
    <w:uiPriority w:val="0"/>
    <w:rPr>
      <w:sz w:val="16"/>
      <w:szCs w:val="16"/>
    </w:rPr>
  </w:style>
  <w:style w:type="character" w:customStyle="1" w:styleId="143">
    <w:name w:val="文本块 Char"/>
    <w:link w:val="40"/>
    <w:qFormat/>
    <w:uiPriority w:val="0"/>
    <w:rPr>
      <w:kern w:val="2"/>
      <w:sz w:val="21"/>
      <w:szCs w:val="22"/>
    </w:rPr>
  </w:style>
  <w:style w:type="character" w:customStyle="1" w:styleId="144">
    <w:name w:val="文档结构图 Char"/>
    <w:basedOn w:val="89"/>
    <w:link w:val="28"/>
    <w:qFormat/>
    <w:uiPriority w:val="0"/>
    <w:rPr>
      <w:rFonts w:ascii="宋体" w:eastAsia="宋体"/>
      <w:sz w:val="18"/>
      <w:szCs w:val="18"/>
    </w:rPr>
  </w:style>
  <w:style w:type="character" w:customStyle="1" w:styleId="145">
    <w:name w:val="纯文本 Char"/>
    <w:basedOn w:val="89"/>
    <w:link w:val="46"/>
    <w:qFormat/>
    <w:uiPriority w:val="99"/>
    <w:rPr>
      <w:rFonts w:ascii="宋体" w:hAnsi="Courier New" w:eastAsia="宋体"/>
      <w:kern w:val="2"/>
      <w:sz w:val="21"/>
      <w:lang w:val="en-US" w:eastAsia="zh-CN" w:bidi="ar-SA"/>
    </w:rPr>
  </w:style>
  <w:style w:type="character" w:customStyle="1" w:styleId="146">
    <w:name w:val="电子邮件签名 Char"/>
    <w:basedOn w:val="89"/>
    <w:link w:val="20"/>
    <w:qFormat/>
    <w:uiPriority w:val="0"/>
    <w:rPr>
      <w:kern w:val="2"/>
      <w:sz w:val="21"/>
      <w:szCs w:val="24"/>
    </w:rPr>
  </w:style>
  <w:style w:type="character" w:customStyle="1" w:styleId="147">
    <w:name w:val="普通(网站) Char"/>
    <w:link w:val="80"/>
    <w:qFormat/>
    <w:locked/>
    <w:uiPriority w:val="0"/>
    <w:rPr>
      <w:rFonts w:ascii="宋体" w:hAnsi="宋体" w:cs="宋体"/>
      <w:color w:val="000000"/>
      <w:sz w:val="24"/>
      <w:szCs w:val="22"/>
    </w:rPr>
  </w:style>
  <w:style w:type="character" w:customStyle="1" w:styleId="148">
    <w:name w:val="HTML 地址 Char"/>
    <w:basedOn w:val="89"/>
    <w:link w:val="42"/>
    <w:qFormat/>
    <w:uiPriority w:val="0"/>
    <w:rPr>
      <w:i/>
      <w:iCs/>
      <w:kern w:val="2"/>
      <w:sz w:val="21"/>
      <w:szCs w:val="24"/>
    </w:rPr>
  </w:style>
  <w:style w:type="character" w:customStyle="1" w:styleId="149">
    <w:name w:val="HTML 预设格式 Char"/>
    <w:basedOn w:val="89"/>
    <w:link w:val="79"/>
    <w:qFormat/>
    <w:uiPriority w:val="0"/>
    <w:rPr>
      <w:rFonts w:ascii="宋体" w:hAnsi="宋体" w:cs="宋体"/>
      <w:sz w:val="24"/>
      <w:szCs w:val="24"/>
    </w:rPr>
  </w:style>
  <w:style w:type="character" w:customStyle="1" w:styleId="150">
    <w:name w:val="批注主题 Char"/>
    <w:basedOn w:val="89"/>
    <w:link w:val="84"/>
    <w:qFormat/>
    <w:uiPriority w:val="0"/>
    <w:rPr>
      <w:rFonts w:eastAsia="宋体"/>
      <w:b/>
      <w:bCs/>
      <w:kern w:val="2"/>
      <w:sz w:val="21"/>
      <w:szCs w:val="24"/>
      <w:lang w:val="en-US" w:eastAsia="zh-CN" w:bidi="ar-SA"/>
    </w:rPr>
  </w:style>
  <w:style w:type="character" w:customStyle="1" w:styleId="151">
    <w:name w:val="批注框文本 Char"/>
    <w:basedOn w:val="89"/>
    <w:link w:val="54"/>
    <w:qFormat/>
    <w:uiPriority w:val="39"/>
    <w:rPr>
      <w:sz w:val="18"/>
      <w:szCs w:val="18"/>
    </w:rPr>
  </w:style>
  <w:style w:type="paragraph" w:customStyle="1" w:styleId="152">
    <w:name w:val="样式1"/>
    <w:basedOn w:val="23"/>
    <w:link w:val="153"/>
    <w:qFormat/>
    <w:uiPriority w:val="0"/>
    <w:pPr>
      <w:spacing w:after="50" w:line="400" w:lineRule="exact"/>
      <w:ind w:firstLine="510"/>
    </w:pPr>
    <w:rPr>
      <w:rFonts w:ascii="宋体"/>
      <w:sz w:val="24"/>
    </w:rPr>
  </w:style>
  <w:style w:type="character" w:customStyle="1" w:styleId="153">
    <w:name w:val="样式1 Char"/>
    <w:basedOn w:val="89"/>
    <w:link w:val="152"/>
    <w:qFormat/>
    <w:uiPriority w:val="0"/>
    <w:rPr>
      <w:rFonts w:ascii="宋体"/>
      <w:kern w:val="2"/>
      <w:sz w:val="24"/>
    </w:rPr>
  </w:style>
  <w:style w:type="character" w:customStyle="1" w:styleId="154">
    <w:name w:val="zhs"/>
    <w:basedOn w:val="89"/>
    <w:qFormat/>
    <w:uiPriority w:val="0"/>
  </w:style>
  <w:style w:type="paragraph" w:customStyle="1" w:styleId="155">
    <w:name w:val="默认段落字体 Para Char Char Char Char Char Char Char Char Char Char"/>
    <w:basedOn w:val="7"/>
    <w:qFormat/>
    <w:uiPriority w:val="0"/>
    <w:pPr>
      <w:tabs>
        <w:tab w:val="left" w:pos="360"/>
        <w:tab w:val="left" w:pos="900"/>
      </w:tabs>
      <w:spacing w:before="120" w:after="120"/>
      <w:jc w:val="left"/>
    </w:pPr>
    <w:rPr>
      <w:rFonts w:ascii="Times New Roman" w:hAnsi="Times New Roman" w:eastAsia="黑体"/>
      <w:b w:val="0"/>
      <w:bCs w:val="0"/>
      <w:snapToGrid w:val="0"/>
      <w:szCs w:val="24"/>
    </w:rPr>
  </w:style>
  <w:style w:type="character" w:customStyle="1" w:styleId="156">
    <w:name w:val="Default Char Char"/>
    <w:link w:val="107"/>
    <w:qFormat/>
    <w:uiPriority w:val="0"/>
    <w:rPr>
      <w:rFonts w:ascii="ST Song" w:eastAsia="ST Song" w:cs="ST Song"/>
      <w:color w:val="000000"/>
      <w:sz w:val="24"/>
      <w:szCs w:val="24"/>
    </w:rPr>
  </w:style>
  <w:style w:type="paragraph" w:customStyle="1" w:styleId="157">
    <w:name w:val="样式2"/>
    <w:basedOn w:val="1"/>
    <w:link w:val="158"/>
    <w:qFormat/>
    <w:uiPriority w:val="0"/>
    <w:pPr>
      <w:spacing w:before="120" w:after="120" w:line="500" w:lineRule="exact"/>
      <w:ind w:firstLine="567"/>
    </w:pPr>
    <w:rPr>
      <w:rFonts w:ascii="黑体" w:eastAsia="黑体"/>
      <w:b/>
      <w:sz w:val="30"/>
    </w:rPr>
  </w:style>
  <w:style w:type="character" w:customStyle="1" w:styleId="158">
    <w:name w:val="样式2 Char"/>
    <w:basedOn w:val="89"/>
    <w:link w:val="157"/>
    <w:qFormat/>
    <w:uiPriority w:val="0"/>
    <w:rPr>
      <w:rFonts w:ascii="黑体" w:eastAsia="黑体"/>
      <w:b/>
      <w:kern w:val="2"/>
      <w:sz w:val="30"/>
    </w:rPr>
  </w:style>
  <w:style w:type="paragraph" w:customStyle="1" w:styleId="15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160">
    <w:name w:val="样式4"/>
    <w:basedOn w:val="2"/>
    <w:link w:val="161"/>
    <w:qFormat/>
    <w:uiPriority w:val="0"/>
    <w:pPr>
      <w:adjustRightInd w:val="0"/>
      <w:snapToGrid w:val="0"/>
      <w:spacing w:after="0" w:line="500" w:lineRule="exact"/>
      <w:ind w:firstLine="480" w:firstLineChars="200"/>
    </w:pPr>
    <w:rPr>
      <w:bCs/>
      <w:kern w:val="0"/>
      <w:sz w:val="24"/>
    </w:rPr>
  </w:style>
  <w:style w:type="character" w:customStyle="1" w:styleId="161">
    <w:name w:val="样式4 Char"/>
    <w:basedOn w:val="89"/>
    <w:link w:val="160"/>
    <w:qFormat/>
    <w:uiPriority w:val="0"/>
    <w:rPr>
      <w:bCs/>
      <w:sz w:val="24"/>
      <w:szCs w:val="24"/>
    </w:rPr>
  </w:style>
  <w:style w:type="paragraph" w:customStyle="1" w:styleId="162">
    <w:name w:val="样式 表格标题 + 五号 左侧:  -0.45 字符"/>
    <w:basedOn w:val="1"/>
    <w:qFormat/>
    <w:uiPriority w:val="0"/>
    <w:pPr>
      <w:wordWrap w:val="0"/>
      <w:adjustRightInd w:val="0"/>
      <w:snapToGrid w:val="0"/>
      <w:ind w:left="105"/>
    </w:pPr>
    <w:rPr>
      <w:rFonts w:hAnsi="宋体"/>
      <w:b/>
      <w:bCs/>
      <w:szCs w:val="21"/>
    </w:rPr>
  </w:style>
  <w:style w:type="paragraph" w:customStyle="1" w:styleId="163">
    <w:name w:val="表文左对齐"/>
    <w:basedOn w:val="1"/>
    <w:semiHidden/>
    <w:qFormat/>
    <w:uiPriority w:val="0"/>
    <w:pPr>
      <w:spacing w:before="120"/>
      <w:jc w:val="left"/>
    </w:pPr>
    <w:rPr>
      <w:rFonts w:ascii="宋体" w:hAnsi="宋体"/>
    </w:rPr>
  </w:style>
  <w:style w:type="paragraph" w:customStyle="1" w:styleId="164">
    <w:name w:val="样式 表格正文 + 五号"/>
    <w:qFormat/>
    <w:uiPriority w:val="0"/>
    <w:rPr>
      <w:rFonts w:asciiTheme="minorHAnsi" w:hAnsiTheme="minorHAnsi" w:eastAsiaTheme="minorEastAsia" w:cstheme="minorBidi"/>
      <w:lang w:val="en-US" w:eastAsia="zh-CN" w:bidi="ar-SA"/>
    </w:rPr>
  </w:style>
  <w:style w:type="paragraph" w:customStyle="1" w:styleId="165">
    <w:name w:val="样式 标题 4 + 段前: 7.8 磅 段后: 0 磅 行距: 单倍行距"/>
    <w:basedOn w:val="8"/>
    <w:qFormat/>
    <w:uiPriority w:val="0"/>
    <w:pPr>
      <w:numPr>
        <w:ilvl w:val="0"/>
        <w:numId w:val="9"/>
      </w:numPr>
      <w:spacing w:before="156" w:line="240" w:lineRule="auto"/>
    </w:pPr>
    <w:rPr>
      <w:rFonts w:cs="宋体"/>
      <w:i/>
      <w:szCs w:val="20"/>
    </w:rPr>
  </w:style>
  <w:style w:type="paragraph" w:customStyle="1" w:styleId="166">
    <w:name w:val="君邦正文"/>
    <w:link w:val="167"/>
    <w:qFormat/>
    <w:uiPriority w:val="0"/>
    <w:pPr>
      <w:spacing w:after="60" w:line="360" w:lineRule="auto"/>
      <w:ind w:firstLine="480" w:firstLineChars="200"/>
      <w:jc w:val="both"/>
    </w:pPr>
    <w:rPr>
      <w:rFonts w:asciiTheme="minorHAnsi" w:hAnsiTheme="minorHAnsi" w:eastAsiaTheme="minorEastAsia" w:cstheme="minorBidi"/>
      <w:bCs/>
      <w:snapToGrid w:val="0"/>
      <w:sz w:val="24"/>
      <w:lang w:val="en-US" w:eastAsia="zh-CN" w:bidi="ar-SA"/>
    </w:rPr>
  </w:style>
  <w:style w:type="character" w:customStyle="1" w:styleId="167">
    <w:name w:val="君邦正文 Char"/>
    <w:basedOn w:val="89"/>
    <w:link w:val="166"/>
    <w:qFormat/>
    <w:uiPriority w:val="0"/>
    <w:rPr>
      <w:bCs/>
      <w:snapToGrid w:val="0"/>
      <w:sz w:val="24"/>
    </w:rPr>
  </w:style>
  <w:style w:type="paragraph" w:customStyle="1" w:styleId="168">
    <w:name w:val="xl29"/>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Cs w:val="21"/>
    </w:rPr>
  </w:style>
  <w:style w:type="paragraph" w:customStyle="1" w:styleId="169">
    <w:name w:val="正文段落"/>
    <w:basedOn w:val="1"/>
    <w:qFormat/>
    <w:uiPriority w:val="0"/>
    <w:pPr>
      <w:ind w:firstLine="200" w:firstLineChars="200"/>
    </w:pPr>
    <w:rPr>
      <w:sz w:val="28"/>
    </w:rPr>
  </w:style>
  <w:style w:type="paragraph" w:customStyle="1" w:styleId="170">
    <w:name w:val="表格小五"/>
    <w:basedOn w:val="1"/>
    <w:qFormat/>
    <w:uiPriority w:val="0"/>
    <w:pPr>
      <w:jc w:val="center"/>
    </w:pPr>
    <w:rPr>
      <w:rFonts w:ascii="Times New Roman" w:hAnsi="Times New Roman" w:cstheme="minorBidi"/>
      <w:bCs/>
      <w:sz w:val="18"/>
      <w:szCs w:val="18"/>
      <w:lang w:bidi="en-US"/>
    </w:rPr>
  </w:style>
  <w:style w:type="paragraph" w:customStyle="1" w:styleId="171">
    <w:name w:val="表内文字"/>
    <w:basedOn w:val="1"/>
    <w:qFormat/>
    <w:uiPriority w:val="0"/>
    <w:pPr>
      <w:widowControl/>
      <w:snapToGrid w:val="0"/>
      <w:spacing w:line="400" w:lineRule="exact"/>
      <w:jc w:val="center"/>
    </w:pPr>
    <w:rPr>
      <w:rFonts w:eastAsia="仿宋_GB2312"/>
      <w:kern w:val="0"/>
    </w:rPr>
  </w:style>
  <w:style w:type="paragraph" w:customStyle="1" w:styleId="172">
    <w:name w:val="样式 表格标题 + 首行缩进:  0.61 字符"/>
    <w:basedOn w:val="1"/>
    <w:qFormat/>
    <w:uiPriority w:val="0"/>
    <w:pPr>
      <w:wordWrap w:val="0"/>
      <w:adjustRightInd w:val="0"/>
      <w:snapToGrid w:val="0"/>
      <w:spacing w:line="400" w:lineRule="exact"/>
      <w:ind w:left="-143" w:leftChars="-68" w:firstLine="128" w:firstLineChars="61"/>
      <w:jc w:val="center"/>
    </w:pPr>
    <w:rPr>
      <w:rFonts w:cs="宋体"/>
    </w:rPr>
  </w:style>
  <w:style w:type="paragraph" w:customStyle="1" w:styleId="173">
    <w:name w:val="简单回函地址"/>
    <w:basedOn w:val="1"/>
    <w:qFormat/>
    <w:uiPriority w:val="0"/>
  </w:style>
  <w:style w:type="paragraph" w:customStyle="1" w:styleId="174">
    <w:name w:val="表格"/>
    <w:basedOn w:val="1"/>
    <w:next w:val="1"/>
    <w:link w:val="175"/>
    <w:qFormat/>
    <w:uiPriority w:val="0"/>
    <w:pPr>
      <w:adjustRightInd w:val="0"/>
      <w:snapToGrid w:val="0"/>
      <w:spacing w:line="240" w:lineRule="atLeast"/>
      <w:jc w:val="center"/>
      <w:textAlignment w:val="baseline"/>
    </w:pPr>
    <w:rPr>
      <w:rFonts w:eastAsia="仿宋_GB2312"/>
      <w:snapToGrid w:val="0"/>
      <w:kern w:val="0"/>
      <w:sz w:val="24"/>
    </w:rPr>
  </w:style>
  <w:style w:type="character" w:customStyle="1" w:styleId="175">
    <w:name w:val="表格 Char"/>
    <w:basedOn w:val="89"/>
    <w:link w:val="174"/>
    <w:qFormat/>
    <w:uiPriority w:val="0"/>
    <w:rPr>
      <w:rFonts w:eastAsia="仿宋_GB2312"/>
      <w:snapToGrid w:val="0"/>
      <w:sz w:val="24"/>
    </w:rPr>
  </w:style>
  <w:style w:type="character" w:customStyle="1" w:styleId="176">
    <w:name w:val="纯文本 Char Char"/>
    <w:basedOn w:val="89"/>
    <w:qFormat/>
    <w:uiPriority w:val="0"/>
    <w:rPr>
      <w:rFonts w:ascii="宋体" w:hAnsi="Courier New" w:eastAsia="宋体"/>
      <w:kern w:val="2"/>
      <w:sz w:val="21"/>
      <w:lang w:val="en-US" w:eastAsia="zh-CN" w:bidi="ar-SA"/>
    </w:rPr>
  </w:style>
  <w:style w:type="paragraph" w:customStyle="1" w:styleId="177">
    <w:name w:val="样式23"/>
    <w:basedOn w:val="1"/>
    <w:qFormat/>
    <w:uiPriority w:val="0"/>
    <w:pPr>
      <w:adjustRightInd w:val="0"/>
      <w:spacing w:before="120" w:after="120" w:line="240" w:lineRule="atLeast"/>
      <w:jc w:val="center"/>
    </w:pPr>
    <w:rPr>
      <w:rFonts w:eastAsia="楷体_GB2312"/>
      <w:kern w:val="28"/>
    </w:rPr>
  </w:style>
  <w:style w:type="paragraph" w:customStyle="1" w:styleId="178">
    <w:name w:val="Char Char Char3"/>
    <w:basedOn w:val="1"/>
    <w:qFormat/>
    <w:uiPriority w:val="0"/>
    <w:pPr>
      <w:snapToGrid w:val="0"/>
      <w:spacing w:line="360" w:lineRule="auto"/>
      <w:ind w:firstLine="200" w:firstLineChars="200"/>
    </w:pPr>
    <w:rPr>
      <w:rFonts w:ascii="仿宋_GB2312" w:eastAsia="仿宋_GB2312"/>
      <w:sz w:val="24"/>
    </w:rPr>
  </w:style>
  <w:style w:type="paragraph" w:customStyle="1" w:styleId="179">
    <w:name w:val="样式19"/>
    <w:basedOn w:val="7"/>
    <w:link w:val="180"/>
    <w:qFormat/>
    <w:uiPriority w:val="0"/>
    <w:pPr>
      <w:tabs>
        <w:tab w:val="left" w:pos="980"/>
      </w:tabs>
      <w:spacing w:line="500" w:lineRule="exact"/>
      <w:ind w:left="980" w:hanging="420"/>
    </w:pPr>
    <w:rPr>
      <w:rFonts w:ascii="Times New Roman" w:hAnsi="Times New Roman" w:eastAsia="黑体"/>
      <w:sz w:val="28"/>
      <w:szCs w:val="28"/>
    </w:rPr>
  </w:style>
  <w:style w:type="character" w:customStyle="1" w:styleId="180">
    <w:name w:val="样式19 Char"/>
    <w:basedOn w:val="89"/>
    <w:link w:val="179"/>
    <w:qFormat/>
    <w:uiPriority w:val="0"/>
    <w:rPr>
      <w:rFonts w:ascii="Times New Roman" w:hAnsi="Times New Roman" w:eastAsia="黑体"/>
      <w:b/>
      <w:bCs/>
      <w:sz w:val="28"/>
      <w:szCs w:val="28"/>
    </w:rPr>
  </w:style>
  <w:style w:type="paragraph" w:customStyle="1" w:styleId="181">
    <w:name w:val="表格文字"/>
    <w:basedOn w:val="1"/>
    <w:next w:val="1"/>
    <w:link w:val="182"/>
    <w:qFormat/>
    <w:uiPriority w:val="99"/>
    <w:pPr>
      <w:spacing w:line="240" w:lineRule="exact"/>
      <w:jc w:val="center"/>
    </w:pPr>
    <w:rPr>
      <w:rFonts w:ascii="方正楷体简体" w:hAnsi="Cambria" w:eastAsia="方正楷体简体" w:cstheme="minorBidi"/>
      <w:bCs/>
      <w:kern w:val="0"/>
      <w:sz w:val="20"/>
      <w:szCs w:val="21"/>
    </w:rPr>
  </w:style>
  <w:style w:type="character" w:customStyle="1" w:styleId="182">
    <w:name w:val="表格文字 Char"/>
    <w:basedOn w:val="89"/>
    <w:link w:val="181"/>
    <w:qFormat/>
    <w:uiPriority w:val="99"/>
    <w:rPr>
      <w:rFonts w:ascii="方正楷体简体" w:hAnsi="Cambria" w:eastAsia="方正楷体简体"/>
      <w:bCs/>
      <w:szCs w:val="21"/>
    </w:rPr>
  </w:style>
  <w:style w:type="paragraph" w:customStyle="1" w:styleId="183">
    <w:name w:val="Char4"/>
    <w:basedOn w:val="1"/>
    <w:qFormat/>
    <w:uiPriority w:val="0"/>
    <w:pPr>
      <w:spacing w:line="360" w:lineRule="auto"/>
      <w:ind w:firstLine="200" w:firstLineChars="200"/>
    </w:pPr>
    <w:rPr>
      <w:rFonts w:ascii="宋体" w:hAnsi="宋体" w:cs="宋体"/>
      <w:sz w:val="24"/>
    </w:rPr>
  </w:style>
  <w:style w:type="paragraph" w:customStyle="1" w:styleId="184">
    <w:name w:val="8--"/>
    <w:basedOn w:val="1"/>
    <w:qFormat/>
    <w:uiPriority w:val="0"/>
    <w:pPr>
      <w:adjustRightInd w:val="0"/>
      <w:spacing w:line="360" w:lineRule="atLeast"/>
      <w:jc w:val="left"/>
      <w:textAlignment w:val="baseline"/>
    </w:pPr>
    <w:rPr>
      <w:kern w:val="0"/>
      <w:sz w:val="24"/>
    </w:rPr>
  </w:style>
  <w:style w:type="paragraph" w:customStyle="1" w:styleId="185">
    <w:name w:val="表格文字2"/>
    <w:basedOn w:val="181"/>
    <w:qFormat/>
    <w:uiPriority w:val="0"/>
    <w:pPr>
      <w:adjustRightInd w:val="0"/>
      <w:spacing w:before="60"/>
      <w:textAlignment w:val="baseline"/>
    </w:pPr>
    <w:rPr>
      <w:rFonts w:ascii="宋体"/>
      <w:sz w:val="24"/>
      <w:szCs w:val="20"/>
    </w:rPr>
  </w:style>
  <w:style w:type="paragraph" w:customStyle="1" w:styleId="186">
    <w:name w:val="表头"/>
    <w:basedOn w:val="1"/>
    <w:link w:val="187"/>
    <w:qFormat/>
    <w:uiPriority w:val="0"/>
    <w:pPr>
      <w:ind w:firstLine="960" w:firstLineChars="400"/>
    </w:pPr>
    <w:rPr>
      <w:rFonts w:ascii="宋体" w:hAnsi="宋体"/>
      <w:kern w:val="0"/>
      <w:sz w:val="24"/>
      <w:szCs w:val="28"/>
    </w:rPr>
  </w:style>
  <w:style w:type="character" w:customStyle="1" w:styleId="187">
    <w:name w:val="表头 Char"/>
    <w:basedOn w:val="158"/>
    <w:link w:val="186"/>
    <w:qFormat/>
    <w:uiPriority w:val="0"/>
    <w:rPr>
      <w:rFonts w:ascii="宋体" w:hAnsi="宋体" w:eastAsia="黑体"/>
      <w:kern w:val="2"/>
      <w:sz w:val="24"/>
      <w:szCs w:val="28"/>
    </w:rPr>
  </w:style>
  <w:style w:type="paragraph" w:customStyle="1" w:styleId="188">
    <w:name w:val="11"/>
    <w:basedOn w:val="2"/>
    <w:link w:val="189"/>
    <w:qFormat/>
    <w:uiPriority w:val="0"/>
    <w:pPr>
      <w:autoSpaceDE w:val="0"/>
      <w:autoSpaceDN w:val="0"/>
      <w:adjustRightInd w:val="0"/>
      <w:spacing w:after="0" w:line="360" w:lineRule="auto"/>
      <w:ind w:firstLine="560" w:firstLineChars="200"/>
      <w:jc w:val="left"/>
      <w:textAlignment w:val="baseline"/>
    </w:pPr>
    <w:rPr>
      <w:rFonts w:ascii="宋体"/>
      <w:kern w:val="0"/>
      <w:sz w:val="28"/>
      <w:szCs w:val="28"/>
    </w:rPr>
  </w:style>
  <w:style w:type="character" w:customStyle="1" w:styleId="189">
    <w:name w:val="11 Char"/>
    <w:basedOn w:val="89"/>
    <w:link w:val="188"/>
    <w:qFormat/>
    <w:uiPriority w:val="99"/>
    <w:rPr>
      <w:rFonts w:ascii="宋体"/>
      <w:sz w:val="28"/>
      <w:szCs w:val="28"/>
    </w:rPr>
  </w:style>
  <w:style w:type="paragraph" w:customStyle="1" w:styleId="190">
    <w:name w:val="表头文字"/>
    <w:basedOn w:val="1"/>
    <w:qFormat/>
    <w:uiPriority w:val="0"/>
    <w:pPr>
      <w:spacing w:beforeLines="50"/>
      <w:jc w:val="center"/>
    </w:pPr>
    <w:rPr>
      <w:rFonts w:eastAsia="黑体"/>
      <w:sz w:val="28"/>
    </w:rPr>
  </w:style>
  <w:style w:type="paragraph" w:customStyle="1" w:styleId="191">
    <w:name w:val="Char Char Char Char"/>
    <w:basedOn w:val="28"/>
    <w:qFormat/>
    <w:uiPriority w:val="0"/>
    <w:pPr>
      <w:spacing w:line="436" w:lineRule="exact"/>
    </w:pPr>
    <w:rPr>
      <w:rFonts w:ascii="Tahoma" w:hAnsi="Tahoma"/>
      <w:b/>
      <w:sz w:val="24"/>
    </w:rPr>
  </w:style>
  <w:style w:type="paragraph" w:customStyle="1" w:styleId="192">
    <w:name w:val="表格内容"/>
    <w:basedOn w:val="1"/>
    <w:next w:val="1"/>
    <w:link w:val="193"/>
    <w:qFormat/>
    <w:uiPriority w:val="0"/>
    <w:pPr>
      <w:widowControl/>
      <w:spacing w:line="360" w:lineRule="auto"/>
      <w:jc w:val="center"/>
    </w:pPr>
    <w:rPr>
      <w:rFonts w:ascii="Times New Roman" w:hAnsi="Times New Roman" w:cstheme="minorBidi"/>
      <w:kern w:val="0"/>
      <w:sz w:val="20"/>
      <w:szCs w:val="21"/>
    </w:rPr>
  </w:style>
  <w:style w:type="character" w:customStyle="1" w:styleId="193">
    <w:name w:val="表格内容 Char"/>
    <w:link w:val="192"/>
    <w:qFormat/>
    <w:uiPriority w:val="0"/>
    <w:rPr>
      <w:rFonts w:ascii="Times New Roman" w:hAnsi="Times New Roman" w:eastAsia="宋体"/>
      <w:szCs w:val="21"/>
    </w:rPr>
  </w:style>
  <w:style w:type="paragraph" w:customStyle="1" w:styleId="194">
    <w:name w:val="正文小四"/>
    <w:basedOn w:val="1"/>
    <w:link w:val="195"/>
    <w:qFormat/>
    <w:uiPriority w:val="0"/>
    <w:pPr>
      <w:spacing w:line="500" w:lineRule="exact"/>
      <w:ind w:firstLine="422"/>
    </w:pPr>
    <w:rPr>
      <w:color w:val="000000"/>
      <w:sz w:val="24"/>
    </w:rPr>
  </w:style>
  <w:style w:type="character" w:customStyle="1" w:styleId="195">
    <w:name w:val="正文小四 Char"/>
    <w:basedOn w:val="89"/>
    <w:link w:val="194"/>
    <w:qFormat/>
    <w:uiPriority w:val="0"/>
    <w:rPr>
      <w:color w:val="000000"/>
      <w:kern w:val="2"/>
      <w:sz w:val="24"/>
      <w:szCs w:val="24"/>
    </w:rPr>
  </w:style>
  <w:style w:type="paragraph" w:customStyle="1" w:styleId="196">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样式6"/>
    <w:basedOn w:val="23"/>
    <w:qFormat/>
    <w:uiPriority w:val="0"/>
    <w:pPr>
      <w:adjustRightInd w:val="0"/>
      <w:snapToGrid w:val="0"/>
      <w:spacing w:after="0"/>
      <w:ind w:firstLine="480" w:firstLineChars="200"/>
    </w:pPr>
    <w:rPr>
      <w:rFonts w:eastAsia="仿宋_GB2312"/>
      <w:sz w:val="24"/>
      <w:szCs w:val="24"/>
    </w:rPr>
  </w:style>
  <w:style w:type="paragraph" w:customStyle="1" w:styleId="198">
    <w:name w:val="样式 表格标题 + 左侧:  -0.45 字符"/>
    <w:basedOn w:val="1"/>
    <w:qFormat/>
    <w:uiPriority w:val="0"/>
    <w:pPr>
      <w:adjustRightInd w:val="0"/>
      <w:snapToGrid w:val="0"/>
      <w:spacing w:before="120" w:after="60" w:line="400" w:lineRule="exact"/>
      <w:ind w:left="-45" w:leftChars="-45"/>
      <w:jc w:val="center"/>
    </w:pPr>
    <w:rPr>
      <w:rFonts w:ascii="Times" w:eastAsia="仿宋_GB2312" w:cs="宋体"/>
      <w:b/>
      <w:bCs/>
      <w:sz w:val="24"/>
    </w:rPr>
  </w:style>
  <w:style w:type="paragraph" w:customStyle="1" w:styleId="199">
    <w:name w:val="表格标题"/>
    <w:basedOn w:val="1"/>
    <w:link w:val="200"/>
    <w:qFormat/>
    <w:uiPriority w:val="0"/>
    <w:pPr>
      <w:snapToGrid w:val="0"/>
      <w:spacing w:before="120" w:after="60" w:line="400" w:lineRule="exact"/>
      <w:ind w:left="-45" w:leftChars="-45"/>
      <w:jc w:val="center"/>
    </w:pPr>
    <w:rPr>
      <w:rFonts w:ascii="Times" w:eastAsia="仿宋_GB2312"/>
      <w:b/>
      <w:sz w:val="24"/>
    </w:rPr>
  </w:style>
  <w:style w:type="character" w:customStyle="1" w:styleId="200">
    <w:name w:val="表格标题 Char"/>
    <w:link w:val="199"/>
    <w:qFormat/>
    <w:uiPriority w:val="0"/>
    <w:rPr>
      <w:rFonts w:ascii="Times" w:eastAsia="仿宋_GB2312"/>
      <w:b/>
      <w:kern w:val="2"/>
      <w:sz w:val="24"/>
      <w:szCs w:val="24"/>
    </w:rPr>
  </w:style>
  <w:style w:type="paragraph" w:customStyle="1" w:styleId="201">
    <w:name w:val="表格式"/>
    <w:basedOn w:val="22"/>
    <w:qFormat/>
    <w:uiPriority w:val="0"/>
    <w:pPr>
      <w:adjustRightInd w:val="0"/>
      <w:snapToGrid w:val="0"/>
      <w:spacing w:line="360" w:lineRule="auto"/>
      <w:ind w:left="0" w:hanging="105"/>
      <w:jc w:val="center"/>
    </w:pPr>
  </w:style>
  <w:style w:type="paragraph" w:customStyle="1" w:styleId="202">
    <w:name w:val="样式16"/>
    <w:basedOn w:val="23"/>
    <w:qFormat/>
    <w:uiPriority w:val="0"/>
    <w:pPr>
      <w:adjustRightInd w:val="0"/>
      <w:snapToGrid w:val="0"/>
      <w:spacing w:beforeLines="50" w:after="0"/>
      <w:ind w:firstLine="200" w:firstLineChars="200"/>
    </w:pPr>
    <w:rPr>
      <w:rFonts w:eastAsia="仿宋_GB2312"/>
      <w:sz w:val="24"/>
      <w:szCs w:val="24"/>
    </w:rPr>
  </w:style>
  <w:style w:type="paragraph" w:customStyle="1" w:styleId="203">
    <w:name w:val="表题"/>
    <w:basedOn w:val="1"/>
    <w:next w:val="1"/>
    <w:link w:val="204"/>
    <w:qFormat/>
    <w:uiPriority w:val="0"/>
    <w:pPr>
      <w:keepNext/>
      <w:keepLines/>
      <w:widowControl/>
      <w:adjustRightInd w:val="0"/>
      <w:spacing w:before="120" w:after="60"/>
      <w:jc w:val="center"/>
      <w:outlineLvl w:val="5"/>
    </w:pPr>
    <w:rPr>
      <w:rFonts w:ascii="黑体" w:eastAsia="黑体"/>
      <w:b/>
      <w:sz w:val="24"/>
    </w:rPr>
  </w:style>
  <w:style w:type="character" w:customStyle="1" w:styleId="204">
    <w:name w:val="表题 Char"/>
    <w:basedOn w:val="89"/>
    <w:link w:val="203"/>
    <w:qFormat/>
    <w:uiPriority w:val="0"/>
    <w:rPr>
      <w:rFonts w:ascii="黑体" w:eastAsia="黑体"/>
      <w:b/>
      <w:kern w:val="2"/>
      <w:sz w:val="24"/>
    </w:rPr>
  </w:style>
  <w:style w:type="paragraph" w:customStyle="1" w:styleId="205">
    <w:name w:val="表格正文"/>
    <w:basedOn w:val="1"/>
    <w:next w:val="1"/>
    <w:qFormat/>
    <w:uiPriority w:val="0"/>
    <w:pPr>
      <w:adjustRightInd w:val="0"/>
      <w:snapToGrid w:val="0"/>
      <w:jc w:val="center"/>
      <w:textAlignment w:val="baseline"/>
    </w:pPr>
    <w:rPr>
      <w:rFonts w:ascii="宋体" w:hAnsi="宋体" w:cstheme="minorBidi"/>
      <w:snapToGrid w:val="0"/>
      <w:spacing w:val="4"/>
      <w:w w:val="90"/>
      <w:kern w:val="0"/>
      <w:szCs w:val="24"/>
    </w:rPr>
  </w:style>
  <w:style w:type="paragraph" w:customStyle="1" w:styleId="206">
    <w:name w:val="法规列表"/>
    <w:basedOn w:val="1"/>
    <w:qFormat/>
    <w:uiPriority w:val="0"/>
    <w:pPr>
      <w:tabs>
        <w:tab w:val="left" w:pos="432"/>
      </w:tabs>
      <w:spacing w:beforeLines="50"/>
      <w:ind w:left="432" w:hanging="432"/>
    </w:pPr>
    <w:rPr>
      <w:sz w:val="24"/>
    </w:rPr>
  </w:style>
  <w:style w:type="paragraph" w:customStyle="1" w:styleId="207">
    <w:name w:val="样式 样式 表格标题 + 五号 左侧:  -0.45 字符 + 首行缩进:  0.61 字符"/>
    <w:basedOn w:val="162"/>
    <w:qFormat/>
    <w:uiPriority w:val="0"/>
    <w:pPr>
      <w:spacing w:line="400" w:lineRule="exact"/>
    </w:pPr>
    <w:rPr>
      <w:rFonts w:hAnsi="Times New Roman" w:cs="宋体"/>
      <w:b w:val="0"/>
      <w:szCs w:val="20"/>
    </w:rPr>
  </w:style>
  <w:style w:type="paragraph" w:customStyle="1" w:styleId="208">
    <w:name w:val="样式 小四 段前: 0.5 磅 行距: 固定值 20 磅1"/>
    <w:basedOn w:val="1"/>
    <w:qFormat/>
    <w:uiPriority w:val="0"/>
    <w:pPr>
      <w:spacing w:before="10" w:afterLines="50" w:line="400" w:lineRule="exact"/>
      <w:ind w:firstLine="200" w:firstLineChars="200"/>
    </w:pPr>
    <w:rPr>
      <w:rFonts w:cs="宋体"/>
      <w:sz w:val="24"/>
    </w:rPr>
  </w:style>
  <w:style w:type="paragraph" w:customStyle="1" w:styleId="209">
    <w:name w:val="封面标题"/>
    <w:basedOn w:val="1"/>
    <w:qFormat/>
    <w:uiPriority w:val="0"/>
    <w:pPr>
      <w:snapToGrid w:val="0"/>
      <w:spacing w:line="360" w:lineRule="auto"/>
      <w:jc w:val="center"/>
    </w:pPr>
    <w:rPr>
      <w:rFonts w:ascii="华文新魏" w:eastAsia="华文新魏"/>
      <w:b/>
      <w:sz w:val="48"/>
      <w:szCs w:val="48"/>
    </w:rPr>
  </w:style>
  <w:style w:type="paragraph" w:customStyle="1" w:styleId="210">
    <w:name w:val="样式 样式 封面标题 + 二号 + 段前: 0.5 行 段后: 0.5 行"/>
    <w:basedOn w:val="1"/>
    <w:qFormat/>
    <w:uiPriority w:val="0"/>
    <w:pPr>
      <w:snapToGrid w:val="0"/>
      <w:spacing w:before="156" w:after="156" w:line="400" w:lineRule="exact"/>
    </w:pPr>
    <w:rPr>
      <w:rFonts w:eastAsia="仿宋_GB2312" w:cs="宋体"/>
      <w:sz w:val="24"/>
    </w:rPr>
  </w:style>
  <w:style w:type="paragraph" w:customStyle="1" w:styleId="211">
    <w:name w:val="样式封面下"/>
    <w:basedOn w:val="1"/>
    <w:qFormat/>
    <w:uiPriority w:val="0"/>
    <w:pPr>
      <w:snapToGrid w:val="0"/>
      <w:spacing w:line="400" w:lineRule="exact"/>
      <w:jc w:val="center"/>
    </w:pPr>
    <w:rPr>
      <w:rFonts w:ascii="仿宋_GB2312" w:eastAsia="仿宋_GB2312" w:cs="Arial"/>
      <w:b/>
      <w:bCs/>
      <w:sz w:val="30"/>
      <w:szCs w:val="32"/>
    </w:rPr>
  </w:style>
  <w:style w:type="paragraph" w:customStyle="1" w:styleId="212">
    <w:name w:val="样式13"/>
    <w:basedOn w:val="1"/>
    <w:link w:val="213"/>
    <w:qFormat/>
    <w:uiPriority w:val="0"/>
    <w:pPr>
      <w:framePr w:hSpace="180" w:wrap="around" w:vAnchor="margin" w:hAnchor="margin" w:y="468"/>
      <w:snapToGrid w:val="0"/>
      <w:spacing w:line="400" w:lineRule="exact"/>
    </w:pPr>
    <w:rPr>
      <w:rFonts w:eastAsia="仿宋_GB2312"/>
      <w:sz w:val="24"/>
    </w:rPr>
  </w:style>
  <w:style w:type="character" w:customStyle="1" w:styleId="213">
    <w:name w:val="样式13 Char"/>
    <w:basedOn w:val="89"/>
    <w:link w:val="212"/>
    <w:qFormat/>
    <w:uiPriority w:val="0"/>
    <w:rPr>
      <w:rFonts w:eastAsia="仿宋_GB2312"/>
      <w:kern w:val="2"/>
      <w:sz w:val="24"/>
      <w:szCs w:val="24"/>
    </w:rPr>
  </w:style>
  <w:style w:type="paragraph" w:customStyle="1" w:styleId="214">
    <w:name w:val="样式14"/>
    <w:basedOn w:val="1"/>
    <w:qFormat/>
    <w:uiPriority w:val="0"/>
    <w:pPr>
      <w:snapToGrid w:val="0"/>
      <w:spacing w:line="400" w:lineRule="exact"/>
    </w:pPr>
    <w:rPr>
      <w:rFonts w:eastAsia="仿宋_GB2312"/>
      <w:sz w:val="24"/>
    </w:rPr>
  </w:style>
  <w:style w:type="paragraph" w:customStyle="1" w:styleId="215">
    <w:name w:val="样式目录"/>
    <w:basedOn w:val="1"/>
    <w:qFormat/>
    <w:uiPriority w:val="0"/>
    <w:pPr>
      <w:snapToGrid w:val="0"/>
      <w:spacing w:line="360" w:lineRule="auto"/>
      <w:jc w:val="center"/>
    </w:pPr>
    <w:rPr>
      <w:rFonts w:eastAsia="仿宋_GB2312"/>
      <w:b/>
      <w:bCs/>
      <w:sz w:val="36"/>
      <w:szCs w:val="36"/>
    </w:rPr>
  </w:style>
  <w:style w:type="paragraph" w:customStyle="1" w:styleId="216">
    <w:name w:val="样式 小四 段前: 0.5 磅 行距: 固定值 20 磅"/>
    <w:basedOn w:val="1"/>
    <w:qFormat/>
    <w:uiPriority w:val="0"/>
    <w:pPr>
      <w:spacing w:before="10" w:line="400" w:lineRule="exact"/>
      <w:ind w:firstLine="480" w:firstLineChars="200"/>
    </w:pPr>
    <w:rPr>
      <w:rFonts w:eastAsia="仿宋_GB2312" w:cs="宋体"/>
      <w:sz w:val="24"/>
    </w:rPr>
  </w:style>
  <w:style w:type="paragraph" w:customStyle="1" w:styleId="217">
    <w:name w:val="标题1盐田"/>
    <w:qFormat/>
    <w:uiPriority w:val="0"/>
    <w:pPr>
      <w:tabs>
        <w:tab w:val="left" w:pos="980"/>
      </w:tabs>
      <w:spacing w:beforeLines="50" w:afterLines="50" w:line="400" w:lineRule="exact"/>
      <w:ind w:left="980" w:hanging="420"/>
      <w:outlineLvl w:val="0"/>
    </w:pPr>
    <w:rPr>
      <w:rFonts w:eastAsia="黑体" w:cs="宋体" w:asciiTheme="minorHAnsi" w:hAnsiTheme="minorHAnsi"/>
      <w:b/>
      <w:bCs/>
      <w:kern w:val="44"/>
      <w:sz w:val="44"/>
      <w:lang w:val="en-US" w:eastAsia="zh-CN" w:bidi="ar-SA"/>
    </w:rPr>
  </w:style>
  <w:style w:type="paragraph" w:customStyle="1" w:styleId="218">
    <w:name w:val="标题4盐田"/>
    <w:basedOn w:val="1"/>
    <w:qFormat/>
    <w:uiPriority w:val="0"/>
    <w:pPr>
      <w:tabs>
        <w:tab w:val="left" w:pos="900"/>
      </w:tabs>
      <w:ind w:left="900" w:hanging="420"/>
    </w:pPr>
  </w:style>
  <w:style w:type="paragraph" w:customStyle="1" w:styleId="219">
    <w:name w:val="样式 样式 样式32 + 段前: 0.5 行 + 段前: 0.5 行"/>
    <w:basedOn w:val="1"/>
    <w:qFormat/>
    <w:uiPriority w:val="0"/>
    <w:pPr>
      <w:keepNext/>
      <w:keepLines/>
      <w:tabs>
        <w:tab w:val="left" w:pos="420"/>
      </w:tabs>
      <w:spacing w:beforeLines="50" w:line="400" w:lineRule="exact"/>
      <w:ind w:firstLine="420"/>
      <w:jc w:val="left"/>
      <w:outlineLvl w:val="1"/>
    </w:pPr>
    <w:rPr>
      <w:rFonts w:ascii="Helvetica" w:hAnsi="Helvetica" w:eastAsia="黑体" w:cs="宋体"/>
      <w:b/>
      <w:bCs/>
      <w:sz w:val="32"/>
    </w:rPr>
  </w:style>
  <w:style w:type="paragraph" w:customStyle="1" w:styleId="220">
    <w:name w:val="表文"/>
    <w:basedOn w:val="1"/>
    <w:qFormat/>
    <w:uiPriority w:val="0"/>
    <w:pPr>
      <w:jc w:val="center"/>
    </w:pPr>
    <w:rPr>
      <w:sz w:val="18"/>
      <w:szCs w:val="18"/>
    </w:rPr>
  </w:style>
  <w:style w:type="paragraph" w:customStyle="1" w:styleId="221">
    <w:name w:val="样式 标题 3小标题小节标题H3H31H32H33u3标题 3 Char Char Char标题 3 Char...2"/>
    <w:basedOn w:val="7"/>
    <w:qFormat/>
    <w:uiPriority w:val="0"/>
    <w:pPr>
      <w:spacing w:beforeLines="50" w:line="400" w:lineRule="exact"/>
    </w:pPr>
    <w:rPr>
      <w:rFonts w:ascii="Times New Roman" w:hAnsi="Times New Roman" w:eastAsia="黑体" w:cs="宋体"/>
      <w:snapToGrid w:val="0"/>
      <w:sz w:val="28"/>
      <w:szCs w:val="20"/>
    </w:rPr>
  </w:style>
  <w:style w:type="paragraph" w:customStyle="1" w:styleId="222">
    <w:name w:val="1.1盐田"/>
    <w:qFormat/>
    <w:uiPriority w:val="0"/>
    <w:pPr>
      <w:tabs>
        <w:tab w:val="left" w:pos="1820"/>
      </w:tabs>
      <w:spacing w:line="400" w:lineRule="exact"/>
      <w:ind w:left="1820" w:hanging="420"/>
      <w:outlineLvl w:val="1"/>
    </w:pPr>
    <w:rPr>
      <w:rFonts w:eastAsia="黑体" w:cs="宋体" w:asciiTheme="minorHAnsi" w:hAnsiTheme="minorHAnsi"/>
      <w:b/>
      <w:bCs/>
      <w:kern w:val="2"/>
      <w:sz w:val="32"/>
      <w:lang w:val="en-US" w:eastAsia="zh-CN" w:bidi="ar-SA"/>
    </w:rPr>
  </w:style>
  <w:style w:type="paragraph" w:customStyle="1" w:styleId="223">
    <w:name w:val="正文3"/>
    <w:basedOn w:val="1"/>
    <w:qFormat/>
    <w:uiPriority w:val="0"/>
    <w:pPr>
      <w:keepNext/>
      <w:numPr>
        <w:ilvl w:val="3"/>
        <w:numId w:val="10"/>
      </w:numPr>
      <w:adjustRightInd w:val="0"/>
      <w:snapToGrid w:val="0"/>
      <w:spacing w:line="400" w:lineRule="exact"/>
      <w:jc w:val="center"/>
      <w:textAlignment w:val="baseline"/>
    </w:pPr>
    <w:rPr>
      <w:rFonts w:eastAsia="仿宋_GB2312"/>
      <w:kern w:val="0"/>
      <w:sz w:val="28"/>
    </w:rPr>
  </w:style>
  <w:style w:type="paragraph" w:customStyle="1" w:styleId="224">
    <w:name w:val="正文样式1"/>
    <w:basedOn w:val="1"/>
    <w:qFormat/>
    <w:uiPriority w:val="0"/>
    <w:pPr>
      <w:adjustRightInd w:val="0"/>
      <w:snapToGrid w:val="0"/>
      <w:spacing w:line="400" w:lineRule="exact"/>
      <w:ind w:firstLine="3840" w:firstLineChars="1600"/>
      <w:textAlignment w:val="baseline"/>
    </w:pPr>
    <w:rPr>
      <w:rFonts w:eastAsia="仿宋_GB2312"/>
      <w:snapToGrid w:val="0"/>
      <w:kern w:val="0"/>
      <w:position w:val="-12"/>
      <w:sz w:val="24"/>
    </w:rPr>
  </w:style>
  <w:style w:type="paragraph" w:customStyle="1" w:styleId="225">
    <w:name w:val="居中正文"/>
    <w:basedOn w:val="85"/>
    <w:qFormat/>
    <w:uiPriority w:val="0"/>
    <w:pPr>
      <w:adjustRightInd w:val="0"/>
      <w:spacing w:before="120" w:after="0" w:line="360" w:lineRule="auto"/>
      <w:ind w:firstLine="0" w:firstLineChars="0"/>
      <w:jc w:val="center"/>
    </w:pPr>
    <w:rPr>
      <w:rFonts w:hint="eastAsia" w:ascii="宋体"/>
      <w:kern w:val="28"/>
      <w:sz w:val="24"/>
      <w:szCs w:val="20"/>
    </w:rPr>
  </w:style>
  <w:style w:type="paragraph" w:customStyle="1" w:styleId="226">
    <w:name w:val="封面名称日期"/>
    <w:basedOn w:val="1"/>
    <w:qFormat/>
    <w:uiPriority w:val="0"/>
    <w:pPr>
      <w:snapToGrid w:val="0"/>
      <w:spacing w:afterLines="50" w:line="400" w:lineRule="exact"/>
      <w:jc w:val="center"/>
    </w:pPr>
    <w:rPr>
      <w:rFonts w:eastAsia="仿宋_GB2312"/>
      <w:b/>
      <w:sz w:val="24"/>
    </w:rPr>
  </w:style>
  <w:style w:type="paragraph" w:customStyle="1" w:styleId="227">
    <w:name w:val="文字缩进"/>
    <w:basedOn w:val="23"/>
    <w:qFormat/>
    <w:uiPriority w:val="0"/>
    <w:pPr>
      <w:tabs>
        <w:tab w:val="left" w:pos="4802"/>
      </w:tabs>
      <w:adjustRightInd w:val="0"/>
      <w:snapToGrid w:val="0"/>
      <w:spacing w:after="0" w:line="240" w:lineRule="auto"/>
      <w:ind w:left="1134" w:firstLine="200" w:firstLineChars="200"/>
    </w:pPr>
    <w:rPr>
      <w:rFonts w:eastAsia="仿宋_GB2312"/>
      <w:bCs/>
      <w:sz w:val="24"/>
      <w:lang w:val="es-ES"/>
    </w:rPr>
  </w:style>
  <w:style w:type="paragraph" w:customStyle="1" w:styleId="228">
    <w:name w:val="图形标题"/>
    <w:basedOn w:val="23"/>
    <w:next w:val="1"/>
    <w:qFormat/>
    <w:uiPriority w:val="0"/>
    <w:pPr>
      <w:adjustRightInd w:val="0"/>
      <w:snapToGrid w:val="0"/>
      <w:spacing w:before="120" w:line="240" w:lineRule="auto"/>
      <w:ind w:firstLine="0"/>
      <w:jc w:val="center"/>
    </w:pPr>
    <w:rPr>
      <w:rFonts w:ascii="Times" w:hAnsi="Times"/>
      <w:b/>
      <w:bCs/>
      <w:sz w:val="21"/>
    </w:rPr>
  </w:style>
  <w:style w:type="paragraph" w:customStyle="1" w:styleId="229">
    <w:name w:val="假设列表"/>
    <w:qFormat/>
    <w:uiPriority w:val="0"/>
    <w:pPr>
      <w:tabs>
        <w:tab w:val="left" w:pos="900"/>
      </w:tabs>
      <w:spacing w:before="156"/>
      <w:ind w:left="900" w:hanging="420"/>
    </w:pPr>
    <w:rPr>
      <w:rFonts w:ascii="仿宋_GB2312" w:eastAsia="仿宋_GB2312" w:hAnsiTheme="minorHAnsi" w:cstheme="minorBidi"/>
      <w:sz w:val="24"/>
      <w:lang w:val="en-US" w:eastAsia="zh-CN" w:bidi="ar-SA"/>
    </w:rPr>
  </w:style>
  <w:style w:type="paragraph" w:customStyle="1" w:styleId="230">
    <w:name w:val="记录label"/>
    <w:basedOn w:val="1"/>
    <w:qFormat/>
    <w:uiPriority w:val="0"/>
    <w:pPr>
      <w:widowControl/>
      <w:snapToGrid w:val="0"/>
      <w:spacing w:before="120" w:line="400" w:lineRule="exact"/>
      <w:jc w:val="left"/>
    </w:pPr>
    <w:rPr>
      <w:rFonts w:eastAsia="仿宋_GB2312"/>
      <w:color w:val="000000"/>
      <w:kern w:val="0"/>
      <w:szCs w:val="15"/>
      <w:lang w:val="en-GB" w:eastAsia="zh-TW"/>
    </w:rPr>
  </w:style>
  <w:style w:type="character" w:customStyle="1" w:styleId="231">
    <w:name w:val="正文样式1 Char"/>
    <w:basedOn w:val="89"/>
    <w:qFormat/>
    <w:uiPriority w:val="0"/>
    <w:rPr>
      <w:rFonts w:eastAsia="宋体"/>
      <w:sz w:val="24"/>
      <w:lang w:val="en-US" w:eastAsia="zh-CN" w:bidi="ar-SA"/>
    </w:rPr>
  </w:style>
  <w:style w:type="paragraph" w:customStyle="1" w:styleId="232">
    <w:name w:val="+标题3"/>
    <w:basedOn w:val="7"/>
    <w:qFormat/>
    <w:uiPriority w:val="0"/>
    <w:pPr>
      <w:spacing w:beforeLines="50"/>
    </w:pPr>
    <w:rPr>
      <w:rFonts w:ascii="Times New Roman" w:hAnsi="Times New Roman"/>
      <w:bCs w:val="0"/>
      <w:snapToGrid w:val="0"/>
      <w:sz w:val="28"/>
      <w:szCs w:val="20"/>
    </w:rPr>
  </w:style>
  <w:style w:type="paragraph" w:customStyle="1" w:styleId="233">
    <w:name w:val="样式 标题 3小标题小节标题H3H31H32H33u3标题 3 Char Char Char标题 3 Char..."/>
    <w:basedOn w:val="7"/>
    <w:link w:val="234"/>
    <w:qFormat/>
    <w:uiPriority w:val="0"/>
    <w:pPr>
      <w:spacing w:beforeLines="50" w:line="400" w:lineRule="exact"/>
    </w:pPr>
    <w:rPr>
      <w:rFonts w:ascii="Times New Roman" w:hAnsi="Times New Roman"/>
    </w:rPr>
  </w:style>
  <w:style w:type="character" w:customStyle="1" w:styleId="234">
    <w:name w:val="样式 标题 3小标题小节标题H3H31H32H33u3标题 3 Char Char Char标题 3 Char... Char"/>
    <w:basedOn w:val="111"/>
    <w:link w:val="233"/>
    <w:qFormat/>
    <w:uiPriority w:val="0"/>
    <w:rPr>
      <w:sz w:val="32"/>
      <w:szCs w:val="32"/>
    </w:rPr>
  </w:style>
  <w:style w:type="paragraph" w:customStyle="1" w:styleId="235">
    <w:name w:val="样式 标题 2节标题H2H21 + Times New Roman"/>
    <w:basedOn w:val="6"/>
    <w:qFormat/>
    <w:uiPriority w:val="0"/>
    <w:pPr>
      <w:spacing w:line="400" w:lineRule="exact"/>
    </w:pPr>
    <w:rPr>
      <w:rFonts w:eastAsia="仿宋_GB2312"/>
      <w:sz w:val="30"/>
    </w:rPr>
  </w:style>
  <w:style w:type="paragraph" w:customStyle="1" w:styleId="236">
    <w:name w:val="样式 标题 11章标题H1H11H12一、文章标题Eia标题1－1表格外标题标题 111Head 1wsa..."/>
    <w:basedOn w:val="5"/>
    <w:link w:val="237"/>
    <w:qFormat/>
    <w:uiPriority w:val="0"/>
    <w:pPr>
      <w:tabs>
        <w:tab w:val="left" w:pos="0"/>
        <w:tab w:val="left" w:pos="425"/>
        <w:tab w:val="left" w:pos="980"/>
      </w:tabs>
      <w:snapToGrid w:val="0"/>
      <w:spacing w:before="0" w:after="0" w:line="400" w:lineRule="exact"/>
      <w:ind w:firstLine="960"/>
    </w:pPr>
    <w:rPr>
      <w:rFonts w:eastAsia="仿宋_GB2312"/>
      <w:b w:val="0"/>
      <w:szCs w:val="24"/>
    </w:rPr>
  </w:style>
  <w:style w:type="character" w:customStyle="1" w:styleId="237">
    <w:name w:val="样式 标题 11章标题H1H11H12一、文章标题Eia标题1－1表格外标题标题 111Head 1wsa... Char"/>
    <w:basedOn w:val="109"/>
    <w:link w:val="236"/>
    <w:qFormat/>
    <w:uiPriority w:val="0"/>
    <w:rPr>
      <w:rFonts w:eastAsia="仿宋_GB2312"/>
      <w:kern w:val="44"/>
      <w:sz w:val="44"/>
      <w:szCs w:val="24"/>
    </w:rPr>
  </w:style>
  <w:style w:type="paragraph" w:customStyle="1" w:styleId="238">
    <w:name w:val="样式 样式 标题 11章标题H1H11H12一、文章标题Eia标题1－1表格外标题标题 111Head 1wsa... + (中..."/>
    <w:basedOn w:val="236"/>
    <w:link w:val="239"/>
    <w:qFormat/>
    <w:uiPriority w:val="0"/>
    <w:pPr>
      <w:spacing w:line="360" w:lineRule="auto"/>
      <w:ind w:firstLine="0"/>
    </w:pPr>
    <w:rPr>
      <w:rFonts w:eastAsia="黑体"/>
    </w:rPr>
  </w:style>
  <w:style w:type="character" w:customStyle="1" w:styleId="239">
    <w:name w:val="样式 样式 标题 11章标题H1H11H12一、文章标题Eia标题1－1表格外标题标题 111Head 1wsa... + (中... Char"/>
    <w:basedOn w:val="237"/>
    <w:link w:val="238"/>
    <w:qFormat/>
    <w:uiPriority w:val="0"/>
    <w:rPr>
      <w:rFonts w:eastAsia="黑体"/>
      <w:kern w:val="44"/>
      <w:sz w:val="44"/>
      <w:szCs w:val="24"/>
    </w:rPr>
  </w:style>
  <w:style w:type="paragraph" w:customStyle="1" w:styleId="240">
    <w:name w:val="样式 标题 2节标题H2H21 + 红色"/>
    <w:basedOn w:val="6"/>
    <w:qFormat/>
    <w:uiPriority w:val="0"/>
    <w:pPr>
      <w:spacing w:line="400" w:lineRule="exact"/>
    </w:pPr>
    <w:rPr>
      <w:rFonts w:eastAsia="仿宋_GB2312"/>
    </w:rPr>
  </w:style>
  <w:style w:type="paragraph" w:customStyle="1" w:styleId="241">
    <w:name w:val="样式 样式 标题 2节标题H2H21 + 红色 + 自动设置"/>
    <w:basedOn w:val="240"/>
    <w:qFormat/>
    <w:uiPriority w:val="0"/>
    <w:pPr>
      <w:spacing w:beforeLines="50"/>
    </w:pPr>
    <w:rPr>
      <w:rFonts w:eastAsia="黑体"/>
    </w:rPr>
  </w:style>
  <w:style w:type="paragraph" w:customStyle="1" w:styleId="242">
    <w:name w:val="样式 标题 2节标题H2H21 + 左侧:  0 厘米 首行缩进:  0 厘米"/>
    <w:basedOn w:val="6"/>
    <w:qFormat/>
    <w:uiPriority w:val="0"/>
    <w:pPr>
      <w:spacing w:line="400" w:lineRule="exact"/>
    </w:pPr>
    <w:rPr>
      <w:rFonts w:cs="宋体"/>
      <w:szCs w:val="20"/>
    </w:rPr>
  </w:style>
  <w:style w:type="paragraph" w:customStyle="1" w:styleId="243">
    <w:name w:val="样式 标题 2节标题H2H21 + 左侧:  0 厘米 首行缩进:  0 厘米1"/>
    <w:basedOn w:val="6"/>
    <w:next w:val="242"/>
    <w:qFormat/>
    <w:uiPriority w:val="0"/>
    <w:pPr>
      <w:spacing w:line="400" w:lineRule="exact"/>
    </w:pPr>
    <w:rPr>
      <w:rFonts w:eastAsia="仿宋_GB2312" w:cs="宋体"/>
      <w:sz w:val="24"/>
      <w:szCs w:val="20"/>
    </w:rPr>
  </w:style>
  <w:style w:type="paragraph" w:customStyle="1" w:styleId="244">
    <w:name w:val="样式 样式 样式 标题 2节标题H2H21 + 红色 + 自动设置 + 首行缩进:  0 字符"/>
    <w:basedOn w:val="241"/>
    <w:qFormat/>
    <w:uiPriority w:val="0"/>
    <w:rPr>
      <w:rFonts w:cs="宋体"/>
      <w:szCs w:val="20"/>
    </w:rPr>
  </w:style>
  <w:style w:type="paragraph" w:customStyle="1" w:styleId="245">
    <w:name w:val="样式 样式 标题 2节标题H2H21 + 红色 + 自动设置1"/>
    <w:basedOn w:val="240"/>
    <w:qFormat/>
    <w:uiPriority w:val="0"/>
  </w:style>
  <w:style w:type="paragraph" w:customStyle="1" w:styleId="246">
    <w:name w:val="样式 样式2 + 首行缩进:  2 字符"/>
    <w:basedOn w:val="157"/>
    <w:qFormat/>
    <w:uiPriority w:val="0"/>
    <w:pPr>
      <w:keepNext/>
      <w:keepLines/>
      <w:snapToGrid w:val="0"/>
      <w:spacing w:beforeLines="50" w:after="0" w:line="400" w:lineRule="exact"/>
      <w:ind w:left="576" w:hanging="576"/>
      <w:jc w:val="left"/>
      <w:outlineLvl w:val="1"/>
    </w:pPr>
    <w:rPr>
      <w:rFonts w:ascii="Helvetica" w:hAnsi="Helvetica" w:cs="宋体"/>
      <w:bCs/>
      <w:sz w:val="32"/>
    </w:rPr>
  </w:style>
  <w:style w:type="paragraph" w:customStyle="1" w:styleId="247">
    <w:name w:val="样式3"/>
    <w:basedOn w:val="246"/>
    <w:link w:val="248"/>
    <w:qFormat/>
    <w:uiPriority w:val="0"/>
    <w:pPr>
      <w:ind w:left="0" w:firstLine="0"/>
    </w:pPr>
  </w:style>
  <w:style w:type="character" w:customStyle="1" w:styleId="248">
    <w:name w:val="样式3 Char Char"/>
    <w:link w:val="247"/>
    <w:qFormat/>
    <w:uiPriority w:val="0"/>
    <w:rPr>
      <w:rFonts w:ascii="Helvetica" w:hAnsi="Helvetica" w:eastAsia="黑体" w:cs="宋体"/>
      <w:b/>
      <w:bCs/>
      <w:kern w:val="2"/>
      <w:sz w:val="32"/>
    </w:rPr>
  </w:style>
  <w:style w:type="paragraph" w:customStyle="1" w:styleId="249">
    <w:name w:val="样式5"/>
    <w:basedOn w:val="7"/>
    <w:qFormat/>
    <w:uiPriority w:val="0"/>
    <w:pPr>
      <w:spacing w:beforeLines="50" w:line="400" w:lineRule="exact"/>
    </w:pPr>
    <w:rPr>
      <w:rFonts w:ascii="Times New Roman" w:hAnsi="Times New Roman" w:eastAsia="黑体"/>
      <w:snapToGrid w:val="0"/>
      <w:sz w:val="28"/>
    </w:rPr>
  </w:style>
  <w:style w:type="paragraph" w:customStyle="1" w:styleId="250">
    <w:name w:val="2样式6"/>
    <w:basedOn w:val="233"/>
    <w:qFormat/>
    <w:uiPriority w:val="0"/>
    <w:pPr>
      <w:spacing w:before="50"/>
    </w:pPr>
    <w:rPr>
      <w:rFonts w:eastAsia="黑体"/>
      <w:sz w:val="28"/>
    </w:rPr>
  </w:style>
  <w:style w:type="paragraph" w:customStyle="1" w:styleId="251">
    <w:name w:val="样式 样式2 + 段前: 0.5 行"/>
    <w:basedOn w:val="250"/>
    <w:qFormat/>
    <w:uiPriority w:val="0"/>
    <w:rPr>
      <w:rFonts w:cs="宋体"/>
      <w:bCs w:val="0"/>
      <w:szCs w:val="20"/>
    </w:rPr>
  </w:style>
  <w:style w:type="paragraph" w:customStyle="1" w:styleId="252">
    <w:name w:val="样式7"/>
    <w:basedOn w:val="240"/>
    <w:qFormat/>
    <w:uiPriority w:val="0"/>
    <w:pPr>
      <w:spacing w:beforeLines="50"/>
      <w:ind w:left="576" w:hanging="576"/>
    </w:pPr>
    <w:rPr>
      <w:rFonts w:eastAsia="黑体"/>
    </w:rPr>
  </w:style>
  <w:style w:type="paragraph" w:customStyle="1" w:styleId="253">
    <w:name w:val="样式8"/>
    <w:basedOn w:val="7"/>
    <w:qFormat/>
    <w:uiPriority w:val="0"/>
    <w:pPr>
      <w:spacing w:line="400" w:lineRule="exact"/>
    </w:pPr>
    <w:rPr>
      <w:rFonts w:ascii="Times New Roman" w:hAnsi="Times New Roman" w:eastAsia="黑体"/>
      <w:snapToGrid w:val="0"/>
      <w:sz w:val="28"/>
    </w:rPr>
  </w:style>
  <w:style w:type="paragraph" w:customStyle="1" w:styleId="254">
    <w:name w:val="样式 标题 3小标题小节标题H3H31H32H33u3标题 3 Char Char Char标题 3 Char...1"/>
    <w:basedOn w:val="1"/>
    <w:qFormat/>
    <w:uiPriority w:val="0"/>
    <w:pPr>
      <w:tabs>
        <w:tab w:val="left" w:pos="1987"/>
      </w:tabs>
      <w:snapToGrid w:val="0"/>
      <w:spacing w:line="400" w:lineRule="exact"/>
      <w:ind w:left="1987"/>
    </w:pPr>
    <w:rPr>
      <w:rFonts w:eastAsia="仿宋_GB2312"/>
      <w:sz w:val="24"/>
    </w:rPr>
  </w:style>
  <w:style w:type="paragraph" w:customStyle="1" w:styleId="255">
    <w:name w:val="样式9"/>
    <w:basedOn w:val="253"/>
    <w:qFormat/>
    <w:uiPriority w:val="0"/>
    <w:pPr>
      <w:tabs>
        <w:tab w:val="left" w:pos="1987"/>
      </w:tabs>
      <w:ind w:left="1987"/>
    </w:pPr>
  </w:style>
  <w:style w:type="paragraph" w:customStyle="1" w:styleId="256">
    <w:name w:val="样式10"/>
    <w:basedOn w:val="8"/>
    <w:qFormat/>
    <w:uiPriority w:val="0"/>
    <w:pPr>
      <w:spacing w:before="50" w:line="400" w:lineRule="exact"/>
    </w:pPr>
    <w:rPr>
      <w:rFonts w:ascii="Times New Roman" w:hAnsi="Times New Roman"/>
    </w:rPr>
  </w:style>
  <w:style w:type="paragraph" w:customStyle="1" w:styleId="257">
    <w:name w:val="3样式7"/>
    <w:basedOn w:val="253"/>
    <w:qFormat/>
    <w:uiPriority w:val="0"/>
    <w:pPr>
      <w:spacing w:beforeLines="50"/>
    </w:pPr>
  </w:style>
  <w:style w:type="paragraph" w:customStyle="1" w:styleId="258">
    <w:name w:val="样式 3样式7 + 段前: 0.5 行"/>
    <w:basedOn w:val="257"/>
    <w:qFormat/>
    <w:uiPriority w:val="0"/>
    <w:pPr>
      <w:tabs>
        <w:tab w:val="left" w:pos="1400"/>
      </w:tabs>
    </w:pPr>
    <w:rPr>
      <w:rFonts w:cs="宋体"/>
      <w:szCs w:val="20"/>
    </w:rPr>
  </w:style>
  <w:style w:type="paragraph" w:customStyle="1" w:styleId="259">
    <w:name w:val="13样式6"/>
    <w:basedOn w:val="7"/>
    <w:qFormat/>
    <w:uiPriority w:val="0"/>
    <w:pPr>
      <w:tabs>
        <w:tab w:val="left" w:pos="1987"/>
      </w:tabs>
      <w:spacing w:beforeLines="50" w:line="400" w:lineRule="exact"/>
      <w:ind w:left="1987"/>
    </w:pPr>
    <w:rPr>
      <w:rFonts w:ascii="Times New Roman" w:hAnsi="Times New Roman" w:eastAsia="黑体"/>
      <w:bCs w:val="0"/>
      <w:snapToGrid w:val="0"/>
      <w:sz w:val="28"/>
    </w:rPr>
  </w:style>
  <w:style w:type="character" w:customStyle="1" w:styleId="260">
    <w:name w:val="text1"/>
    <w:basedOn w:val="89"/>
    <w:qFormat/>
    <w:uiPriority w:val="0"/>
    <w:rPr>
      <w:rFonts w:hint="default" w:ascii="ˎ̥" w:hAnsi="ˎ̥"/>
      <w:color w:val="000000"/>
      <w:sz w:val="18"/>
      <w:szCs w:val="18"/>
      <w:u w:val="none"/>
    </w:rPr>
  </w:style>
  <w:style w:type="paragraph" w:customStyle="1" w:styleId="261">
    <w:name w:val="样式 样式7 + 段前: 0.5 行"/>
    <w:basedOn w:val="252"/>
    <w:qFormat/>
    <w:uiPriority w:val="0"/>
    <w:rPr>
      <w:rFonts w:cs="宋体"/>
      <w:bCs w:val="0"/>
      <w:szCs w:val="20"/>
    </w:rPr>
  </w:style>
  <w:style w:type="paragraph" w:customStyle="1" w:styleId="262">
    <w:name w:val="样式 四号 行距: 1.5 倍行距 首行缩进:  2 字符"/>
    <w:basedOn w:val="1"/>
    <w:qFormat/>
    <w:uiPriority w:val="0"/>
    <w:pPr>
      <w:spacing w:line="360" w:lineRule="auto"/>
      <w:ind w:firstLine="560"/>
    </w:pPr>
    <w:rPr>
      <w:bCs/>
      <w:sz w:val="28"/>
    </w:rPr>
  </w:style>
  <w:style w:type="paragraph" w:customStyle="1" w:styleId="263">
    <w:name w:val="样式 样式9 + 左侧:  0 厘米 首行缩进:  0 厘米"/>
    <w:basedOn w:val="255"/>
    <w:qFormat/>
    <w:uiPriority w:val="0"/>
    <w:pPr>
      <w:spacing w:beforeLines="50"/>
      <w:ind w:left="0"/>
    </w:pPr>
    <w:rPr>
      <w:rFonts w:cs="宋体"/>
      <w:szCs w:val="20"/>
    </w:rPr>
  </w:style>
  <w:style w:type="paragraph" w:customStyle="1" w:styleId="264">
    <w:name w:val="样式 样式 样式9 + 左侧:  0 厘米 首行缩进:  0 厘米 + 段前: 0.5 行"/>
    <w:basedOn w:val="263"/>
    <w:qFormat/>
    <w:uiPriority w:val="0"/>
    <w:pPr>
      <w:tabs>
        <w:tab w:val="left" w:pos="567"/>
        <w:tab w:val="left" w:pos="1400"/>
        <w:tab w:val="clear" w:pos="1987"/>
      </w:tabs>
      <w:ind w:left="567" w:hanging="567"/>
    </w:pPr>
  </w:style>
  <w:style w:type="paragraph" w:customStyle="1" w:styleId="265">
    <w:name w:val="样式 样式 样式9 + 左侧:  0 厘米 首行缩进:  0 厘米 + 段前: 0.5 行1"/>
    <w:basedOn w:val="263"/>
    <w:qFormat/>
    <w:uiPriority w:val="0"/>
  </w:style>
  <w:style w:type="paragraph" w:customStyle="1" w:styleId="266">
    <w:name w:val="样式 五号 居中"/>
    <w:basedOn w:val="1"/>
    <w:qFormat/>
    <w:uiPriority w:val="0"/>
    <w:pPr>
      <w:tabs>
        <w:tab w:val="left" w:pos="1820"/>
      </w:tabs>
      <w:snapToGrid w:val="0"/>
      <w:spacing w:line="400" w:lineRule="exact"/>
      <w:jc w:val="center"/>
    </w:pPr>
    <w:rPr>
      <w:rFonts w:eastAsia="Times New Roman" w:cs="宋体"/>
    </w:rPr>
  </w:style>
  <w:style w:type="paragraph" w:customStyle="1" w:styleId="267">
    <w:name w:val="样式 标题 4H4H41 + 段前: 0.5 行"/>
    <w:basedOn w:val="8"/>
    <w:qFormat/>
    <w:uiPriority w:val="0"/>
    <w:pPr>
      <w:tabs>
        <w:tab w:val="left" w:pos="1820"/>
        <w:tab w:val="left" w:pos="1987"/>
      </w:tabs>
      <w:spacing w:before="50" w:line="400" w:lineRule="exact"/>
    </w:pPr>
    <w:rPr>
      <w:rFonts w:ascii="Times New Roman" w:hAnsi="Times New Roman" w:cs="宋体"/>
      <w:szCs w:val="20"/>
    </w:rPr>
  </w:style>
  <w:style w:type="paragraph" w:customStyle="1" w:styleId="268">
    <w:name w:val="样式 表头 + 五号"/>
    <w:basedOn w:val="186"/>
    <w:qFormat/>
    <w:uiPriority w:val="0"/>
    <w:pPr>
      <w:numPr>
        <w:ilvl w:val="2"/>
        <w:numId w:val="11"/>
      </w:numPr>
      <w:tabs>
        <w:tab w:val="left" w:pos="390"/>
        <w:tab w:val="left" w:pos="780"/>
      </w:tabs>
      <w:snapToGrid w:val="0"/>
      <w:spacing w:line="400" w:lineRule="exact"/>
      <w:ind w:firstLine="0" w:firstLineChars="0"/>
      <w:jc w:val="center"/>
    </w:pPr>
    <w:rPr>
      <w:rFonts w:ascii="Times New Roman" w:hAnsi="Times New Roman" w:eastAsia="黑体"/>
      <w:b/>
      <w:kern w:val="2"/>
      <w:sz w:val="21"/>
      <w:szCs w:val="21"/>
    </w:rPr>
  </w:style>
  <w:style w:type="paragraph" w:customStyle="1" w:styleId="269">
    <w:name w:val="+正文"/>
    <w:basedOn w:val="1"/>
    <w:link w:val="270"/>
    <w:qFormat/>
    <w:uiPriority w:val="0"/>
    <w:pPr>
      <w:spacing w:line="360" w:lineRule="auto"/>
      <w:ind w:firstLine="200"/>
    </w:pPr>
    <w:rPr>
      <w:sz w:val="28"/>
      <w:szCs w:val="28"/>
    </w:rPr>
  </w:style>
  <w:style w:type="character" w:customStyle="1" w:styleId="270">
    <w:name w:val="+正文 Char"/>
    <w:basedOn w:val="89"/>
    <w:link w:val="269"/>
    <w:qFormat/>
    <w:uiPriority w:val="0"/>
    <w:rPr>
      <w:kern w:val="2"/>
      <w:sz w:val="28"/>
      <w:szCs w:val="28"/>
    </w:rPr>
  </w:style>
  <w:style w:type="paragraph" w:customStyle="1" w:styleId="271">
    <w:name w:val="样式12"/>
    <w:basedOn w:val="83"/>
    <w:qFormat/>
    <w:uiPriority w:val="0"/>
    <w:pPr>
      <w:tabs>
        <w:tab w:val="left" w:pos="1820"/>
      </w:tabs>
      <w:snapToGrid w:val="0"/>
      <w:spacing w:before="0" w:after="0" w:line="400" w:lineRule="exact"/>
    </w:pPr>
    <w:rPr>
      <w:rFonts w:cs="Arial"/>
      <w:sz w:val="30"/>
    </w:rPr>
  </w:style>
  <w:style w:type="paragraph" w:customStyle="1" w:styleId="272">
    <w:name w:val="样式11"/>
    <w:basedOn w:val="1"/>
    <w:qFormat/>
    <w:uiPriority w:val="0"/>
    <w:pPr>
      <w:snapToGrid w:val="0"/>
      <w:spacing w:line="400" w:lineRule="exact"/>
    </w:pPr>
    <w:rPr>
      <w:rFonts w:eastAsia="仿宋_GB2312"/>
      <w:sz w:val="24"/>
    </w:rPr>
  </w:style>
  <w:style w:type="paragraph" w:customStyle="1" w:styleId="273">
    <w:name w:val="样式15"/>
    <w:basedOn w:val="23"/>
    <w:qFormat/>
    <w:uiPriority w:val="0"/>
    <w:pPr>
      <w:numPr>
        <w:ilvl w:val="2"/>
        <w:numId w:val="12"/>
      </w:numPr>
      <w:tabs>
        <w:tab w:val="left" w:pos="780"/>
      </w:tabs>
      <w:adjustRightInd w:val="0"/>
      <w:snapToGrid w:val="0"/>
      <w:spacing w:beforeLines="50" w:after="0" w:line="400" w:lineRule="exact"/>
    </w:pPr>
    <w:rPr>
      <w:rFonts w:eastAsia="仿宋_GB2312"/>
      <w:sz w:val="24"/>
      <w:szCs w:val="24"/>
    </w:rPr>
  </w:style>
  <w:style w:type="paragraph" w:customStyle="1" w:styleId="274">
    <w:name w:val="样式32"/>
    <w:basedOn w:val="246"/>
    <w:qFormat/>
    <w:uiPriority w:val="0"/>
    <w:pPr>
      <w:ind w:left="0" w:firstLine="0"/>
    </w:pPr>
  </w:style>
  <w:style w:type="paragraph" w:customStyle="1" w:styleId="275">
    <w:name w:val="样式 样式 样式2 + 首行缩进:  2 字符 + 左侧:  0 厘米 悬挂缩进: 5.67 字符 段前: 0.5 行"/>
    <w:basedOn w:val="246"/>
    <w:qFormat/>
    <w:uiPriority w:val="0"/>
    <w:pPr>
      <w:spacing w:before="156"/>
    </w:pPr>
  </w:style>
  <w:style w:type="paragraph" w:customStyle="1" w:styleId="276">
    <w:name w:val="样式 样式32 + 段前: 0.5 行"/>
    <w:basedOn w:val="274"/>
    <w:qFormat/>
    <w:uiPriority w:val="0"/>
    <w:pPr>
      <w:snapToGrid/>
    </w:pPr>
  </w:style>
  <w:style w:type="paragraph" w:customStyle="1" w:styleId="277">
    <w:name w:val="样式 样式 3样式7 + 段前: 0.5 行 + 左侧:  0 厘米 首行缩进:  0 厘米 段前: 0.5 行"/>
    <w:basedOn w:val="258"/>
    <w:qFormat/>
    <w:uiPriority w:val="0"/>
    <w:pPr>
      <w:tabs>
        <w:tab w:val="left" w:pos="1987"/>
        <w:tab w:val="clear" w:pos="1400"/>
      </w:tabs>
      <w:spacing w:before="156"/>
      <w:ind w:left="1987"/>
    </w:pPr>
  </w:style>
  <w:style w:type="paragraph" w:customStyle="1" w:styleId="278">
    <w:name w:val="样式 样式10 + 左侧:  0 厘米 首行缩进:  0 厘米"/>
    <w:basedOn w:val="256"/>
    <w:qFormat/>
    <w:uiPriority w:val="0"/>
    <w:pPr>
      <w:spacing w:beforeLines="50"/>
    </w:pPr>
    <w:rPr>
      <w:rFonts w:cs="宋体"/>
      <w:szCs w:val="20"/>
    </w:rPr>
  </w:style>
  <w:style w:type="paragraph" w:customStyle="1" w:styleId="279">
    <w:name w:val="样式 样式10 + 左侧:  0 厘米 首行缩进:  0 厘米1"/>
    <w:basedOn w:val="256"/>
    <w:qFormat/>
    <w:uiPriority w:val="0"/>
    <w:rPr>
      <w:rFonts w:cs="宋体"/>
      <w:szCs w:val="20"/>
    </w:rPr>
  </w:style>
  <w:style w:type="paragraph" w:customStyle="1" w:styleId="280">
    <w:name w:val="样式41"/>
    <w:basedOn w:val="241"/>
    <w:qFormat/>
    <w:uiPriority w:val="0"/>
    <w:pPr>
      <w:spacing w:before="156"/>
    </w:pPr>
  </w:style>
  <w:style w:type="paragraph" w:customStyle="1" w:styleId="281">
    <w:name w:val="样式51"/>
    <w:basedOn w:val="241"/>
    <w:qFormat/>
    <w:uiPriority w:val="0"/>
    <w:pPr>
      <w:spacing w:before="156"/>
      <w:ind w:left="576" w:hanging="576"/>
    </w:pPr>
  </w:style>
  <w:style w:type="paragraph" w:customStyle="1" w:styleId="282">
    <w:name w:val="样式17"/>
    <w:basedOn w:val="281"/>
    <w:qFormat/>
    <w:uiPriority w:val="0"/>
    <w:pPr>
      <w:tabs>
        <w:tab w:val="left" w:pos="432"/>
      </w:tabs>
      <w:ind w:left="432" w:hanging="432"/>
    </w:pPr>
  </w:style>
  <w:style w:type="paragraph" w:customStyle="1" w:styleId="283">
    <w:name w:val="样式511"/>
    <w:basedOn w:val="221"/>
    <w:qFormat/>
    <w:uiPriority w:val="0"/>
    <w:pPr>
      <w:tabs>
        <w:tab w:val="left" w:pos="1987"/>
      </w:tabs>
      <w:ind w:left="1987"/>
    </w:pPr>
  </w:style>
  <w:style w:type="paragraph" w:customStyle="1" w:styleId="284">
    <w:name w:val="样式521"/>
    <w:basedOn w:val="221"/>
    <w:qFormat/>
    <w:uiPriority w:val="0"/>
    <w:pPr>
      <w:tabs>
        <w:tab w:val="left" w:pos="1987"/>
      </w:tabs>
      <w:ind w:left="1987"/>
    </w:pPr>
  </w:style>
  <w:style w:type="paragraph" w:customStyle="1" w:styleId="285">
    <w:name w:val="样式5211"/>
    <w:basedOn w:val="267"/>
    <w:qFormat/>
    <w:uiPriority w:val="0"/>
    <w:pPr>
      <w:tabs>
        <w:tab w:val="clear" w:pos="1820"/>
      </w:tabs>
      <w:spacing w:beforeLines="50"/>
    </w:pPr>
  </w:style>
  <w:style w:type="paragraph" w:customStyle="1" w:styleId="286">
    <w:name w:val="样式52"/>
    <w:basedOn w:val="285"/>
    <w:qFormat/>
    <w:uiPriority w:val="0"/>
    <w:pPr>
      <w:tabs>
        <w:tab w:val="left" w:pos="687"/>
      </w:tabs>
    </w:pPr>
  </w:style>
  <w:style w:type="paragraph" w:customStyle="1" w:styleId="287">
    <w:name w:val="样式71"/>
    <w:basedOn w:val="1"/>
    <w:qFormat/>
    <w:uiPriority w:val="0"/>
    <w:pPr>
      <w:snapToGrid w:val="0"/>
      <w:spacing w:beforeLines="50" w:line="400" w:lineRule="exact"/>
      <w:ind w:left="576" w:hanging="576"/>
      <w:outlineLvl w:val="1"/>
    </w:pPr>
    <w:rPr>
      <w:rFonts w:eastAsia="黑体"/>
      <w:b/>
      <w:sz w:val="32"/>
    </w:rPr>
  </w:style>
  <w:style w:type="paragraph" w:customStyle="1" w:styleId="288">
    <w:name w:val="样式711"/>
    <w:basedOn w:val="284"/>
    <w:qFormat/>
    <w:uiPriority w:val="0"/>
    <w:pPr>
      <w:ind w:hanging="432"/>
    </w:pPr>
  </w:style>
  <w:style w:type="paragraph" w:customStyle="1" w:styleId="289">
    <w:name w:val="样式7121"/>
    <w:basedOn w:val="23"/>
    <w:qFormat/>
    <w:uiPriority w:val="0"/>
    <w:pPr>
      <w:tabs>
        <w:tab w:val="left" w:pos="1820"/>
      </w:tabs>
      <w:adjustRightInd w:val="0"/>
      <w:snapToGrid w:val="0"/>
      <w:spacing w:beforeLines="50" w:after="0" w:line="400" w:lineRule="exact"/>
      <w:ind w:firstLine="0"/>
    </w:pPr>
    <w:rPr>
      <w:rFonts w:eastAsia="黑体"/>
      <w:b/>
      <w:sz w:val="24"/>
      <w:szCs w:val="24"/>
    </w:rPr>
  </w:style>
  <w:style w:type="paragraph" w:customStyle="1" w:styleId="290">
    <w:name w:val="样式 样式7121 + 段前: 0.5 行"/>
    <w:basedOn w:val="289"/>
    <w:qFormat/>
    <w:uiPriority w:val="0"/>
    <w:pPr>
      <w:tabs>
        <w:tab w:val="left" w:pos="864"/>
        <w:tab w:val="clear" w:pos="1820"/>
      </w:tabs>
      <w:spacing w:before="50"/>
      <w:ind w:left="864" w:hanging="864"/>
      <w:outlineLvl w:val="3"/>
    </w:pPr>
    <w:rPr>
      <w:rFonts w:cs="宋体"/>
      <w:bCs/>
      <w:szCs w:val="20"/>
    </w:rPr>
  </w:style>
  <w:style w:type="paragraph" w:customStyle="1" w:styleId="291">
    <w:name w:val="样式18"/>
    <w:basedOn w:val="23"/>
    <w:qFormat/>
    <w:uiPriority w:val="0"/>
    <w:pPr>
      <w:numPr>
        <w:ilvl w:val="2"/>
        <w:numId w:val="13"/>
      </w:numPr>
      <w:tabs>
        <w:tab w:val="left" w:pos="864"/>
        <w:tab w:val="left" w:pos="1200"/>
      </w:tabs>
      <w:adjustRightInd w:val="0"/>
      <w:snapToGrid w:val="0"/>
      <w:spacing w:beforeLines="50" w:after="0" w:line="400" w:lineRule="exact"/>
      <w:outlineLvl w:val="3"/>
    </w:pPr>
    <w:rPr>
      <w:rFonts w:eastAsia="黑体"/>
      <w:sz w:val="24"/>
      <w:szCs w:val="24"/>
    </w:rPr>
  </w:style>
  <w:style w:type="paragraph" w:customStyle="1" w:styleId="292">
    <w:name w:val="样式7211"/>
    <w:basedOn w:val="23"/>
    <w:qFormat/>
    <w:uiPriority w:val="0"/>
    <w:pPr>
      <w:adjustRightInd w:val="0"/>
      <w:snapToGrid w:val="0"/>
      <w:spacing w:beforeLines="50" w:after="0" w:line="400" w:lineRule="exact"/>
      <w:ind w:firstLine="0"/>
      <w:outlineLvl w:val="3"/>
    </w:pPr>
    <w:rPr>
      <w:rFonts w:eastAsia="黑体"/>
      <w:sz w:val="24"/>
      <w:szCs w:val="24"/>
    </w:rPr>
  </w:style>
  <w:style w:type="paragraph" w:customStyle="1" w:styleId="293">
    <w:name w:val="样式 样式7211 + 段前: 0.5 行"/>
    <w:basedOn w:val="292"/>
    <w:qFormat/>
    <w:uiPriority w:val="0"/>
    <w:pPr>
      <w:spacing w:before="156"/>
      <w:ind w:left="576" w:hanging="576"/>
    </w:pPr>
    <w:rPr>
      <w:rFonts w:cs="宋体"/>
      <w:szCs w:val="20"/>
    </w:rPr>
  </w:style>
  <w:style w:type="paragraph" w:customStyle="1" w:styleId="294">
    <w:name w:val="样式 样式711 + 左侧:  0 厘米"/>
    <w:basedOn w:val="288"/>
    <w:qFormat/>
    <w:uiPriority w:val="0"/>
    <w:pPr>
      <w:tabs>
        <w:tab w:val="left" w:pos="1400"/>
      </w:tabs>
      <w:ind w:left="1400" w:hanging="420"/>
    </w:pPr>
  </w:style>
  <w:style w:type="paragraph" w:customStyle="1" w:styleId="295">
    <w:name w:val="样式 样式71 + 段前: 0.5 行"/>
    <w:basedOn w:val="287"/>
    <w:qFormat/>
    <w:uiPriority w:val="0"/>
    <w:pPr>
      <w:tabs>
        <w:tab w:val="left" w:pos="845"/>
      </w:tabs>
      <w:ind w:left="845" w:hanging="425"/>
    </w:pPr>
    <w:rPr>
      <w:rFonts w:cs="宋体"/>
      <w:bCs/>
    </w:rPr>
  </w:style>
  <w:style w:type="paragraph" w:customStyle="1" w:styleId="296">
    <w:name w:val="样式表941"/>
    <w:basedOn w:val="171"/>
    <w:qFormat/>
    <w:uiPriority w:val="0"/>
    <w:pPr>
      <w:numPr>
        <w:ilvl w:val="1"/>
        <w:numId w:val="14"/>
      </w:numPr>
      <w:tabs>
        <w:tab w:val="left" w:pos="1200"/>
      </w:tabs>
      <w:jc w:val="left"/>
    </w:pPr>
    <w:rPr>
      <w:szCs w:val="21"/>
    </w:rPr>
  </w:style>
  <w:style w:type="paragraph" w:customStyle="1" w:styleId="297">
    <w:name w:val="样式 封面标题 + 二号"/>
    <w:basedOn w:val="209"/>
    <w:qFormat/>
    <w:uiPriority w:val="0"/>
    <w:pPr>
      <w:numPr>
        <w:ilvl w:val="2"/>
        <w:numId w:val="15"/>
      </w:numPr>
      <w:tabs>
        <w:tab w:val="left" w:pos="1620"/>
      </w:tabs>
      <w:spacing w:before="50" w:after="50"/>
    </w:pPr>
    <w:rPr>
      <w:bCs/>
      <w:sz w:val="44"/>
      <w:szCs w:val="36"/>
    </w:rPr>
  </w:style>
  <w:style w:type="paragraph" w:customStyle="1" w:styleId="298">
    <w:name w:val="样式 样式5211 + 段前: 0.5 行"/>
    <w:basedOn w:val="285"/>
    <w:qFormat/>
    <w:uiPriority w:val="0"/>
    <w:pPr>
      <w:numPr>
        <w:ilvl w:val="2"/>
        <w:numId w:val="16"/>
      </w:numPr>
      <w:tabs>
        <w:tab w:val="left" w:pos="1620"/>
      </w:tabs>
    </w:pPr>
  </w:style>
  <w:style w:type="character" w:customStyle="1" w:styleId="299">
    <w:name w:val="11p"/>
    <w:basedOn w:val="89"/>
    <w:qFormat/>
    <w:uiPriority w:val="0"/>
  </w:style>
  <w:style w:type="paragraph" w:customStyle="1" w:styleId="300">
    <w:name w:val="样式 首行缩进:  0.85 厘米1"/>
    <w:basedOn w:val="1"/>
    <w:qFormat/>
    <w:uiPriority w:val="0"/>
    <w:pPr>
      <w:widowControl/>
      <w:tabs>
        <w:tab w:val="left" w:pos="1820"/>
      </w:tabs>
      <w:spacing w:line="360" w:lineRule="auto"/>
      <w:ind w:firstLine="482"/>
      <w:jc w:val="left"/>
    </w:pPr>
    <w:rPr>
      <w:rFonts w:cs="宋体"/>
      <w:kern w:val="0"/>
      <w:sz w:val="24"/>
    </w:rPr>
  </w:style>
  <w:style w:type="paragraph" w:customStyle="1" w:styleId="301">
    <w:name w:val="样式 首行缩进:  0.85 厘米2"/>
    <w:basedOn w:val="1"/>
    <w:qFormat/>
    <w:uiPriority w:val="0"/>
    <w:pPr>
      <w:widowControl/>
      <w:numPr>
        <w:ilvl w:val="1"/>
        <w:numId w:val="17"/>
      </w:numPr>
      <w:tabs>
        <w:tab w:val="left" w:pos="125"/>
        <w:tab w:val="left" w:pos="2040"/>
      </w:tabs>
      <w:spacing w:line="360" w:lineRule="auto"/>
      <w:jc w:val="left"/>
    </w:pPr>
    <w:rPr>
      <w:rFonts w:cs="宋体"/>
      <w:kern w:val="0"/>
      <w:sz w:val="24"/>
    </w:rPr>
  </w:style>
  <w:style w:type="paragraph" w:customStyle="1" w:styleId="302">
    <w:name w:val="样式 正文文本缩进 + 左侧:  2 字符 首行缩进:  2 字符"/>
    <w:basedOn w:val="36"/>
    <w:qFormat/>
    <w:uiPriority w:val="0"/>
    <w:pPr>
      <w:widowControl/>
      <w:numPr>
        <w:ilvl w:val="2"/>
        <w:numId w:val="17"/>
      </w:numPr>
      <w:tabs>
        <w:tab w:val="left" w:pos="2040"/>
      </w:tabs>
      <w:jc w:val="left"/>
    </w:pPr>
    <w:rPr>
      <w:rFonts w:ascii="Times New Roman" w:eastAsia="宋体" w:cs="宋体"/>
      <w:kern w:val="0"/>
      <w:sz w:val="24"/>
    </w:rPr>
  </w:style>
  <w:style w:type="paragraph" w:customStyle="1" w:styleId="303">
    <w:name w:val="样式 样式1 + Times New Roman 左侧:  0 厘米 首行缩进:  0 厘米"/>
    <w:basedOn w:val="152"/>
    <w:qFormat/>
    <w:uiPriority w:val="0"/>
    <w:pPr>
      <w:keepNext/>
      <w:keepLines/>
      <w:tabs>
        <w:tab w:val="left" w:pos="420"/>
        <w:tab w:val="left" w:pos="864"/>
        <w:tab w:val="left" w:pos="2240"/>
      </w:tabs>
      <w:snapToGrid w:val="0"/>
      <w:spacing w:beforeLines="100" w:after="0" w:line="500" w:lineRule="exact"/>
      <w:ind w:left="420" w:hanging="420"/>
      <w:outlineLvl w:val="0"/>
    </w:pPr>
    <w:rPr>
      <w:rFonts w:ascii="Times New Roman" w:eastAsia="黑体" w:cs="宋体"/>
      <w:bCs/>
      <w:kern w:val="44"/>
      <w:sz w:val="44"/>
    </w:rPr>
  </w:style>
  <w:style w:type="paragraph" w:customStyle="1" w:styleId="304">
    <w:name w:val="样式 样式 样式 标题 2节标题H2H21 + 红色 + 自动设置 + (符号) Times New Roman 左侧:  0..."/>
    <w:basedOn w:val="241"/>
    <w:qFormat/>
    <w:uiPriority w:val="0"/>
    <w:pPr>
      <w:numPr>
        <w:ilvl w:val="3"/>
        <w:numId w:val="18"/>
      </w:numPr>
      <w:tabs>
        <w:tab w:val="left" w:pos="1320"/>
        <w:tab w:val="left" w:pos="2040"/>
      </w:tabs>
      <w:spacing w:before="156"/>
    </w:pPr>
    <w:rPr>
      <w:rFonts w:cs="宋体"/>
      <w:szCs w:val="20"/>
    </w:rPr>
  </w:style>
  <w:style w:type="paragraph" w:customStyle="1" w:styleId="305">
    <w:name w:val="样式 样式 样式 标题 2节标题H2H21 + 红色 + 自动设置 + (符号) Times New Roman 段前: 0...."/>
    <w:next w:val="75"/>
    <w:qFormat/>
    <w:uiPriority w:val="0"/>
    <w:pPr>
      <w:numPr>
        <w:ilvl w:val="3"/>
        <w:numId w:val="19"/>
      </w:numPr>
      <w:tabs>
        <w:tab w:val="left" w:pos="432"/>
      </w:tabs>
      <w:spacing w:before="156"/>
    </w:pPr>
    <w:rPr>
      <w:rFonts w:eastAsia="黑体" w:cs="宋体" w:asciiTheme="minorHAnsi" w:hAnsiTheme="minorHAnsi"/>
      <w:b/>
      <w:bCs/>
      <w:kern w:val="2"/>
      <w:sz w:val="32"/>
      <w:lang w:val="en-US" w:eastAsia="zh-CN" w:bidi="ar-SA"/>
    </w:rPr>
  </w:style>
  <w:style w:type="paragraph" w:customStyle="1" w:styleId="306">
    <w:name w:val="样式 标题 3小标题小节标题H3H31H32H33u3标题 3 Char Char Char标题 3 Char...3"/>
    <w:basedOn w:val="7"/>
    <w:qFormat/>
    <w:uiPriority w:val="0"/>
    <w:pPr>
      <w:spacing w:beforeLines="50" w:line="400" w:lineRule="exact"/>
    </w:pPr>
    <w:rPr>
      <w:rFonts w:ascii="Times New Roman" w:hAnsi="Times New Roman" w:eastAsia="黑体" w:cs="宋体"/>
      <w:snapToGrid w:val="0"/>
      <w:sz w:val="28"/>
      <w:szCs w:val="20"/>
    </w:rPr>
  </w:style>
  <w:style w:type="paragraph" w:customStyle="1" w:styleId="307">
    <w:name w:val="样式 盐田1 + 段前: 0.5 行 段后: 0.5 行"/>
    <w:basedOn w:val="217"/>
    <w:qFormat/>
    <w:uiPriority w:val="0"/>
    <w:pPr>
      <w:numPr>
        <w:ilvl w:val="3"/>
        <w:numId w:val="20"/>
      </w:numPr>
      <w:tabs>
        <w:tab w:val="left" w:pos="432"/>
        <w:tab w:val="left" w:pos="1200"/>
      </w:tabs>
      <w:spacing w:before="156" w:after="156"/>
    </w:pPr>
  </w:style>
  <w:style w:type="paragraph" w:customStyle="1" w:styleId="308">
    <w:name w:val="样式 题注 + 居中"/>
    <w:basedOn w:val="24"/>
    <w:qFormat/>
    <w:uiPriority w:val="0"/>
    <w:pPr>
      <w:tabs>
        <w:tab w:val="left" w:pos="432"/>
      </w:tabs>
      <w:spacing w:line="360" w:lineRule="auto"/>
      <w:ind w:left="432" w:hanging="432"/>
      <w:jc w:val="center"/>
      <w:outlineLvl w:val="0"/>
    </w:pPr>
    <w:rPr>
      <w:rFonts w:cs="宋体"/>
      <w:sz w:val="28"/>
      <w:szCs w:val="28"/>
    </w:rPr>
  </w:style>
  <w:style w:type="paragraph" w:customStyle="1" w:styleId="309">
    <w:name w:val="表名称"/>
    <w:qFormat/>
    <w:uiPriority w:val="0"/>
    <w:pPr>
      <w:widowControl w:val="0"/>
      <w:jc w:val="both"/>
    </w:pPr>
    <w:rPr>
      <w:rFonts w:ascii="宋体" w:hAnsi="宋体" w:eastAsiaTheme="minorEastAsia" w:cstheme="minorBidi"/>
      <w:kern w:val="2"/>
      <w:sz w:val="18"/>
      <w:szCs w:val="18"/>
      <w:lang w:val="en-US" w:eastAsia="zh-CN" w:bidi="ar-SA"/>
    </w:rPr>
  </w:style>
  <w:style w:type="paragraph" w:customStyle="1" w:styleId="310">
    <w:name w:val="项目名称"/>
    <w:next w:val="226"/>
    <w:qFormat/>
    <w:uiPriority w:val="0"/>
    <w:pPr>
      <w:spacing w:beforeLines="50" w:afterLines="50"/>
      <w:jc w:val="center"/>
    </w:pPr>
    <w:rPr>
      <w:rFonts w:ascii="宋体" w:hAnsi="宋体" w:eastAsiaTheme="minorEastAsia" w:cstheme="minorBidi"/>
      <w:b/>
      <w:bCs/>
      <w:sz w:val="44"/>
      <w:szCs w:val="44"/>
      <w:lang w:val="en-US" w:eastAsia="zh-CN" w:bidi="ar-SA"/>
    </w:rPr>
  </w:style>
  <w:style w:type="paragraph" w:customStyle="1" w:styleId="311">
    <w:name w:val="border2"/>
    <w:basedOn w:val="1"/>
    <w:qFormat/>
    <w:uiPriority w:val="0"/>
    <w:pPr>
      <w:widowControl/>
      <w:pBdr>
        <w:left w:val="single" w:color="999999" w:sz="6" w:space="0"/>
        <w:right w:val="single" w:color="999999" w:sz="6" w:space="0"/>
      </w:pBdr>
      <w:shd w:val="clear" w:color="auto" w:fill="FEF8ED"/>
      <w:spacing w:before="100" w:beforeAutospacing="1" w:after="100" w:afterAutospacing="1"/>
      <w:jc w:val="left"/>
    </w:pPr>
    <w:rPr>
      <w:rFonts w:ascii="宋体" w:hAnsi="宋体" w:cs="宋体"/>
      <w:kern w:val="0"/>
      <w:sz w:val="24"/>
    </w:rPr>
  </w:style>
  <w:style w:type="paragraph" w:customStyle="1" w:styleId="312">
    <w:name w:val="正文正本"/>
    <w:basedOn w:val="1"/>
    <w:next w:val="2"/>
    <w:qFormat/>
    <w:uiPriority w:val="0"/>
    <w:pPr>
      <w:widowControl/>
      <w:spacing w:line="360" w:lineRule="auto"/>
      <w:ind w:firstLine="510"/>
      <w:jc w:val="left"/>
    </w:pPr>
    <w:rPr>
      <w:kern w:val="0"/>
      <w:sz w:val="24"/>
    </w:rPr>
  </w:style>
  <w:style w:type="paragraph" w:customStyle="1" w:styleId="313">
    <w:name w:val="样式 表格标题 + 首行缩进:  0.61 字符1"/>
    <w:basedOn w:val="199"/>
    <w:qFormat/>
    <w:uiPriority w:val="0"/>
    <w:pPr>
      <w:wordWrap w:val="0"/>
      <w:adjustRightInd w:val="0"/>
      <w:spacing w:before="0" w:after="0"/>
      <w:ind w:left="0" w:leftChars="0"/>
    </w:pPr>
    <w:rPr>
      <w:rFonts w:ascii="Times New Roman" w:eastAsia="宋体" w:cs="宋体"/>
      <w:b w:val="0"/>
      <w:kern w:val="0"/>
      <w:sz w:val="21"/>
    </w:rPr>
  </w:style>
  <w:style w:type="paragraph" w:customStyle="1" w:styleId="314">
    <w:name w:val="样式 样式 表格标题 + 首行缩进:  0.61 字符 + 加粗 首行缩进:  0.61 字符"/>
    <w:basedOn w:val="172"/>
    <w:qFormat/>
    <w:uiPriority w:val="0"/>
    <w:pPr>
      <w:ind w:left="0" w:leftChars="0" w:firstLine="0" w:firstLineChars="0"/>
    </w:pPr>
    <w:rPr>
      <w:b/>
      <w:bCs/>
    </w:rPr>
  </w:style>
  <w:style w:type="character" w:customStyle="1" w:styleId="315">
    <w:name w:val="标题2"/>
    <w:basedOn w:val="89"/>
    <w:qFormat/>
    <w:uiPriority w:val="0"/>
  </w:style>
  <w:style w:type="paragraph" w:customStyle="1" w:styleId="316">
    <w:name w:val="样式 标题 4H4H41小小节河石管道4H42u4H43H411H421u41H44H412H422..."/>
    <w:basedOn w:val="8"/>
    <w:qFormat/>
    <w:uiPriority w:val="0"/>
    <w:pPr>
      <w:tabs>
        <w:tab w:val="left" w:pos="851"/>
        <w:tab w:val="left" w:pos="2240"/>
      </w:tabs>
      <w:spacing w:beforeLines="50" w:line="240" w:lineRule="auto"/>
      <w:ind w:left="543"/>
    </w:pPr>
    <w:rPr>
      <w:rFonts w:ascii="Times New Roman" w:hAnsi="Times New Roman" w:cs="宋体"/>
      <w:i/>
      <w:iCs/>
      <w:szCs w:val="20"/>
    </w:rPr>
  </w:style>
  <w:style w:type="paragraph" w:customStyle="1" w:styleId="317">
    <w:name w:val="样式 标题 4H4H41小小节河石管道4H42u4H43H411H421u41H44H412H422...1"/>
    <w:basedOn w:val="8"/>
    <w:qFormat/>
    <w:uiPriority w:val="0"/>
    <w:pPr>
      <w:tabs>
        <w:tab w:val="left" w:pos="851"/>
        <w:tab w:val="left" w:pos="2240"/>
      </w:tabs>
      <w:spacing w:beforeLines="50" w:line="240" w:lineRule="auto"/>
    </w:pPr>
    <w:rPr>
      <w:rFonts w:ascii="Times New Roman" w:hAnsi="Times New Roman" w:cs="宋体"/>
      <w:i/>
      <w:iCs/>
      <w:szCs w:val="20"/>
    </w:rPr>
  </w:style>
  <w:style w:type="paragraph" w:customStyle="1" w:styleId="318">
    <w:name w:val="样式 标题 3标题 3盐田河石管道小标题小节标题H3H31H32H33u3标题 3 Char Char Ch..."/>
    <w:basedOn w:val="7"/>
    <w:qFormat/>
    <w:uiPriority w:val="0"/>
    <w:pPr>
      <w:tabs>
        <w:tab w:val="left" w:pos="1820"/>
        <w:tab w:val="left" w:pos="1987"/>
      </w:tabs>
      <w:spacing w:line="240" w:lineRule="auto"/>
      <w:ind w:left="1987" w:hanging="420"/>
    </w:pPr>
    <w:rPr>
      <w:rFonts w:ascii="Times New Roman" w:hAnsi="Times New Roman" w:cs="宋体"/>
      <w:sz w:val="28"/>
      <w:szCs w:val="20"/>
    </w:rPr>
  </w:style>
  <w:style w:type="paragraph" w:customStyle="1" w:styleId="319">
    <w:name w:val="正文2"/>
    <w:basedOn w:val="1"/>
    <w:semiHidden/>
    <w:qFormat/>
    <w:uiPriority w:val="0"/>
    <w:pPr>
      <w:spacing w:line="360" w:lineRule="auto"/>
      <w:ind w:firstLine="567"/>
    </w:pPr>
    <w:rPr>
      <w:sz w:val="24"/>
    </w:rPr>
  </w:style>
  <w:style w:type="paragraph" w:customStyle="1" w:styleId="320">
    <w:name w:val="河石管道 表头"/>
    <w:semiHidden/>
    <w:qFormat/>
    <w:uiPriority w:val="0"/>
    <w:pPr>
      <w:jc w:val="center"/>
    </w:pPr>
    <w:rPr>
      <w:rFonts w:asciiTheme="minorHAnsi" w:hAnsiTheme="minorHAnsi" w:eastAsiaTheme="minorEastAsia" w:cstheme="minorBidi"/>
      <w:b/>
      <w:bCs/>
      <w:sz w:val="18"/>
      <w:lang w:val="en-US" w:eastAsia="zh-CN" w:bidi="ar-SA"/>
    </w:rPr>
  </w:style>
  <w:style w:type="paragraph" w:customStyle="1" w:styleId="321">
    <w:name w:val="河石管道 表格正文"/>
    <w:semiHidden/>
    <w:qFormat/>
    <w:uiPriority w:val="0"/>
    <w:pPr>
      <w:jc w:val="center"/>
    </w:pPr>
    <w:rPr>
      <w:rFonts w:asciiTheme="minorHAnsi" w:hAnsiTheme="minorHAnsi" w:eastAsiaTheme="minorEastAsia" w:cstheme="minorBidi"/>
      <w:kern w:val="2"/>
      <w:sz w:val="18"/>
      <w:szCs w:val="21"/>
      <w:lang w:val="en-US" w:eastAsia="zh-CN" w:bidi="ar-SA"/>
    </w:rPr>
  </w:style>
  <w:style w:type="paragraph" w:customStyle="1" w:styleId="322">
    <w:name w:val="技术规范"/>
    <w:basedOn w:val="206"/>
    <w:semiHidden/>
    <w:qFormat/>
    <w:uiPriority w:val="0"/>
    <w:pPr>
      <w:widowControl/>
      <w:tabs>
        <w:tab w:val="left" w:pos="360"/>
        <w:tab w:val="left" w:pos="900"/>
        <w:tab w:val="clear" w:pos="432"/>
      </w:tabs>
      <w:spacing w:afterLines="50"/>
      <w:ind w:left="420" w:hanging="420"/>
      <w:jc w:val="left"/>
    </w:pPr>
    <w:rPr>
      <w:kern w:val="0"/>
    </w:rPr>
  </w:style>
  <w:style w:type="character" w:customStyle="1" w:styleId="323">
    <w:name w:val="postbody1"/>
    <w:basedOn w:val="89"/>
    <w:qFormat/>
    <w:uiPriority w:val="0"/>
    <w:rPr>
      <w:spacing w:val="270"/>
      <w:sz w:val="18"/>
      <w:szCs w:val="18"/>
    </w:rPr>
  </w:style>
  <w:style w:type="paragraph" w:customStyle="1" w:styleId="324">
    <w:name w:val="图题"/>
    <w:basedOn w:val="1"/>
    <w:next w:val="1"/>
    <w:link w:val="325"/>
    <w:qFormat/>
    <w:uiPriority w:val="0"/>
    <w:pPr>
      <w:keepNext/>
      <w:keepLines/>
      <w:widowControl/>
      <w:adjustRightInd w:val="0"/>
      <w:spacing w:before="120" w:after="60"/>
      <w:jc w:val="center"/>
      <w:outlineLvl w:val="5"/>
    </w:pPr>
    <w:rPr>
      <w:rFonts w:ascii="黑体" w:eastAsia="黑体"/>
      <w:b/>
      <w:sz w:val="24"/>
    </w:rPr>
  </w:style>
  <w:style w:type="character" w:customStyle="1" w:styleId="325">
    <w:name w:val="图题 Char"/>
    <w:basedOn w:val="89"/>
    <w:link w:val="324"/>
    <w:qFormat/>
    <w:uiPriority w:val="0"/>
    <w:rPr>
      <w:rFonts w:ascii="黑体" w:eastAsia="黑体"/>
      <w:b/>
      <w:kern w:val="2"/>
      <w:sz w:val="24"/>
    </w:rPr>
  </w:style>
  <w:style w:type="paragraph" w:customStyle="1" w:styleId="326">
    <w:name w:val="正文1"/>
    <w:basedOn w:val="1"/>
    <w:link w:val="327"/>
    <w:qFormat/>
    <w:uiPriority w:val="0"/>
    <w:pPr>
      <w:spacing w:line="360" w:lineRule="auto"/>
      <w:ind w:firstLine="200" w:firstLineChars="200"/>
      <w:jc w:val="left"/>
    </w:pPr>
    <w:rPr>
      <w:rFonts w:ascii="Calibri" w:hAnsi="Calibri" w:cstheme="minorBidi"/>
      <w:kern w:val="0"/>
      <w:sz w:val="24"/>
    </w:rPr>
  </w:style>
  <w:style w:type="character" w:customStyle="1" w:styleId="327">
    <w:name w:val="正文1 Char"/>
    <w:basedOn w:val="89"/>
    <w:link w:val="326"/>
    <w:qFormat/>
    <w:uiPriority w:val="0"/>
    <w:rPr>
      <w:rFonts w:ascii="Calibri" w:hAnsi="Calibri" w:eastAsia="宋体"/>
      <w:sz w:val="24"/>
    </w:rPr>
  </w:style>
  <w:style w:type="character" w:customStyle="1" w:styleId="328">
    <w:name w:val="block"/>
    <w:basedOn w:val="89"/>
    <w:semiHidden/>
    <w:qFormat/>
    <w:uiPriority w:val="0"/>
  </w:style>
  <w:style w:type="character" w:customStyle="1" w:styleId="329">
    <w:name w:val="block1"/>
    <w:basedOn w:val="89"/>
    <w:semiHidden/>
    <w:qFormat/>
    <w:uiPriority w:val="0"/>
  </w:style>
  <w:style w:type="paragraph" w:customStyle="1" w:styleId="33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FF0000"/>
      <w:kern w:val="0"/>
      <w:szCs w:val="21"/>
    </w:rPr>
  </w:style>
  <w:style w:type="paragraph" w:customStyle="1" w:styleId="33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32">
    <w:name w:val="xl26"/>
    <w:basedOn w:val="1"/>
    <w:qFormat/>
    <w:uiPriority w:val="0"/>
    <w:pPr>
      <w:widowControl/>
      <w:pBdr>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333">
    <w:name w:val="首行缩进  2 字符"/>
    <w:basedOn w:val="1"/>
    <w:qFormat/>
    <w:uiPriority w:val="0"/>
    <w:pPr>
      <w:spacing w:line="480" w:lineRule="exact"/>
      <w:ind w:firstLine="480" w:firstLineChars="200"/>
    </w:pPr>
    <w:rPr>
      <w:rFonts w:ascii="宋体" w:hAnsi="宋体" w:cs="宋体"/>
      <w:kern w:val="0"/>
      <w:sz w:val="24"/>
    </w:rPr>
  </w:style>
  <w:style w:type="paragraph" w:customStyle="1" w:styleId="334">
    <w:name w:val="报告"/>
    <w:basedOn w:val="1"/>
    <w:qFormat/>
    <w:uiPriority w:val="0"/>
    <w:pPr>
      <w:adjustRightInd w:val="0"/>
      <w:spacing w:line="360" w:lineRule="auto"/>
      <w:ind w:firstLine="505"/>
      <w:textAlignment w:val="baseline"/>
    </w:pPr>
    <w:rPr>
      <w:kern w:val="0"/>
      <w:sz w:val="24"/>
    </w:rPr>
  </w:style>
  <w:style w:type="paragraph" w:customStyle="1" w:styleId="335">
    <w:name w:val="正文 1"/>
    <w:basedOn w:val="1"/>
    <w:qFormat/>
    <w:uiPriority w:val="0"/>
    <w:pPr>
      <w:spacing w:line="460" w:lineRule="exact"/>
      <w:ind w:firstLine="567"/>
    </w:pPr>
    <w:rPr>
      <w:sz w:val="28"/>
    </w:rPr>
  </w:style>
  <w:style w:type="paragraph" w:customStyle="1" w:styleId="336">
    <w:name w:val="表内格式"/>
    <w:basedOn w:val="1"/>
    <w:link w:val="337"/>
    <w:qFormat/>
    <w:uiPriority w:val="0"/>
    <w:pPr>
      <w:jc w:val="center"/>
    </w:pPr>
    <w:rPr>
      <w:sz w:val="18"/>
    </w:rPr>
  </w:style>
  <w:style w:type="character" w:customStyle="1" w:styleId="337">
    <w:name w:val="表内格式 Char1"/>
    <w:basedOn w:val="89"/>
    <w:link w:val="336"/>
    <w:qFormat/>
    <w:uiPriority w:val="0"/>
    <w:rPr>
      <w:kern w:val="2"/>
      <w:sz w:val="18"/>
    </w:rPr>
  </w:style>
  <w:style w:type="paragraph" w:customStyle="1" w:styleId="338">
    <w:name w:val="Char Char2 Char Char Char Char Char Char Char"/>
    <w:basedOn w:val="28"/>
    <w:qFormat/>
    <w:uiPriority w:val="0"/>
    <w:pPr>
      <w:spacing w:line="436" w:lineRule="exact"/>
    </w:pPr>
    <w:rPr>
      <w:rFonts w:ascii="Tahoma" w:hAnsi="Tahoma"/>
      <w:b/>
      <w:sz w:val="24"/>
    </w:rPr>
  </w:style>
  <w:style w:type="paragraph" w:customStyle="1" w:styleId="339">
    <w:name w:val="正文(首行缩进)"/>
    <w:basedOn w:val="1"/>
    <w:link w:val="340"/>
    <w:qFormat/>
    <w:uiPriority w:val="0"/>
    <w:pPr>
      <w:adjustRightInd w:val="0"/>
      <w:snapToGrid w:val="0"/>
      <w:spacing w:line="360" w:lineRule="auto"/>
      <w:ind w:firstLine="200" w:firstLineChars="200"/>
    </w:pPr>
    <w:rPr>
      <w:rFonts w:eastAsia="Times New Roman"/>
      <w:snapToGrid w:val="0"/>
      <w:kern w:val="0"/>
      <w:sz w:val="24"/>
    </w:rPr>
  </w:style>
  <w:style w:type="character" w:customStyle="1" w:styleId="340">
    <w:name w:val="正文(首行缩进) Char"/>
    <w:basedOn w:val="89"/>
    <w:link w:val="339"/>
    <w:qFormat/>
    <w:uiPriority w:val="0"/>
    <w:rPr>
      <w:rFonts w:eastAsia="Times New Roman"/>
      <w:snapToGrid w:val="0"/>
      <w:sz w:val="24"/>
      <w:szCs w:val="24"/>
    </w:rPr>
  </w:style>
  <w:style w:type="paragraph" w:customStyle="1" w:styleId="341">
    <w:name w:val="Char2"/>
    <w:basedOn w:val="7"/>
    <w:link w:val="342"/>
    <w:qFormat/>
    <w:uiPriority w:val="0"/>
    <w:pPr>
      <w:tabs>
        <w:tab w:val="left" w:pos="360"/>
        <w:tab w:val="left" w:pos="900"/>
        <w:tab w:val="left" w:pos="1649"/>
      </w:tabs>
      <w:spacing w:before="120" w:after="120"/>
      <w:jc w:val="left"/>
    </w:pPr>
    <w:rPr>
      <w:rFonts w:ascii="Times New Roman" w:hAnsi="Times New Roman" w:eastAsia="黑体"/>
      <w:b w:val="0"/>
      <w:bCs w:val="0"/>
      <w:snapToGrid w:val="0"/>
      <w:szCs w:val="24"/>
    </w:rPr>
  </w:style>
  <w:style w:type="character" w:customStyle="1" w:styleId="342">
    <w:name w:val="Char Char11"/>
    <w:link w:val="341"/>
    <w:qFormat/>
    <w:locked/>
    <w:uiPriority w:val="0"/>
    <w:rPr>
      <w:rFonts w:ascii="Times New Roman" w:hAnsi="Times New Roman" w:eastAsia="黑体"/>
      <w:snapToGrid w:val="0"/>
      <w:sz w:val="32"/>
      <w:szCs w:val="24"/>
    </w:rPr>
  </w:style>
  <w:style w:type="paragraph" w:customStyle="1" w:styleId="343">
    <w:name w:val="内部地址姓名"/>
    <w:basedOn w:val="1"/>
    <w:qFormat/>
    <w:uiPriority w:val="0"/>
    <w:rPr>
      <w:rFonts w:ascii="Roman PS" w:hAnsi="Roman PS"/>
    </w:rPr>
  </w:style>
  <w:style w:type="paragraph" w:customStyle="1" w:styleId="344">
    <w:name w:val="表蕊"/>
    <w:basedOn w:val="1"/>
    <w:qFormat/>
    <w:uiPriority w:val="0"/>
    <w:pPr>
      <w:adjustRightInd w:val="0"/>
      <w:spacing w:line="320" w:lineRule="atLeast"/>
      <w:jc w:val="left"/>
      <w:textAlignment w:val="baseline"/>
    </w:pPr>
    <w:rPr>
      <w:rFonts w:eastAsia="楷体_GB2312"/>
      <w:spacing w:val="-10"/>
      <w:kern w:val="0"/>
    </w:rPr>
  </w:style>
  <w:style w:type="paragraph" w:customStyle="1" w:styleId="345">
    <w:name w:val="表前文"/>
    <w:basedOn w:val="1"/>
    <w:qFormat/>
    <w:uiPriority w:val="0"/>
    <w:pPr>
      <w:adjustRightInd w:val="0"/>
      <w:spacing w:after="120" w:line="400" w:lineRule="exact"/>
      <w:ind w:firstLine="601"/>
      <w:textAlignment w:val="baseline"/>
    </w:pPr>
    <w:rPr>
      <w:rFonts w:eastAsia="楷体_GB2312"/>
      <w:spacing w:val="8"/>
      <w:kern w:val="0"/>
      <w:sz w:val="28"/>
    </w:rPr>
  </w:style>
  <w:style w:type="character" w:customStyle="1" w:styleId="346">
    <w:name w:val="news1"/>
    <w:basedOn w:val="89"/>
    <w:qFormat/>
    <w:uiPriority w:val="0"/>
    <w:rPr>
      <w:color w:val="000000"/>
      <w:sz w:val="21"/>
      <w:szCs w:val="21"/>
      <w:u w:val="none"/>
    </w:rPr>
  </w:style>
  <w:style w:type="character" w:customStyle="1" w:styleId="347">
    <w:name w:val="text"/>
    <w:basedOn w:val="89"/>
    <w:qFormat/>
    <w:uiPriority w:val="0"/>
  </w:style>
  <w:style w:type="character" w:customStyle="1" w:styleId="348">
    <w:name w:val="news_content1"/>
    <w:basedOn w:val="89"/>
    <w:qFormat/>
    <w:uiPriority w:val="0"/>
    <w:rPr>
      <w:sz w:val="21"/>
      <w:szCs w:val="21"/>
    </w:rPr>
  </w:style>
  <w:style w:type="paragraph" w:customStyle="1" w:styleId="349">
    <w:name w:val="样式 表内-文字 +"/>
    <w:basedOn w:val="1"/>
    <w:qFormat/>
    <w:uiPriority w:val="0"/>
    <w:pPr>
      <w:tabs>
        <w:tab w:val="left" w:pos="420"/>
      </w:tabs>
      <w:spacing w:line="320" w:lineRule="exact"/>
      <w:jc w:val="center"/>
    </w:pPr>
    <w:rPr>
      <w:rFonts w:eastAsia="楷体_GB2312" w:cs="宋体"/>
      <w:color w:val="000000"/>
      <w:kern w:val="0"/>
      <w:szCs w:val="21"/>
    </w:rPr>
  </w:style>
  <w:style w:type="paragraph" w:customStyle="1" w:styleId="350">
    <w:name w:val="10"/>
    <w:basedOn w:val="1"/>
    <w:next w:val="36"/>
    <w:qFormat/>
    <w:uiPriority w:val="0"/>
    <w:pPr>
      <w:tabs>
        <w:tab w:val="left" w:pos="980"/>
      </w:tabs>
      <w:adjustRightInd w:val="0"/>
      <w:snapToGrid w:val="0"/>
      <w:spacing w:line="360" w:lineRule="auto"/>
      <w:ind w:firstLine="560" w:firstLineChars="200"/>
    </w:pPr>
    <w:rPr>
      <w:rFonts w:ascii="仿宋_GB2312" w:eastAsia="仿宋_GB2312"/>
      <w:sz w:val="28"/>
      <w:szCs w:val="28"/>
    </w:rPr>
  </w:style>
  <w:style w:type="paragraph" w:customStyle="1" w:styleId="351">
    <w:name w:val="正文1 Char Char1 Char"/>
    <w:basedOn w:val="1"/>
    <w:qFormat/>
    <w:uiPriority w:val="0"/>
    <w:pPr>
      <w:adjustRightInd w:val="0"/>
      <w:snapToGrid w:val="0"/>
      <w:spacing w:line="516" w:lineRule="exact"/>
      <w:ind w:firstLine="200" w:firstLineChars="200"/>
    </w:pPr>
    <w:rPr>
      <w:rFonts w:eastAsia="楷体_GB2312"/>
      <w:sz w:val="26"/>
      <w:szCs w:val="26"/>
    </w:rPr>
  </w:style>
  <w:style w:type="paragraph" w:customStyle="1" w:styleId="352">
    <w:name w:val="图名 Char"/>
    <w:basedOn w:val="22"/>
    <w:qFormat/>
    <w:uiPriority w:val="0"/>
    <w:pPr>
      <w:spacing w:line="480" w:lineRule="exact"/>
      <w:ind w:left="0" w:firstLine="0"/>
      <w:jc w:val="center"/>
    </w:pPr>
    <w:rPr>
      <w:rFonts w:eastAsia="黑体"/>
      <w:sz w:val="24"/>
      <w:szCs w:val="24"/>
    </w:rPr>
  </w:style>
  <w:style w:type="paragraph" w:customStyle="1" w:styleId="353">
    <w:name w:val="样式 目录 1 + 首行缩进:  2 字符"/>
    <w:basedOn w:val="59"/>
    <w:qFormat/>
    <w:uiPriority w:val="0"/>
    <w:pPr>
      <w:tabs>
        <w:tab w:val="left" w:pos="300"/>
        <w:tab w:val="left" w:pos="420"/>
        <w:tab w:val="right" w:leader="dot" w:pos="8720"/>
        <w:tab w:val="right" w:leader="dot" w:pos="8947"/>
        <w:tab w:val="right" w:leader="dot" w:pos="9060"/>
      </w:tabs>
      <w:spacing w:line="480" w:lineRule="exact"/>
    </w:pPr>
    <w:rPr>
      <w:rFonts w:ascii="Comic Sans MS" w:hAnsi="Comic Sans MS" w:eastAsia="楷体_GB2312" w:cs="宋体"/>
      <w:sz w:val="20"/>
    </w:rPr>
  </w:style>
  <w:style w:type="paragraph" w:customStyle="1" w:styleId="354">
    <w:name w:val="样式 目录 1 + 首行缩进:  2 字符1"/>
    <w:basedOn w:val="59"/>
    <w:qFormat/>
    <w:uiPriority w:val="0"/>
    <w:pPr>
      <w:tabs>
        <w:tab w:val="left" w:pos="300"/>
        <w:tab w:val="left" w:pos="420"/>
        <w:tab w:val="right" w:leader="dot" w:pos="8720"/>
        <w:tab w:val="right" w:leader="dot" w:pos="8947"/>
        <w:tab w:val="right" w:leader="dot" w:pos="9060"/>
      </w:tabs>
      <w:spacing w:line="480" w:lineRule="exact"/>
    </w:pPr>
    <w:rPr>
      <w:rFonts w:ascii="Comic Sans MS" w:hAnsi="Comic Sans MS" w:eastAsia="楷体_GB2312" w:cs="宋体"/>
      <w:sz w:val="20"/>
    </w:rPr>
  </w:style>
  <w:style w:type="paragraph" w:customStyle="1" w:styleId="355">
    <w:name w:val="表格（小）"/>
    <w:basedOn w:val="1"/>
    <w:qFormat/>
    <w:uiPriority w:val="0"/>
    <w:pPr>
      <w:adjustRightInd w:val="0"/>
      <w:snapToGrid w:val="0"/>
    </w:pPr>
    <w:rPr>
      <w:snapToGrid w:val="0"/>
      <w:kern w:val="0"/>
    </w:rPr>
  </w:style>
  <w:style w:type="paragraph" w:customStyle="1" w:styleId="356">
    <w:name w:val="无间隔1"/>
    <w:link w:val="357"/>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357">
    <w:name w:val="无间隔 Char"/>
    <w:basedOn w:val="89"/>
    <w:link w:val="356"/>
    <w:qFormat/>
    <w:uiPriority w:val="0"/>
    <w:rPr>
      <w:kern w:val="2"/>
      <w:sz w:val="21"/>
      <w:szCs w:val="24"/>
    </w:rPr>
  </w:style>
  <w:style w:type="paragraph" w:customStyle="1" w:styleId="358">
    <w:name w:val="TOC 标题1"/>
    <w:basedOn w:val="5"/>
    <w:next w:val="1"/>
    <w:qFormat/>
    <w:uiPriority w:val="39"/>
    <w:pPr>
      <w:widowControl/>
      <w:spacing w:before="260" w:after="260" w:line="276" w:lineRule="auto"/>
      <w:jc w:val="left"/>
      <w:outlineLvl w:val="9"/>
    </w:pPr>
    <w:rPr>
      <w:rFonts w:ascii="Cambria" w:hAnsi="Cambria"/>
      <w:b w:val="0"/>
      <w:color w:val="365F91"/>
      <w:kern w:val="0"/>
      <w:sz w:val="28"/>
      <w:szCs w:val="28"/>
    </w:rPr>
  </w:style>
  <w:style w:type="paragraph" w:customStyle="1" w:styleId="359">
    <w:name w:val="样式1 + (西文) Times New Roman (中文) 新宋体"/>
    <w:basedOn w:val="152"/>
    <w:link w:val="360"/>
    <w:qFormat/>
    <w:uiPriority w:val="0"/>
    <w:pPr>
      <w:spacing w:after="0" w:line="360" w:lineRule="auto"/>
      <w:ind w:firstLine="200" w:firstLineChars="200"/>
    </w:pPr>
    <w:rPr>
      <w:rFonts w:ascii="Times New Roman" w:eastAsia="新宋体" w:cs="Tahoma"/>
      <w:color w:val="000000"/>
      <w:szCs w:val="21"/>
    </w:rPr>
  </w:style>
  <w:style w:type="character" w:customStyle="1" w:styleId="360">
    <w:name w:val="样式1 + (西文) Times New Roman (中文) 新宋体 Char"/>
    <w:basedOn w:val="153"/>
    <w:link w:val="359"/>
    <w:qFormat/>
    <w:uiPriority w:val="0"/>
    <w:rPr>
      <w:rFonts w:ascii="宋体" w:eastAsia="新宋体" w:cs="Tahoma"/>
      <w:color w:val="000000"/>
      <w:kern w:val="2"/>
      <w:sz w:val="24"/>
      <w:szCs w:val="21"/>
    </w:rPr>
  </w:style>
  <w:style w:type="paragraph" w:customStyle="1" w:styleId="361">
    <w:name w:val="正文缩"/>
    <w:basedOn w:val="1"/>
    <w:next w:val="1"/>
    <w:qFormat/>
    <w:uiPriority w:val="0"/>
    <w:pPr>
      <w:adjustRightInd w:val="0"/>
      <w:snapToGrid w:val="0"/>
      <w:spacing w:line="480" w:lineRule="atLeast"/>
      <w:ind w:firstLine="567"/>
      <w:jc w:val="left"/>
      <w:textAlignment w:val="baseline"/>
    </w:pPr>
    <w:rPr>
      <w:rFonts w:ascii="宋体"/>
      <w:spacing w:val="6"/>
      <w:kern w:val="0"/>
      <w:sz w:val="28"/>
    </w:rPr>
  </w:style>
  <w:style w:type="paragraph" w:customStyle="1" w:styleId="362">
    <w:name w:val="表格小五（窄）"/>
    <w:basedOn w:val="152"/>
    <w:qFormat/>
    <w:uiPriority w:val="0"/>
    <w:pPr>
      <w:spacing w:after="0" w:line="300" w:lineRule="exact"/>
      <w:ind w:firstLine="0"/>
      <w:jc w:val="center"/>
    </w:pPr>
    <w:rPr>
      <w:rFonts w:ascii="Times New Roman"/>
      <w:color w:val="0000FF"/>
      <w:sz w:val="18"/>
      <w:szCs w:val="24"/>
    </w:rPr>
  </w:style>
  <w:style w:type="character" w:customStyle="1" w:styleId="363">
    <w:name w:val="表格文字 Char1"/>
    <w:qFormat/>
    <w:uiPriority w:val="99"/>
    <w:rPr>
      <w:rFonts w:ascii="方正楷体简体" w:hAnsi="Cambria" w:eastAsia="方正楷体简体" w:cs="Times New Roman"/>
      <w:bCs/>
      <w:kern w:val="0"/>
      <w:sz w:val="20"/>
      <w:szCs w:val="21"/>
    </w:rPr>
  </w:style>
  <w:style w:type="paragraph" w:customStyle="1" w:styleId="364">
    <w:name w:val="font-title25"/>
    <w:basedOn w:val="1"/>
    <w:qFormat/>
    <w:uiPriority w:val="0"/>
    <w:pPr>
      <w:widowControl/>
      <w:spacing w:before="100" w:beforeAutospacing="1" w:after="100" w:afterAutospacing="1" w:line="336" w:lineRule="auto"/>
      <w:jc w:val="left"/>
    </w:pPr>
    <w:rPr>
      <w:rFonts w:cs="Arial"/>
      <w:b/>
      <w:bCs/>
      <w:color w:val="000066"/>
      <w:kern w:val="0"/>
      <w:sz w:val="16"/>
      <w:szCs w:val="16"/>
    </w:rPr>
  </w:style>
  <w:style w:type="character" w:customStyle="1" w:styleId="365">
    <w:name w:val="表格 Char Char"/>
    <w:basedOn w:val="89"/>
    <w:qFormat/>
    <w:uiPriority w:val="0"/>
    <w:rPr>
      <w:rFonts w:eastAsia="宋体"/>
      <w:kern w:val="2"/>
      <w:sz w:val="21"/>
      <w:szCs w:val="21"/>
      <w:lang w:val="en-US" w:eastAsia="zh-CN" w:bidi="ar-SA"/>
    </w:rPr>
  </w:style>
  <w:style w:type="paragraph" w:customStyle="1" w:styleId="366">
    <w:name w:val="居中表内文 Char Char Char Char3 Char Char"/>
    <w:basedOn w:val="1"/>
    <w:qFormat/>
    <w:uiPriority w:val="0"/>
    <w:pPr>
      <w:spacing w:line="240" w:lineRule="exact"/>
      <w:jc w:val="center"/>
    </w:pPr>
    <w:rPr>
      <w:rFonts w:cs="宋体"/>
      <w:sz w:val="18"/>
    </w:rPr>
  </w:style>
  <w:style w:type="paragraph" w:customStyle="1" w:styleId="367">
    <w:name w:val="小表格"/>
    <w:basedOn w:val="1"/>
    <w:qFormat/>
    <w:uiPriority w:val="0"/>
    <w:pPr>
      <w:spacing w:line="520" w:lineRule="exact"/>
      <w:ind w:firstLine="360" w:firstLineChars="200"/>
    </w:pPr>
    <w:rPr>
      <w:rFonts w:eastAsia="华文仿宋"/>
      <w:sz w:val="18"/>
      <w:szCs w:val="18"/>
    </w:rPr>
  </w:style>
  <w:style w:type="paragraph" w:customStyle="1" w:styleId="368">
    <w:name w:val="hb1"/>
    <w:basedOn w:val="2"/>
    <w:link w:val="369"/>
    <w:qFormat/>
    <w:uiPriority w:val="0"/>
    <w:pPr>
      <w:spacing w:after="0" w:line="460" w:lineRule="exact"/>
      <w:ind w:firstLine="482"/>
    </w:pPr>
    <w:rPr>
      <w:rFonts w:ascii="宋体" w:hAnsi="宋体"/>
      <w:color w:val="000000"/>
      <w:sz w:val="24"/>
      <w:szCs w:val="20"/>
    </w:rPr>
  </w:style>
  <w:style w:type="character" w:customStyle="1" w:styleId="369">
    <w:name w:val="hb1 Char"/>
    <w:basedOn w:val="89"/>
    <w:link w:val="368"/>
    <w:qFormat/>
    <w:uiPriority w:val="0"/>
    <w:rPr>
      <w:rFonts w:ascii="宋体" w:hAnsi="宋体"/>
      <w:color w:val="000000"/>
      <w:kern w:val="2"/>
      <w:sz w:val="24"/>
    </w:rPr>
  </w:style>
  <w:style w:type="paragraph" w:customStyle="1" w:styleId="370">
    <w:name w:val="CM98"/>
    <w:basedOn w:val="107"/>
    <w:next w:val="107"/>
    <w:qFormat/>
    <w:uiPriority w:val="0"/>
    <w:pPr>
      <w:spacing w:after="68"/>
    </w:pPr>
    <w:rPr>
      <w:rFonts w:ascii="黑体" w:eastAsia="黑体" w:cs="Times New Roman"/>
      <w:color w:val="auto"/>
    </w:rPr>
  </w:style>
  <w:style w:type="paragraph" w:customStyle="1" w:styleId="371">
    <w:name w:val="列出段落1"/>
    <w:basedOn w:val="1"/>
    <w:qFormat/>
    <w:uiPriority w:val="0"/>
    <w:pPr>
      <w:ind w:firstLine="420" w:firstLineChars="200"/>
    </w:pPr>
    <w:rPr>
      <w:rFonts w:asciiTheme="minorHAnsi" w:hAnsiTheme="minorHAnsi" w:eastAsiaTheme="minorEastAsia" w:cstheme="minorBidi"/>
      <w:szCs w:val="22"/>
    </w:rPr>
  </w:style>
  <w:style w:type="character" w:customStyle="1" w:styleId="372">
    <w:name w:val="标题 4 Char1"/>
    <w:basedOn w:val="89"/>
    <w:qFormat/>
    <w:uiPriority w:val="9"/>
    <w:rPr>
      <w:rFonts w:ascii="Arial" w:hAnsi="Arial" w:eastAsia="黑体" w:cs="Times New Roman"/>
      <w:b/>
      <w:bCs/>
      <w:sz w:val="28"/>
      <w:szCs w:val="28"/>
    </w:rPr>
  </w:style>
  <w:style w:type="paragraph" w:customStyle="1" w:styleId="373">
    <w:name w:val="Char Char Char Char Char Char Char5"/>
    <w:basedOn w:val="1"/>
    <w:qFormat/>
    <w:uiPriority w:val="0"/>
    <w:pPr>
      <w:spacing w:line="360" w:lineRule="auto"/>
      <w:ind w:firstLine="200" w:firstLineChars="200"/>
    </w:pPr>
    <w:rPr>
      <w:rFonts w:ascii="宋体" w:hAnsi="宋体" w:cs="宋体"/>
      <w:sz w:val="24"/>
      <w:szCs w:val="24"/>
    </w:rPr>
  </w:style>
  <w:style w:type="paragraph" w:customStyle="1" w:styleId="374">
    <w:name w:val="Char Char Char Char Char Char Char4"/>
    <w:basedOn w:val="1"/>
    <w:qFormat/>
    <w:uiPriority w:val="0"/>
    <w:pPr>
      <w:spacing w:line="360" w:lineRule="auto"/>
      <w:ind w:firstLine="200" w:firstLineChars="200"/>
    </w:pPr>
    <w:rPr>
      <w:rFonts w:ascii="宋体" w:hAnsi="宋体" w:cs="宋体"/>
      <w:sz w:val="24"/>
      <w:szCs w:val="24"/>
    </w:rPr>
  </w:style>
  <w:style w:type="paragraph" w:customStyle="1" w:styleId="375">
    <w:name w:val="样式 样式1 + 首行缩进:  2 字符"/>
    <w:basedOn w:val="1"/>
    <w:qFormat/>
    <w:uiPriority w:val="0"/>
    <w:pPr>
      <w:spacing w:line="440" w:lineRule="atLeast"/>
      <w:ind w:firstLine="480" w:firstLineChars="200"/>
    </w:pPr>
    <w:rPr>
      <w:rFonts w:ascii="Times New Roman" w:hAnsi="Times New Roman"/>
      <w:sz w:val="24"/>
    </w:rPr>
  </w:style>
  <w:style w:type="paragraph" w:customStyle="1" w:styleId="376">
    <w:name w:val="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377">
    <w:name w:val="新表"/>
    <w:basedOn w:val="1"/>
    <w:qFormat/>
    <w:uiPriority w:val="0"/>
    <w:pPr>
      <w:spacing w:line="360" w:lineRule="exact"/>
    </w:pPr>
    <w:rPr>
      <w:rFonts w:ascii="Times New Roman" w:hAnsi="Times New Roman" w:eastAsia="仿宋_GB2312"/>
      <w:bCs/>
      <w:kern w:val="0"/>
      <w:sz w:val="24"/>
    </w:rPr>
  </w:style>
  <w:style w:type="paragraph" w:customStyle="1" w:styleId="378">
    <w:name w:val="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379">
    <w:name w:val="Char Char Char Char Char Char Char1"/>
    <w:basedOn w:val="1"/>
    <w:qFormat/>
    <w:uiPriority w:val="0"/>
    <w:pPr>
      <w:spacing w:line="360" w:lineRule="auto"/>
      <w:ind w:firstLine="200" w:firstLineChars="200"/>
    </w:pPr>
    <w:rPr>
      <w:rFonts w:ascii="宋体" w:hAnsi="宋体" w:cs="宋体"/>
      <w:sz w:val="24"/>
      <w:szCs w:val="24"/>
    </w:rPr>
  </w:style>
  <w:style w:type="paragraph" w:styleId="380">
    <w:name w:val="List Paragraph"/>
    <w:basedOn w:val="1"/>
    <w:qFormat/>
    <w:uiPriority w:val="34"/>
    <w:pPr>
      <w:ind w:firstLine="420" w:firstLineChars="200"/>
    </w:pPr>
  </w:style>
  <w:style w:type="character" w:customStyle="1" w:styleId="381">
    <w:name w:val="正文可研 Char"/>
    <w:link w:val="382"/>
    <w:qFormat/>
    <w:uiPriority w:val="0"/>
    <w:rPr>
      <w:rFonts w:ascii="宋体" w:hAnsi="宋体" w:cs="宋体"/>
      <w:snapToGrid w:val="0"/>
      <w:sz w:val="28"/>
      <w:szCs w:val="28"/>
    </w:rPr>
  </w:style>
  <w:style w:type="paragraph" w:customStyle="1" w:styleId="382">
    <w:name w:val="正文可研"/>
    <w:basedOn w:val="1"/>
    <w:link w:val="381"/>
    <w:qFormat/>
    <w:uiPriority w:val="0"/>
    <w:pPr>
      <w:spacing w:before="48" w:after="48" w:line="360" w:lineRule="auto"/>
      <w:ind w:firstLine="496" w:firstLineChars="177"/>
    </w:pPr>
    <w:rPr>
      <w:rFonts w:ascii="宋体" w:hAnsi="宋体" w:cs="宋体" w:eastAsiaTheme="minorEastAsia"/>
      <w:snapToGrid w:val="0"/>
      <w:kern w:val="0"/>
      <w:sz w:val="28"/>
      <w:szCs w:val="28"/>
    </w:rPr>
  </w:style>
  <w:style w:type="paragraph" w:customStyle="1" w:styleId="383">
    <w:name w:val="Table Paragraph"/>
    <w:basedOn w:val="1"/>
    <w:qFormat/>
    <w:uiPriority w:val="0"/>
    <w:rPr>
      <w:rFonts w:ascii="Calibri" w:hAnsi="Calibri" w:cs="Calibri"/>
      <w:szCs w:val="24"/>
    </w:rPr>
  </w:style>
  <w:style w:type="paragraph" w:customStyle="1" w:styleId="384">
    <w:name w:val="样式 正文首行缩进:  2 字符 + 首行缩进:  2 字符"/>
    <w:basedOn w:val="1"/>
    <w:qFormat/>
    <w:uiPriority w:val="0"/>
    <w:pPr>
      <w:spacing w:line="360" w:lineRule="auto"/>
      <w:ind w:firstLine="480" w:firstLineChars="200"/>
    </w:pPr>
    <w:rPr>
      <w:rFonts w:ascii="Calibri" w:hAnsi="Calibri" w:cs="宋体"/>
      <w:sz w:val="24"/>
    </w:rPr>
  </w:style>
  <w:style w:type="paragraph" w:customStyle="1" w:styleId="385">
    <w:name w:val="报告正文"/>
    <w:basedOn w:val="1"/>
    <w:qFormat/>
    <w:uiPriority w:val="0"/>
    <w:pPr>
      <w:ind w:firstLine="200" w:firstLineChars="200"/>
    </w:pPr>
    <w:rPr>
      <w:rFonts w:ascii="Times New Roman" w:hAnsi="Times New Roman" w:cs="Calibri"/>
      <w:sz w:val="24"/>
      <w:szCs w:val="24"/>
    </w:rPr>
  </w:style>
  <w:style w:type="paragraph" w:customStyle="1" w:styleId="386">
    <w:name w:val="图名表名"/>
    <w:basedOn w:val="1"/>
    <w:qFormat/>
    <w:uiPriority w:val="0"/>
    <w:pPr>
      <w:jc w:val="center"/>
    </w:pPr>
    <w:rPr>
      <w:rFonts w:ascii="Times New Roman" w:hAnsi="Times New Roman" w:cs="Calibri"/>
      <w:b/>
      <w:szCs w:val="24"/>
    </w:rPr>
  </w:style>
  <w:style w:type="character" w:customStyle="1" w:styleId="387">
    <w:name w:val="页脚 Char1"/>
    <w:basedOn w:val="89"/>
    <w:qFormat/>
    <w:uiPriority w:val="0"/>
  </w:style>
  <w:style w:type="paragraph" w:customStyle="1" w:styleId="388">
    <w:name w:val="D表"/>
    <w:basedOn w:val="1"/>
    <w:qFormat/>
    <w:uiPriority w:val="0"/>
    <w:pPr>
      <w:widowControl/>
      <w:spacing w:before="40" w:after="40"/>
      <w:jc w:val="center"/>
    </w:pPr>
    <w:rPr>
      <w:rFonts w:ascii="Calibri" w:hAnsi="Calibri" w:eastAsia="Times New Roman"/>
      <w:kern w:val="0"/>
      <w:szCs w:val="21"/>
    </w:rPr>
  </w:style>
  <w:style w:type="paragraph" w:customStyle="1" w:styleId="389">
    <w:name w:val="D图表"/>
    <w:basedOn w:val="1"/>
    <w:qFormat/>
    <w:uiPriority w:val="0"/>
    <w:pPr>
      <w:widowControl/>
      <w:spacing w:before="120" w:after="120"/>
      <w:jc w:val="center"/>
    </w:pPr>
    <w:rPr>
      <w:rFonts w:ascii="Calibri" w:hAnsi="Calibri"/>
      <w:b/>
      <w:kern w:val="0"/>
      <w:szCs w:val="21"/>
    </w:rPr>
  </w:style>
  <w:style w:type="paragraph" w:customStyle="1" w:styleId="390">
    <w:name w:val="【C】2号表格"/>
    <w:qFormat/>
    <w:uiPriority w:val="0"/>
    <w:pPr>
      <w:widowControl w:val="0"/>
      <w:jc w:val="center"/>
    </w:pPr>
    <w:rPr>
      <w:rFonts w:ascii="Calibri" w:hAnsi="Calibri" w:eastAsia="宋体" w:cs="Calibri"/>
      <w:bCs/>
      <w:color w:val="000000"/>
      <w:kern w:val="2"/>
      <w:sz w:val="21"/>
      <w:szCs w:val="24"/>
      <w:lang w:val="en-US" w:eastAsia="zh-CN" w:bidi="ar-SA"/>
    </w:rPr>
  </w:style>
  <w:style w:type="character" w:customStyle="1" w:styleId="391">
    <w:name w:val="正文缩进 Char2"/>
    <w:basedOn w:val="89"/>
    <w:qFormat/>
    <w:uiPriority w:val="0"/>
    <w:rPr>
      <w:rFonts w:ascii="Times New Roman" w:hAnsi="Times New Roman" w:eastAsia="宋体" w:cs="Times New Roman"/>
      <w:szCs w:val="24"/>
    </w:rPr>
  </w:style>
  <w:style w:type="paragraph" w:customStyle="1" w:styleId="392">
    <w:name w:val="表格填充1"/>
    <w:basedOn w:val="1"/>
    <w:qFormat/>
    <w:uiPriority w:val="0"/>
    <w:pPr>
      <w:adjustRightInd w:val="0"/>
      <w:snapToGrid w:val="0"/>
      <w:spacing w:line="400" w:lineRule="exact"/>
      <w:jc w:val="center"/>
    </w:pPr>
    <w:rPr>
      <w:rFonts w:ascii="Calibri" w:hAnsi="Calibri" w:cs="Calibri"/>
      <w:snapToGrid w:val="0"/>
      <w:kern w:val="0"/>
      <w:szCs w:val="18"/>
    </w:rPr>
  </w:style>
  <w:style w:type="paragraph" w:customStyle="1" w:styleId="393">
    <w:name w:val="标题 3标题 3 Char2标题 3 Char标题 3 Char2 Char"/>
    <w:basedOn w:val="7"/>
    <w:qFormat/>
    <w:uiPriority w:val="0"/>
    <w:pPr>
      <w:numPr>
        <w:numId w:val="21"/>
      </w:numPr>
      <w:tabs>
        <w:tab w:val="left" w:pos="432"/>
      </w:tabs>
      <w:snapToGrid w:val="0"/>
      <w:spacing w:before="0" w:after="0" w:line="360" w:lineRule="auto"/>
    </w:pPr>
    <w:rPr>
      <w:rFonts w:ascii="仿宋_GB2312" w:hAnsi="宋体" w:eastAsia="仿宋_GB2312" w:cs="宋体"/>
      <w:b w:val="0"/>
      <w:bCs w:val="0"/>
      <w:sz w:val="28"/>
      <w:szCs w:val="20"/>
    </w:rPr>
  </w:style>
  <w:style w:type="paragraph" w:customStyle="1" w:styleId="394">
    <w:name w:val="3"/>
    <w:basedOn w:val="1"/>
    <w:next w:val="1"/>
    <w:qFormat/>
    <w:uiPriority w:val="0"/>
    <w:pPr>
      <w:spacing w:after="120"/>
    </w:pPr>
    <w:rPr>
      <w:rFonts w:ascii="Times New Roman" w:hAnsi="Times New Roman" w:cs="Calibri"/>
      <w:szCs w:val="24"/>
    </w:rPr>
  </w:style>
  <w:style w:type="paragraph" w:customStyle="1" w:styleId="395">
    <w:name w:val="青山正文"/>
    <w:basedOn w:val="1"/>
    <w:qFormat/>
    <w:uiPriority w:val="99"/>
    <w:pPr>
      <w:tabs>
        <w:tab w:val="left" w:pos="2145"/>
      </w:tabs>
      <w:adjustRightInd w:val="0"/>
      <w:snapToGrid w:val="0"/>
      <w:spacing w:line="360" w:lineRule="auto"/>
      <w:ind w:firstLine="200" w:firstLineChars="200"/>
    </w:pPr>
    <w:rPr>
      <w:rFonts w:ascii="Times New Roman" w:hAnsi="Times New Roman" w:cs="Calibri"/>
      <w:szCs w:val="28"/>
    </w:rPr>
  </w:style>
  <w:style w:type="paragraph" w:customStyle="1" w:styleId="396">
    <w:name w:val="表格2"/>
    <w:basedOn w:val="1"/>
    <w:qFormat/>
    <w:uiPriority w:val="0"/>
    <w:pPr>
      <w:jc w:val="center"/>
    </w:pPr>
    <w:rPr>
      <w:rFonts w:ascii="Calibri" w:hAnsi="Calibri" w:cs="Calibri"/>
      <w:color w:val="000000"/>
      <w:kern w:val="24"/>
      <w:sz w:val="24"/>
    </w:rPr>
  </w:style>
  <w:style w:type="paragraph" w:customStyle="1" w:styleId="397">
    <w:name w:val="表格1"/>
    <w:basedOn w:val="1"/>
    <w:link w:val="398"/>
    <w:qFormat/>
    <w:uiPriority w:val="0"/>
    <w:pPr>
      <w:adjustRightInd w:val="0"/>
      <w:spacing w:line="400" w:lineRule="atLeast"/>
      <w:jc w:val="center"/>
    </w:pPr>
    <w:rPr>
      <w:rFonts w:ascii="Calibri" w:hAnsi="Calibri" w:cs="Calibri"/>
      <w:kern w:val="0"/>
      <w:szCs w:val="24"/>
    </w:rPr>
  </w:style>
  <w:style w:type="character" w:customStyle="1" w:styleId="398">
    <w:name w:val="表格1 Char"/>
    <w:link w:val="397"/>
    <w:qFormat/>
    <w:uiPriority w:val="0"/>
    <w:rPr>
      <w:rFonts w:ascii="Calibri" w:hAnsi="Calibri" w:eastAsia="宋体" w:cs="Calibri"/>
      <w:sz w:val="21"/>
      <w:szCs w:val="24"/>
    </w:rPr>
  </w:style>
  <w:style w:type="paragraph" w:customStyle="1" w:styleId="399">
    <w:name w:val="君邦目录"/>
    <w:qFormat/>
    <w:uiPriority w:val="99"/>
    <w:pPr>
      <w:pBdr>
        <w:bottom w:val="single" w:color="auto" w:sz="12" w:space="1"/>
      </w:pBdr>
      <w:spacing w:before="960" w:after="960"/>
      <w:ind w:left="567" w:hanging="567"/>
      <w:jc w:val="right"/>
      <w:outlineLvl w:val="1"/>
    </w:pPr>
    <w:rPr>
      <w:rFonts w:ascii="Times New Roman" w:hAnsi="Times New Roman" w:eastAsia="黑体" w:cs="Times New Roman"/>
      <w:b/>
      <w:sz w:val="32"/>
      <w:lang w:val="en-US" w:eastAsia="zh-CN" w:bidi="ar-SA"/>
    </w:rPr>
  </w:style>
  <w:style w:type="character" w:customStyle="1" w:styleId="400">
    <w:name w:val="君邦正文 Char2"/>
    <w:qFormat/>
    <w:uiPriority w:val="0"/>
    <w:rPr>
      <w:bCs/>
      <w:snapToGrid w:val="0"/>
      <w:sz w:val="24"/>
      <w:lang w:val="en-US" w:eastAsia="zh-CN" w:bidi="ar-SA"/>
    </w:rPr>
  </w:style>
  <w:style w:type="character" w:customStyle="1" w:styleId="401">
    <w:name w:val="图片标题 (22)_"/>
    <w:basedOn w:val="89"/>
    <w:link w:val="402"/>
    <w:qFormat/>
    <w:uiPriority w:val="0"/>
    <w:rPr>
      <w:rFonts w:ascii="Arial Unicode MS" w:eastAsia="Arial Unicode MS"/>
      <w:b/>
      <w:bCs/>
      <w:sz w:val="19"/>
      <w:szCs w:val="19"/>
      <w:shd w:val="clear" w:color="auto" w:fill="FFFFFF"/>
      <w:lang w:eastAsia="en-US"/>
    </w:rPr>
  </w:style>
  <w:style w:type="paragraph" w:customStyle="1" w:styleId="402">
    <w:name w:val="图片标题 (22)"/>
    <w:basedOn w:val="1"/>
    <w:link w:val="401"/>
    <w:qFormat/>
    <w:uiPriority w:val="0"/>
    <w:pPr>
      <w:shd w:val="clear" w:color="auto" w:fill="FFFFFF"/>
      <w:spacing w:line="240" w:lineRule="atLeast"/>
      <w:jc w:val="left"/>
    </w:pPr>
    <w:rPr>
      <w:rFonts w:ascii="Arial Unicode MS" w:eastAsia="Arial Unicode MS" w:hAnsiTheme="minorHAnsi" w:cstheme="minorBidi"/>
      <w:b/>
      <w:bCs/>
      <w:kern w:val="0"/>
      <w:sz w:val="19"/>
      <w:szCs w:val="19"/>
      <w:lang w:eastAsia="en-US"/>
    </w:rPr>
  </w:style>
  <w:style w:type="character" w:customStyle="1" w:styleId="403">
    <w:name w:val="题注 Char1"/>
    <w:basedOn w:val="89"/>
    <w:qFormat/>
    <w:uiPriority w:val="0"/>
    <w:rPr>
      <w:kern w:val="2"/>
      <w:lang w:eastAsia="zh-CN"/>
    </w:rPr>
  </w:style>
  <w:style w:type="character" w:customStyle="1" w:styleId="404">
    <w:name w:val="con"/>
    <w:basedOn w:val="89"/>
    <w:qFormat/>
    <w:uiPriority w:val="0"/>
  </w:style>
  <w:style w:type="paragraph" w:customStyle="1" w:styleId="405">
    <w:name w:val="8"/>
    <w:basedOn w:val="1"/>
    <w:qFormat/>
    <w:uiPriority w:val="0"/>
    <w:pPr>
      <w:numPr>
        <w:ilvl w:val="3"/>
        <w:numId w:val="22"/>
      </w:numPr>
    </w:pPr>
  </w:style>
  <w:style w:type="paragraph" w:customStyle="1" w:styleId="40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07">
    <w:name w:val="font6"/>
    <w:basedOn w:val="1"/>
    <w:qFormat/>
    <w:uiPriority w:val="0"/>
    <w:pPr>
      <w:widowControl/>
      <w:spacing w:before="100" w:beforeAutospacing="1" w:after="100" w:afterAutospacing="1"/>
      <w:jc w:val="left"/>
    </w:pPr>
    <w:rPr>
      <w:rFonts w:ascii="Times New Roman" w:hAnsi="Times New Roman"/>
      <w:color w:val="FF0000"/>
      <w:kern w:val="0"/>
      <w:sz w:val="18"/>
      <w:szCs w:val="18"/>
    </w:rPr>
  </w:style>
  <w:style w:type="paragraph" w:customStyle="1" w:styleId="408">
    <w:name w:val="font7"/>
    <w:basedOn w:val="1"/>
    <w:qFormat/>
    <w:uiPriority w:val="0"/>
    <w:pPr>
      <w:widowControl/>
      <w:spacing w:before="100" w:beforeAutospacing="1" w:after="100" w:afterAutospacing="1"/>
      <w:jc w:val="left"/>
    </w:pPr>
    <w:rPr>
      <w:rFonts w:ascii="宋体" w:hAnsi="宋体" w:cs="宋体"/>
      <w:color w:val="FF0000"/>
      <w:kern w:val="0"/>
      <w:sz w:val="18"/>
      <w:szCs w:val="18"/>
    </w:rPr>
  </w:style>
  <w:style w:type="paragraph" w:customStyle="1" w:styleId="409">
    <w:name w:val="font8"/>
    <w:basedOn w:val="1"/>
    <w:qFormat/>
    <w:uiPriority w:val="0"/>
    <w:pPr>
      <w:widowControl/>
      <w:spacing w:before="100" w:beforeAutospacing="1" w:after="100" w:afterAutospacing="1"/>
      <w:jc w:val="left"/>
    </w:pPr>
    <w:rPr>
      <w:rFonts w:ascii="宋体" w:hAnsi="宋体" w:cs="宋体"/>
      <w:color w:val="FF0000"/>
      <w:kern w:val="0"/>
      <w:sz w:val="18"/>
      <w:szCs w:val="18"/>
    </w:rPr>
  </w:style>
  <w:style w:type="paragraph" w:customStyle="1" w:styleId="41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411">
    <w:name w:val="xl6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12">
    <w:name w:val="xl6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1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41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41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41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4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4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41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42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4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4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4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4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4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26">
    <w:name w:val="font9"/>
    <w:basedOn w:val="1"/>
    <w:qFormat/>
    <w:uiPriority w:val="0"/>
    <w:pPr>
      <w:widowControl/>
      <w:spacing w:before="100" w:beforeAutospacing="1" w:after="100" w:afterAutospacing="1"/>
      <w:jc w:val="left"/>
    </w:pPr>
    <w:rPr>
      <w:rFonts w:ascii="Times New Roman" w:hAnsi="Times New Roman"/>
      <w:b/>
      <w:bCs/>
      <w:color w:val="000000"/>
      <w:kern w:val="0"/>
      <w:sz w:val="18"/>
      <w:szCs w:val="18"/>
    </w:rPr>
  </w:style>
  <w:style w:type="paragraph" w:customStyle="1" w:styleId="427">
    <w:name w:val="P252"/>
    <w:basedOn w:val="1"/>
    <w:qFormat/>
    <w:uiPriority w:val="99"/>
    <w:pPr>
      <w:spacing w:line="360" w:lineRule="auto"/>
      <w:ind w:firstLine="560"/>
    </w:pPr>
    <w:rPr>
      <w:rFonts w:ascii="Times New Roman" w:hAnsi="Times New Roman"/>
      <w:kern w:val="0"/>
      <w:sz w:val="28"/>
      <w:szCs w:val="28"/>
    </w:rPr>
  </w:style>
  <w:style w:type="paragraph" w:customStyle="1" w:styleId="428">
    <w:name w:val="兴福电子项目-环评样式"/>
    <w:basedOn w:val="1"/>
    <w:link w:val="429"/>
    <w:qFormat/>
    <w:uiPriority w:val="0"/>
    <w:pPr>
      <w:widowControl/>
      <w:adjustRightInd w:val="0"/>
      <w:snapToGrid w:val="0"/>
      <w:spacing w:line="540" w:lineRule="exact"/>
      <w:ind w:firstLine="480" w:firstLineChars="200"/>
      <w:jc w:val="left"/>
    </w:pPr>
    <w:rPr>
      <w:rFonts w:ascii="Times New Roman" w:hAnsi="宋体"/>
      <w:kern w:val="0"/>
      <w:sz w:val="24"/>
      <w:szCs w:val="24"/>
      <w:lang w:bidi="en-US"/>
    </w:rPr>
  </w:style>
  <w:style w:type="character" w:customStyle="1" w:styleId="429">
    <w:name w:val="兴福电子项目-环评样式 Char"/>
    <w:link w:val="428"/>
    <w:qFormat/>
    <w:uiPriority w:val="0"/>
    <w:rPr>
      <w:rFonts w:ascii="Times New Roman" w:hAnsi="宋体" w:eastAsia="宋体" w:cs="Times New Roman"/>
      <w:sz w:val="24"/>
      <w:szCs w:val="24"/>
      <w:lang w:bidi="en-US"/>
    </w:rPr>
  </w:style>
  <w:style w:type="character" w:customStyle="1" w:styleId="430">
    <w:name w:val="智汇元-宜昌-正文 Char"/>
    <w:link w:val="431"/>
    <w:qFormat/>
    <w:uiPriority w:val="0"/>
    <w:rPr>
      <w:color w:val="000000"/>
      <w:sz w:val="24"/>
      <w:szCs w:val="24"/>
    </w:rPr>
  </w:style>
  <w:style w:type="paragraph" w:customStyle="1" w:styleId="431">
    <w:name w:val="智汇元-宜昌-正文"/>
    <w:basedOn w:val="1"/>
    <w:link w:val="430"/>
    <w:qFormat/>
    <w:uiPriority w:val="0"/>
    <w:pPr>
      <w:spacing w:line="360" w:lineRule="auto"/>
      <w:ind w:firstLine="480" w:firstLineChars="200"/>
    </w:pPr>
    <w:rPr>
      <w:rFonts w:asciiTheme="minorHAnsi" w:hAnsiTheme="minorHAnsi" w:eastAsiaTheme="minorEastAsia" w:cstheme="minorBidi"/>
      <w:color w:val="000000"/>
      <w:kern w:val="0"/>
      <w:sz w:val="24"/>
      <w:szCs w:val="24"/>
    </w:rPr>
  </w:style>
  <w:style w:type="character" w:customStyle="1" w:styleId="432">
    <w:name w:val="环评正文 Char"/>
    <w:link w:val="433"/>
    <w:qFormat/>
    <w:locked/>
    <w:uiPriority w:val="0"/>
    <w:rPr>
      <w:rFonts w:ascii="宋体" w:hAnsi="宋体"/>
      <w:color w:val="FF0000"/>
      <w:kern w:val="2"/>
      <w:sz w:val="24"/>
      <w:szCs w:val="22"/>
    </w:rPr>
  </w:style>
  <w:style w:type="paragraph" w:customStyle="1" w:styleId="433">
    <w:name w:val="环评正文"/>
    <w:basedOn w:val="1"/>
    <w:link w:val="432"/>
    <w:qFormat/>
    <w:uiPriority w:val="0"/>
    <w:pPr>
      <w:spacing w:beforeLines="20" w:line="520" w:lineRule="exact"/>
      <w:ind w:firstLine="480" w:firstLineChars="200"/>
    </w:pPr>
    <w:rPr>
      <w:rFonts w:ascii="宋体" w:hAnsi="宋体" w:eastAsiaTheme="minorEastAsia" w:cstheme="minorBidi"/>
      <w:color w:val="FF0000"/>
      <w:sz w:val="24"/>
      <w:szCs w:val="22"/>
    </w:rPr>
  </w:style>
  <w:style w:type="character" w:customStyle="1" w:styleId="434">
    <w:name w:val="页眉或页脚 + 间距 15 pt"/>
    <w:qFormat/>
    <w:uiPriority w:val="0"/>
    <w:rPr>
      <w:rFonts w:ascii="宋体" w:hAnsi="宋体"/>
      <w:spacing w:val="300"/>
      <w:sz w:val="18"/>
      <w:szCs w:val="18"/>
      <w:shd w:val="clear" w:color="auto" w:fill="FFFFFF"/>
    </w:rPr>
  </w:style>
  <w:style w:type="paragraph" w:customStyle="1" w:styleId="435">
    <w:name w:val="1正文"/>
    <w:basedOn w:val="1"/>
    <w:qFormat/>
    <w:uiPriority w:val="0"/>
    <w:pPr>
      <w:spacing w:line="360" w:lineRule="auto"/>
      <w:ind w:firstLine="198" w:firstLineChars="200"/>
    </w:pPr>
    <w:rPr>
      <w:rFonts w:ascii="Times New Roman" w:hAnsi="Times New Roman"/>
      <w:sz w:val="24"/>
      <w:szCs w:val="24"/>
    </w:rPr>
  </w:style>
  <w:style w:type="character" w:customStyle="1" w:styleId="436">
    <w:name w:val="智汇元-宜昌-表头 Char"/>
    <w:link w:val="437"/>
    <w:qFormat/>
    <w:uiPriority w:val="0"/>
    <w:rPr>
      <w:rFonts w:eastAsia="黑体"/>
      <w:color w:val="000000"/>
      <w:sz w:val="21"/>
      <w:szCs w:val="21"/>
    </w:rPr>
  </w:style>
  <w:style w:type="paragraph" w:customStyle="1" w:styleId="437">
    <w:name w:val="智汇元-宜昌-表头"/>
    <w:basedOn w:val="1"/>
    <w:link w:val="436"/>
    <w:qFormat/>
    <w:uiPriority w:val="0"/>
    <w:pPr>
      <w:spacing w:beforeLines="50" w:afterLines="50"/>
      <w:jc w:val="center"/>
    </w:pPr>
    <w:rPr>
      <w:rFonts w:eastAsia="黑体" w:asciiTheme="minorHAnsi" w:hAnsiTheme="minorHAnsi" w:cstheme="minorBidi"/>
      <w:color w:val="000000"/>
      <w:kern w:val="0"/>
      <w:szCs w:val="21"/>
    </w:rPr>
  </w:style>
  <w:style w:type="paragraph" w:customStyle="1" w:styleId="438">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439">
    <w:name w:val="_Style 124"/>
    <w:basedOn w:val="2"/>
    <w:next w:val="85"/>
    <w:qFormat/>
    <w:uiPriority w:val="0"/>
    <w:pPr>
      <w:ind w:firstLine="420" w:firstLineChars="100"/>
      <w:jc w:val="center"/>
    </w:pPr>
    <w:rPr>
      <w:rFonts w:ascii="Times New Roman" w:hAnsi="Times New Roman" w:eastAsia="宋体" w:cs="Times New Roman"/>
      <w:kern w:val="0"/>
      <w:sz w:val="20"/>
      <w:szCs w:val="30"/>
    </w:rPr>
  </w:style>
  <w:style w:type="character" w:customStyle="1" w:styleId="440">
    <w:name w:val="宏文本 Char"/>
    <w:basedOn w:val="89"/>
    <w:link w:val="4"/>
    <w:qFormat/>
    <w:uiPriority w:val="0"/>
    <w:rPr>
      <w:rFonts w:ascii="Courier New" w:hAnsi="Courier New" w:eastAsia="宋体" w:cs="Courier New"/>
      <w:sz w:val="24"/>
      <w:szCs w:val="24"/>
      <w:lang w:eastAsia="en-US" w:bidi="en-US"/>
    </w:rPr>
  </w:style>
  <w:style w:type="character" w:customStyle="1" w:styleId="441">
    <w:name w:val="尾注文本 Char"/>
    <w:basedOn w:val="89"/>
    <w:link w:val="52"/>
    <w:qFormat/>
    <w:uiPriority w:val="0"/>
    <w:rPr>
      <w:rFonts w:ascii="Calibri" w:hAnsi="Calibri" w:eastAsia="宋体" w:cs="Times New Roman"/>
      <w:sz w:val="24"/>
      <w:szCs w:val="24"/>
      <w:lang w:eastAsia="en-US" w:bidi="en-US"/>
    </w:rPr>
  </w:style>
  <w:style w:type="character" w:customStyle="1" w:styleId="442">
    <w:name w:val="正文文本 + 10.5 pt22"/>
    <w:qFormat/>
    <w:uiPriority w:val="0"/>
    <w:rPr>
      <w:rFonts w:ascii="Arial Unicode MS" w:eastAsia="Arial Unicode MS" w:cs="Arial Unicode MS"/>
      <w:kern w:val="2"/>
      <w:sz w:val="21"/>
      <w:szCs w:val="21"/>
      <w:u w:val="none"/>
      <w:lang w:val="en-US" w:eastAsia="en-US" w:bidi="ar-SA"/>
    </w:rPr>
  </w:style>
  <w:style w:type="character" w:customStyle="1" w:styleId="443">
    <w:name w:val="title1"/>
    <w:qFormat/>
    <w:uiPriority w:val="0"/>
    <w:rPr>
      <w:color w:val="000000"/>
    </w:rPr>
  </w:style>
  <w:style w:type="character" w:customStyle="1" w:styleId="444">
    <w:name w:val="正文文本 + 10 pt Exact"/>
    <w:qFormat/>
    <w:uiPriority w:val="0"/>
    <w:rPr>
      <w:rFonts w:ascii="Arial Unicode MS" w:eastAsia="Arial Unicode MS" w:cs="Arial Unicode MS"/>
      <w:spacing w:val="2"/>
      <w:kern w:val="2"/>
      <w:sz w:val="20"/>
      <w:szCs w:val="20"/>
      <w:u w:val="none"/>
      <w:lang w:val="en-US" w:eastAsia="en-US" w:bidi="ar-SA"/>
    </w:rPr>
  </w:style>
  <w:style w:type="character" w:customStyle="1" w:styleId="445">
    <w:name w:val="正文文本 + SimSun21"/>
    <w:qFormat/>
    <w:uiPriority w:val="0"/>
    <w:rPr>
      <w:rFonts w:ascii="宋体" w:hAnsi="宋体" w:eastAsia="Arial Unicode MS" w:cs="宋体"/>
      <w:sz w:val="11"/>
      <w:szCs w:val="11"/>
      <w:u w:val="none"/>
    </w:rPr>
  </w:style>
  <w:style w:type="character" w:customStyle="1" w:styleId="446">
    <w:name w:val="正文文本 (33) Exact"/>
    <w:link w:val="447"/>
    <w:qFormat/>
    <w:uiPriority w:val="0"/>
    <w:rPr>
      <w:i/>
      <w:iCs/>
      <w:spacing w:val="10"/>
      <w:sz w:val="15"/>
      <w:szCs w:val="15"/>
      <w:shd w:val="clear" w:color="auto" w:fill="FFFFFF"/>
      <w:lang w:eastAsia="en-US"/>
    </w:rPr>
  </w:style>
  <w:style w:type="paragraph" w:customStyle="1" w:styleId="447">
    <w:name w:val="正文文本 (33)"/>
    <w:basedOn w:val="1"/>
    <w:link w:val="446"/>
    <w:qFormat/>
    <w:uiPriority w:val="0"/>
    <w:pPr>
      <w:shd w:val="clear" w:color="auto" w:fill="FFFFFF"/>
      <w:spacing w:before="300" w:line="240" w:lineRule="atLeast"/>
      <w:jc w:val="left"/>
    </w:pPr>
    <w:rPr>
      <w:rFonts w:asciiTheme="minorHAnsi" w:hAnsiTheme="minorHAnsi" w:eastAsiaTheme="minorEastAsia" w:cstheme="minorBidi"/>
      <w:i/>
      <w:iCs/>
      <w:spacing w:val="10"/>
      <w:kern w:val="0"/>
      <w:sz w:val="15"/>
      <w:szCs w:val="15"/>
      <w:lang w:eastAsia="en-US"/>
    </w:rPr>
  </w:style>
  <w:style w:type="character" w:customStyle="1" w:styleId="448">
    <w:name w:val="font11 Char"/>
    <w:qFormat/>
    <w:uiPriority w:val="0"/>
    <w:rPr>
      <w:rFonts w:hint="eastAsia" w:ascii="宋体" w:hAnsi="宋体" w:eastAsia="宋体" w:cs="宋体"/>
      <w:sz w:val="17"/>
      <w:szCs w:val="17"/>
      <w:lang w:val="en-US" w:eastAsia="zh-CN" w:bidi="ar-SA"/>
    </w:rPr>
  </w:style>
  <w:style w:type="character" w:customStyle="1" w:styleId="449">
    <w:name w:val="图片标题 (9) Exact1"/>
    <w:qFormat/>
    <w:uiPriority w:val="0"/>
    <w:rPr>
      <w:rFonts w:ascii="宋体" w:hAnsi="宋体"/>
      <w:spacing w:val="-12"/>
      <w:w w:val="66"/>
      <w:sz w:val="9"/>
      <w:szCs w:val="9"/>
      <w:shd w:val="clear" w:color="auto" w:fill="FFFFFF"/>
      <w:lang w:val="en-US" w:eastAsia="zh-CN"/>
    </w:rPr>
  </w:style>
  <w:style w:type="character" w:customStyle="1" w:styleId="450">
    <w:name w:val="正文文本 (7) + 间距 0 pt Exact1"/>
    <w:qFormat/>
    <w:uiPriority w:val="0"/>
    <w:rPr>
      <w:rFonts w:ascii="Arial Unicode MS" w:eastAsia="Arial Unicode MS" w:cs="Arial Unicode MS"/>
      <w:spacing w:val="3"/>
      <w:sz w:val="20"/>
      <w:szCs w:val="20"/>
      <w:u w:val="none"/>
      <w:shd w:val="clear" w:color="auto" w:fill="FFFFFF"/>
      <w:lang w:eastAsia="en-US"/>
    </w:rPr>
  </w:style>
  <w:style w:type="character" w:customStyle="1" w:styleId="451">
    <w:name w:val="l121"/>
    <w:basedOn w:val="89"/>
    <w:qFormat/>
    <w:uiPriority w:val="0"/>
  </w:style>
  <w:style w:type="character" w:customStyle="1" w:styleId="452">
    <w:name w:val="正文文本 (3)"/>
    <w:qFormat/>
    <w:uiPriority w:val="0"/>
    <w:rPr>
      <w:rFonts w:ascii="Arial Unicode MS" w:eastAsia="Arial Unicode MS"/>
      <w:b/>
      <w:bCs/>
      <w:sz w:val="19"/>
      <w:szCs w:val="19"/>
      <w:shd w:val="clear" w:color="auto" w:fill="FFFFFF"/>
      <w:lang w:val="en-US" w:eastAsia="en-US"/>
    </w:rPr>
  </w:style>
  <w:style w:type="character" w:customStyle="1" w:styleId="453">
    <w:name w:val="正文文本 (6) + 间距 0 pt"/>
    <w:qFormat/>
    <w:uiPriority w:val="0"/>
    <w:rPr>
      <w:rFonts w:ascii="宋体" w:hAnsi="宋体"/>
      <w:spacing w:val="-10"/>
      <w:sz w:val="29"/>
      <w:szCs w:val="29"/>
      <w:shd w:val="clear" w:color="auto" w:fill="FFFFFF"/>
    </w:rPr>
  </w:style>
  <w:style w:type="character" w:customStyle="1" w:styleId="454">
    <w:name w:val="表格内容 Char Char"/>
    <w:qFormat/>
    <w:locked/>
    <w:uiPriority w:val="0"/>
    <w:rPr>
      <w:rFonts w:ascii="Arial" w:hAnsi="Arial" w:eastAsia="宋体" w:cs="Arial"/>
      <w:b/>
      <w:bCs/>
      <w:kern w:val="28"/>
      <w:sz w:val="32"/>
      <w:szCs w:val="32"/>
      <w:lang w:val="en-US" w:eastAsia="zh-CN" w:bidi="ar-SA"/>
    </w:rPr>
  </w:style>
  <w:style w:type="character" w:customStyle="1" w:styleId="455">
    <w:name w:val="正文文本 + 10.5 pt24"/>
    <w:qFormat/>
    <w:uiPriority w:val="0"/>
    <w:rPr>
      <w:rFonts w:ascii="Arial Unicode MS" w:eastAsia="Arial Unicode MS" w:cs="Arial Unicode MS"/>
      <w:spacing w:val="-30"/>
      <w:kern w:val="2"/>
      <w:sz w:val="21"/>
      <w:szCs w:val="21"/>
      <w:u w:val="none"/>
      <w:lang w:val="en-US" w:eastAsia="en-US" w:bidi="ar-SA"/>
    </w:rPr>
  </w:style>
  <w:style w:type="character" w:customStyle="1" w:styleId="456">
    <w:name w:val="正文文本 + 间距 3 pt2"/>
    <w:qFormat/>
    <w:uiPriority w:val="0"/>
    <w:rPr>
      <w:rFonts w:ascii="Arial Unicode MS" w:eastAsia="Arial Unicode MS" w:cs="Arial Unicode MS"/>
      <w:spacing w:val="60"/>
      <w:kern w:val="2"/>
      <w:sz w:val="22"/>
      <w:szCs w:val="22"/>
      <w:u w:val="none"/>
      <w:lang w:val="en-US" w:eastAsia="zh-CN" w:bidi="ar-SA"/>
    </w:rPr>
  </w:style>
  <w:style w:type="character" w:customStyle="1" w:styleId="457">
    <w:name w:val="图片标题 (16)_"/>
    <w:link w:val="458"/>
    <w:qFormat/>
    <w:uiPriority w:val="0"/>
    <w:rPr>
      <w:rFonts w:ascii="宋体" w:hAnsi="宋体"/>
      <w:b/>
      <w:bCs/>
      <w:shd w:val="clear" w:color="auto" w:fill="FFFFFF"/>
    </w:rPr>
  </w:style>
  <w:style w:type="paragraph" w:customStyle="1" w:styleId="458">
    <w:name w:val="图片标题 (16)1"/>
    <w:basedOn w:val="1"/>
    <w:link w:val="457"/>
    <w:qFormat/>
    <w:uiPriority w:val="0"/>
    <w:pPr>
      <w:shd w:val="clear" w:color="auto" w:fill="FFFFFF"/>
      <w:spacing w:line="240" w:lineRule="atLeast"/>
      <w:jc w:val="left"/>
    </w:pPr>
    <w:rPr>
      <w:rFonts w:ascii="宋体" w:hAnsi="宋体" w:eastAsiaTheme="minorEastAsia" w:cstheme="minorBidi"/>
      <w:b/>
      <w:bCs/>
      <w:kern w:val="0"/>
      <w:sz w:val="20"/>
    </w:rPr>
  </w:style>
  <w:style w:type="character" w:customStyle="1" w:styleId="459">
    <w:name w:val="正文文本 (13) + 小型大写"/>
    <w:qFormat/>
    <w:uiPriority w:val="0"/>
    <w:rPr>
      <w:rFonts w:ascii="Arial Unicode MS" w:eastAsia="Arial Unicode MS"/>
      <w:i/>
      <w:iCs/>
      <w:smallCaps/>
      <w:spacing w:val="0"/>
      <w:sz w:val="9"/>
      <w:szCs w:val="9"/>
      <w:shd w:val="clear" w:color="auto" w:fill="FFFFFF"/>
      <w:lang w:eastAsia="en-US"/>
    </w:rPr>
  </w:style>
  <w:style w:type="character" w:customStyle="1" w:styleId="460">
    <w:name w:val="正文首行缩进 2 Char1"/>
    <w:qFormat/>
    <w:uiPriority w:val="99"/>
    <w:rPr>
      <w:rFonts w:cs="Times New Roman"/>
      <w:kern w:val="2"/>
      <w:sz w:val="24"/>
      <w:szCs w:val="22"/>
    </w:rPr>
  </w:style>
  <w:style w:type="character" w:customStyle="1" w:styleId="461">
    <w:name w:val="正文文本 (48)_"/>
    <w:link w:val="462"/>
    <w:qFormat/>
    <w:uiPriority w:val="0"/>
    <w:rPr>
      <w:rFonts w:ascii="Arial Unicode MS" w:eastAsia="Arial Unicode MS"/>
      <w:i/>
      <w:iCs/>
      <w:sz w:val="11"/>
      <w:szCs w:val="11"/>
      <w:shd w:val="clear" w:color="auto" w:fill="FFFFFF"/>
      <w:lang w:eastAsia="en-US"/>
    </w:rPr>
  </w:style>
  <w:style w:type="paragraph" w:customStyle="1" w:styleId="462">
    <w:name w:val="正文文本 (48)"/>
    <w:basedOn w:val="1"/>
    <w:link w:val="461"/>
    <w:qFormat/>
    <w:uiPriority w:val="0"/>
    <w:pPr>
      <w:shd w:val="clear" w:color="auto" w:fill="FFFFFF"/>
      <w:spacing w:line="240" w:lineRule="atLeast"/>
      <w:jc w:val="left"/>
    </w:pPr>
    <w:rPr>
      <w:rFonts w:ascii="Arial Unicode MS" w:eastAsia="Arial Unicode MS" w:hAnsiTheme="minorHAnsi" w:cstheme="minorBidi"/>
      <w:i/>
      <w:iCs/>
      <w:kern w:val="0"/>
      <w:sz w:val="11"/>
      <w:szCs w:val="11"/>
      <w:lang w:eastAsia="en-US"/>
    </w:rPr>
  </w:style>
  <w:style w:type="character" w:customStyle="1" w:styleId="463">
    <w:name w:val="表格标题 (2)6"/>
    <w:qFormat/>
    <w:uiPriority w:val="0"/>
    <w:rPr>
      <w:rFonts w:ascii="Arial Unicode MS" w:eastAsia="Arial Unicode MS" w:cs="Arial Unicode MS"/>
      <w:sz w:val="21"/>
      <w:szCs w:val="21"/>
      <w:u w:val="none"/>
      <w:shd w:val="clear" w:color="auto" w:fill="FFFFFF"/>
      <w:lang w:eastAsia="en-US"/>
    </w:rPr>
  </w:style>
  <w:style w:type="character" w:customStyle="1" w:styleId="464">
    <w:name w:val="标题 #3 (4)_"/>
    <w:link w:val="465"/>
    <w:qFormat/>
    <w:uiPriority w:val="0"/>
    <w:rPr>
      <w:b/>
      <w:bCs/>
      <w:shd w:val="clear" w:color="auto" w:fill="FFFFFF"/>
    </w:rPr>
  </w:style>
  <w:style w:type="paragraph" w:customStyle="1" w:styleId="465">
    <w:name w:val="标题 #3 (4)"/>
    <w:basedOn w:val="1"/>
    <w:link w:val="464"/>
    <w:qFormat/>
    <w:uiPriority w:val="0"/>
    <w:pPr>
      <w:shd w:val="clear" w:color="auto" w:fill="FFFFFF"/>
      <w:spacing w:before="120" w:after="240" w:line="240" w:lineRule="atLeast"/>
      <w:jc w:val="left"/>
      <w:outlineLvl w:val="2"/>
    </w:pPr>
    <w:rPr>
      <w:rFonts w:asciiTheme="minorHAnsi" w:hAnsiTheme="minorHAnsi" w:eastAsiaTheme="minorEastAsia" w:cstheme="minorBidi"/>
      <w:b/>
      <w:bCs/>
      <w:kern w:val="0"/>
      <w:sz w:val="20"/>
    </w:rPr>
  </w:style>
  <w:style w:type="character" w:customStyle="1" w:styleId="466">
    <w:name w:val="正文文本 + 4 pt"/>
    <w:qFormat/>
    <w:uiPriority w:val="0"/>
    <w:rPr>
      <w:rFonts w:ascii="Arial Unicode MS" w:eastAsia="Arial Unicode MS" w:cs="Arial Unicode MS"/>
      <w:kern w:val="2"/>
      <w:sz w:val="8"/>
      <w:szCs w:val="8"/>
      <w:u w:val="none"/>
      <w:lang w:val="en-US" w:eastAsia="zh-CN" w:bidi="ar-SA"/>
    </w:rPr>
  </w:style>
  <w:style w:type="character" w:customStyle="1" w:styleId="467">
    <w:name w:val="gaide"/>
    <w:basedOn w:val="89"/>
    <w:qFormat/>
    <w:uiPriority w:val="0"/>
  </w:style>
  <w:style w:type="character" w:customStyle="1" w:styleId="468">
    <w:name w:val="标题 #3 (5)"/>
    <w:basedOn w:val="469"/>
    <w:qFormat/>
    <w:uiPriority w:val="0"/>
    <w:rPr>
      <w:rFonts w:ascii="宋体" w:hAnsi="宋体"/>
      <w:spacing w:val="-10"/>
      <w:sz w:val="29"/>
      <w:szCs w:val="29"/>
      <w:shd w:val="clear" w:color="auto" w:fill="FFFFFF"/>
    </w:rPr>
  </w:style>
  <w:style w:type="character" w:customStyle="1" w:styleId="469">
    <w:name w:val="标题 #3 (5)_"/>
    <w:link w:val="470"/>
    <w:qFormat/>
    <w:uiPriority w:val="0"/>
    <w:rPr>
      <w:rFonts w:ascii="宋体" w:hAnsi="宋体"/>
      <w:spacing w:val="-10"/>
      <w:sz w:val="29"/>
      <w:szCs w:val="29"/>
      <w:shd w:val="clear" w:color="auto" w:fill="FFFFFF"/>
    </w:rPr>
  </w:style>
  <w:style w:type="paragraph" w:customStyle="1" w:styleId="470">
    <w:name w:val="标题 #3 (5)1"/>
    <w:basedOn w:val="1"/>
    <w:link w:val="469"/>
    <w:qFormat/>
    <w:uiPriority w:val="0"/>
    <w:pPr>
      <w:shd w:val="clear" w:color="auto" w:fill="FFFFFF"/>
      <w:spacing w:line="494" w:lineRule="exact"/>
      <w:jc w:val="left"/>
      <w:outlineLvl w:val="2"/>
    </w:pPr>
    <w:rPr>
      <w:rFonts w:ascii="宋体" w:hAnsi="宋体" w:eastAsiaTheme="minorEastAsia" w:cstheme="minorBidi"/>
      <w:spacing w:val="-10"/>
      <w:kern w:val="0"/>
      <w:sz w:val="29"/>
      <w:szCs w:val="29"/>
    </w:rPr>
  </w:style>
  <w:style w:type="character" w:customStyle="1" w:styleId="471">
    <w:name w:val="明显强调1"/>
    <w:qFormat/>
    <w:uiPriority w:val="0"/>
    <w:rPr>
      <w:b/>
      <w:i/>
      <w:sz w:val="24"/>
      <w:szCs w:val="24"/>
      <w:u w:val="single"/>
    </w:rPr>
  </w:style>
  <w:style w:type="character" w:customStyle="1" w:styleId="472">
    <w:name w:val="样式20 Char"/>
    <w:link w:val="473"/>
    <w:qFormat/>
    <w:uiPriority w:val="0"/>
    <w:rPr>
      <w:rFonts w:eastAsia="黑体"/>
      <w:b/>
      <w:bCs/>
      <w:kern w:val="2"/>
      <w:sz w:val="28"/>
      <w:szCs w:val="28"/>
      <w:lang w:eastAsia="en-US" w:bidi="en-US"/>
    </w:rPr>
  </w:style>
  <w:style w:type="paragraph" w:customStyle="1" w:styleId="473">
    <w:name w:val="样式20"/>
    <w:basedOn w:val="179"/>
    <w:link w:val="472"/>
    <w:qFormat/>
    <w:uiPriority w:val="0"/>
    <w:pPr>
      <w:tabs>
        <w:tab w:val="left" w:pos="360"/>
      </w:tabs>
      <w:spacing w:before="0" w:after="0"/>
      <w:ind w:left="360" w:firstLine="0"/>
    </w:pPr>
    <w:rPr>
      <w:rFonts w:asciiTheme="minorHAnsi" w:hAnsiTheme="minorHAnsi"/>
      <w:kern w:val="2"/>
      <w:lang w:eastAsia="en-US" w:bidi="en-US"/>
    </w:rPr>
  </w:style>
  <w:style w:type="character" w:customStyle="1" w:styleId="474">
    <w:name w:val="正文文本 + SimSun11"/>
    <w:qFormat/>
    <w:uiPriority w:val="0"/>
    <w:rPr>
      <w:rFonts w:ascii="宋体" w:hAnsi="宋体" w:eastAsia="Arial Unicode MS" w:cs="宋体"/>
      <w:kern w:val="2"/>
      <w:sz w:val="20"/>
      <w:szCs w:val="20"/>
      <w:u w:val="none"/>
      <w:lang w:val="en-US" w:eastAsia="zh-CN" w:bidi="ar-SA"/>
    </w:rPr>
  </w:style>
  <w:style w:type="character" w:customStyle="1" w:styleId="475">
    <w:name w:val="8 Char1 Char Char1"/>
    <w:qFormat/>
    <w:uiPriority w:val="0"/>
    <w:rPr>
      <w:rFonts w:hint="eastAsia" w:ascii="宋体" w:hAnsi="宋体" w:eastAsia="宋体"/>
      <w:kern w:val="10"/>
      <w:sz w:val="24"/>
      <w:szCs w:val="24"/>
      <w:lang w:val="en-US" w:eastAsia="zh-CN" w:bidi="ar-SA"/>
    </w:rPr>
  </w:style>
  <w:style w:type="character" w:customStyle="1" w:styleId="476">
    <w:name w:val="正文文本 (17) + 间距 0 pt Exact1"/>
    <w:qFormat/>
    <w:uiPriority w:val="0"/>
    <w:rPr>
      <w:rFonts w:ascii="宋体" w:hAnsi="宋体"/>
      <w:spacing w:val="4"/>
      <w:sz w:val="16"/>
      <w:szCs w:val="16"/>
      <w:shd w:val="clear" w:color="auto" w:fill="FFFFFF"/>
    </w:rPr>
  </w:style>
  <w:style w:type="character" w:customStyle="1" w:styleId="477">
    <w:name w:val="图片标题 (12) Exact1"/>
    <w:qFormat/>
    <w:uiPriority w:val="0"/>
    <w:rPr>
      <w:rFonts w:ascii="宋体" w:hAnsi="宋体"/>
      <w:spacing w:val="-7"/>
      <w:shd w:val="clear" w:color="auto" w:fill="FFFFFF"/>
      <w:lang w:val="en-US" w:eastAsia="en-US"/>
    </w:rPr>
  </w:style>
  <w:style w:type="character" w:customStyle="1" w:styleId="478">
    <w:name w:val="bds_nopic1"/>
    <w:qFormat/>
    <w:uiPriority w:val="0"/>
    <w:rPr>
      <w:sz w:val="21"/>
    </w:rPr>
  </w:style>
  <w:style w:type="character" w:customStyle="1" w:styleId="479">
    <w:name w:val="正文文本 (2) + Arial Unicode MS3"/>
    <w:qFormat/>
    <w:uiPriority w:val="0"/>
    <w:rPr>
      <w:rFonts w:ascii="Arial Unicode MS" w:hAnsi="宋体" w:eastAsia="Arial Unicode MS" w:cs="Arial Unicode MS"/>
      <w:spacing w:val="10"/>
      <w:sz w:val="11"/>
      <w:szCs w:val="11"/>
      <w:shd w:val="clear" w:color="auto" w:fill="FFFFFF"/>
      <w:lang w:val="en-US" w:eastAsia="zh-CN"/>
    </w:rPr>
  </w:style>
  <w:style w:type="character" w:customStyle="1" w:styleId="480">
    <w:name w:val="样式2 Char Char"/>
    <w:qFormat/>
    <w:uiPriority w:val="0"/>
    <w:rPr>
      <w:rFonts w:ascii="Arial" w:hAnsi="Arial" w:eastAsia="华文仿宋" w:cs="宋体"/>
      <w:b/>
      <w:kern w:val="2"/>
      <w:sz w:val="24"/>
      <w:szCs w:val="24"/>
      <w:lang w:eastAsia="en-US" w:bidi="en-US"/>
    </w:rPr>
  </w:style>
  <w:style w:type="character" w:styleId="481">
    <w:name w:val="Placeholder Text"/>
    <w:semiHidden/>
    <w:qFormat/>
    <w:uiPriority w:val="99"/>
    <w:rPr>
      <w:color w:val="808080"/>
    </w:rPr>
  </w:style>
  <w:style w:type="character" w:customStyle="1" w:styleId="482">
    <w:name w:val="标题 #3 (7) + Times New Roman1"/>
    <w:qFormat/>
    <w:uiPriority w:val="0"/>
    <w:rPr>
      <w:rFonts w:ascii="Times New Roman" w:hAnsi="Times New Roman" w:cs="Times New Roman"/>
      <w:b/>
      <w:bCs/>
      <w:spacing w:val="0"/>
      <w:sz w:val="27"/>
      <w:szCs w:val="27"/>
      <w:shd w:val="clear" w:color="auto" w:fill="FFFFFF"/>
      <w:lang w:val="en-US" w:eastAsia="en-US"/>
    </w:rPr>
  </w:style>
  <w:style w:type="character" w:customStyle="1" w:styleId="483">
    <w:name w:val="标题 6 Char1"/>
    <w:qFormat/>
    <w:uiPriority w:val="9"/>
    <w:rPr>
      <w:rFonts w:ascii="Calibri" w:hAnsi="Calibri" w:eastAsia="宋体"/>
      <w:b/>
      <w:bCs/>
      <w:sz w:val="22"/>
      <w:szCs w:val="22"/>
      <w:lang w:val="en-US" w:eastAsia="en-US" w:bidi="en-US"/>
    </w:rPr>
  </w:style>
  <w:style w:type="character" w:customStyle="1" w:styleId="484">
    <w:name w:val="正文文本 (6) Exact"/>
    <w:qFormat/>
    <w:uiPriority w:val="0"/>
    <w:rPr>
      <w:rFonts w:ascii="宋体" w:hAnsi="宋体" w:cs="宋体"/>
      <w:spacing w:val="-7"/>
      <w:sz w:val="28"/>
      <w:szCs w:val="28"/>
      <w:u w:val="none"/>
    </w:rPr>
  </w:style>
  <w:style w:type="character" w:customStyle="1" w:styleId="485">
    <w:name w:val="引用 Char"/>
    <w:link w:val="486"/>
    <w:qFormat/>
    <w:uiPriority w:val="0"/>
    <w:rPr>
      <w:rFonts w:ascii="Calibri" w:hAnsi="Calibri" w:eastAsia="宋体"/>
      <w:i/>
      <w:sz w:val="24"/>
      <w:szCs w:val="24"/>
      <w:lang w:eastAsia="en-US" w:bidi="en-US"/>
    </w:rPr>
  </w:style>
  <w:style w:type="paragraph" w:styleId="486">
    <w:name w:val="Quote"/>
    <w:basedOn w:val="1"/>
    <w:next w:val="1"/>
    <w:link w:val="485"/>
    <w:qFormat/>
    <w:uiPriority w:val="0"/>
    <w:pPr>
      <w:widowControl/>
      <w:jc w:val="left"/>
    </w:pPr>
    <w:rPr>
      <w:rFonts w:ascii="Calibri" w:hAnsi="Calibri" w:cstheme="minorBidi"/>
      <w:i/>
      <w:kern w:val="0"/>
      <w:sz w:val="24"/>
      <w:szCs w:val="24"/>
      <w:lang w:eastAsia="en-US" w:bidi="en-US"/>
    </w:rPr>
  </w:style>
  <w:style w:type="character" w:customStyle="1" w:styleId="487">
    <w:name w:val="引用 Char1"/>
    <w:basedOn w:val="89"/>
    <w:qFormat/>
    <w:uiPriority w:val="29"/>
    <w:rPr>
      <w:rFonts w:ascii="Arial" w:hAnsi="Arial" w:eastAsia="宋体" w:cs="Times New Roman"/>
      <w:i/>
      <w:iCs/>
      <w:color w:val="000000" w:themeColor="text1"/>
      <w:kern w:val="2"/>
      <w:sz w:val="21"/>
      <w14:textFill>
        <w14:solidFill>
          <w14:schemeClr w14:val="tx1"/>
        </w14:solidFill>
      </w14:textFill>
    </w:rPr>
  </w:style>
  <w:style w:type="character" w:customStyle="1" w:styleId="488">
    <w:name w:val="表格标题 (10) + 10 pt"/>
    <w:qFormat/>
    <w:uiPriority w:val="0"/>
    <w:rPr>
      <w:rFonts w:ascii="Arial Unicode MS" w:eastAsia="Arial Unicode MS"/>
      <w:i/>
      <w:iCs/>
      <w:spacing w:val="3"/>
      <w:sz w:val="20"/>
      <w:szCs w:val="20"/>
      <w:shd w:val="clear" w:color="auto" w:fill="FFFFFF"/>
      <w:lang w:eastAsia="en-US"/>
    </w:rPr>
  </w:style>
  <w:style w:type="character" w:customStyle="1" w:styleId="489">
    <w:name w:val="正文文本 + Times New Roman13"/>
    <w:qFormat/>
    <w:uiPriority w:val="0"/>
    <w:rPr>
      <w:rFonts w:ascii="Times New Roman" w:hAnsi="Times New Roman" w:eastAsia="Arial Unicode MS" w:cs="Times New Roman"/>
      <w:b/>
      <w:bCs/>
      <w:kern w:val="2"/>
      <w:sz w:val="19"/>
      <w:szCs w:val="19"/>
      <w:u w:val="none"/>
      <w:lang w:val="en-US" w:eastAsia="en-US" w:bidi="ar-SA"/>
    </w:rPr>
  </w:style>
  <w:style w:type="character" w:customStyle="1" w:styleId="490">
    <w:name w:val="表格标题 (2) + 10.5 pt Exact"/>
    <w:qFormat/>
    <w:uiPriority w:val="0"/>
    <w:rPr>
      <w:rFonts w:ascii="Arial Unicode MS" w:eastAsia="Arial Unicode MS" w:cs="Arial Unicode MS"/>
      <w:spacing w:val="2"/>
      <w:sz w:val="21"/>
      <w:szCs w:val="21"/>
      <w:u w:val="none"/>
      <w:shd w:val="clear" w:color="auto" w:fill="FFFFFF"/>
      <w:lang w:eastAsia="en-US"/>
    </w:rPr>
  </w:style>
  <w:style w:type="character" w:customStyle="1" w:styleId="491">
    <w:name w:val="8 Char2 Char"/>
    <w:link w:val="492"/>
    <w:qFormat/>
    <w:locked/>
    <w:uiPriority w:val="0"/>
    <w:rPr>
      <w:kern w:val="10"/>
      <w:sz w:val="24"/>
      <w:szCs w:val="24"/>
    </w:rPr>
  </w:style>
  <w:style w:type="paragraph" w:customStyle="1" w:styleId="492">
    <w:name w:val="8 Char2"/>
    <w:basedOn w:val="1"/>
    <w:link w:val="491"/>
    <w:qFormat/>
    <w:uiPriority w:val="0"/>
    <w:pPr>
      <w:spacing w:line="360" w:lineRule="auto"/>
      <w:ind w:firstLine="480" w:firstLineChars="200"/>
    </w:pPr>
    <w:rPr>
      <w:rFonts w:asciiTheme="minorHAnsi" w:hAnsiTheme="minorHAnsi" w:eastAsiaTheme="minorEastAsia" w:cstheme="minorBidi"/>
      <w:kern w:val="10"/>
      <w:sz w:val="24"/>
      <w:szCs w:val="24"/>
    </w:rPr>
  </w:style>
  <w:style w:type="character" w:customStyle="1" w:styleId="493">
    <w:name w:val="正文文本 (46) + 间距 2 pt"/>
    <w:qFormat/>
    <w:uiPriority w:val="0"/>
    <w:rPr>
      <w:rFonts w:ascii="宋体" w:hAnsi="宋体"/>
      <w:spacing w:val="50"/>
      <w:sz w:val="9"/>
      <w:szCs w:val="9"/>
      <w:shd w:val="clear" w:color="auto" w:fill="FFFFFF"/>
    </w:rPr>
  </w:style>
  <w:style w:type="character" w:customStyle="1" w:styleId="494">
    <w:name w:val="正文文本 + Times New Roman16"/>
    <w:qFormat/>
    <w:uiPriority w:val="0"/>
    <w:rPr>
      <w:rFonts w:ascii="Times New Roman" w:hAnsi="Times New Roman" w:eastAsia="Arial Unicode MS" w:cs="Times New Roman"/>
      <w:spacing w:val="-7"/>
      <w:kern w:val="2"/>
      <w:sz w:val="19"/>
      <w:szCs w:val="19"/>
      <w:u w:val="none"/>
      <w:lang w:val="en-US" w:eastAsia="zh-CN" w:bidi="ar-SA"/>
    </w:rPr>
  </w:style>
  <w:style w:type="character" w:customStyle="1" w:styleId="495">
    <w:name w:val="正文文本 (7) + 间距 2 pt"/>
    <w:qFormat/>
    <w:uiPriority w:val="0"/>
    <w:rPr>
      <w:rFonts w:ascii="Arial Unicode MS" w:eastAsia="Arial Unicode MS" w:cs="Arial Unicode MS"/>
      <w:spacing w:val="40"/>
      <w:sz w:val="21"/>
      <w:szCs w:val="21"/>
      <w:u w:val="none"/>
      <w:shd w:val="clear" w:color="auto" w:fill="FFFFFF"/>
      <w:lang w:eastAsia="en-US"/>
    </w:rPr>
  </w:style>
  <w:style w:type="character" w:customStyle="1" w:styleId="496">
    <w:name w:val="ps01"/>
    <w:basedOn w:val="89"/>
    <w:qFormat/>
    <w:uiPriority w:val="0"/>
  </w:style>
  <w:style w:type="character" w:customStyle="1" w:styleId="497">
    <w:name w:val="正文文本 (23) + 10.5 pt"/>
    <w:qFormat/>
    <w:uiPriority w:val="0"/>
    <w:rPr>
      <w:rFonts w:ascii="Arial Unicode MS" w:eastAsia="Arial Unicode MS"/>
      <w:i/>
      <w:iCs/>
      <w:color w:val="000000"/>
      <w:spacing w:val="0"/>
      <w:w w:val="100"/>
      <w:position w:val="0"/>
      <w:sz w:val="21"/>
      <w:szCs w:val="21"/>
      <w:shd w:val="clear" w:color="auto" w:fill="FFFFFF"/>
      <w:lang w:val="en-US" w:eastAsia="zh-CN"/>
    </w:rPr>
  </w:style>
  <w:style w:type="character" w:customStyle="1" w:styleId="498">
    <w:name w:val="表格标题 (9)"/>
    <w:qFormat/>
    <w:uiPriority w:val="0"/>
    <w:rPr>
      <w:rFonts w:ascii="宋体" w:hAnsi="宋体" w:cs="宋体"/>
      <w:spacing w:val="-10"/>
      <w:sz w:val="29"/>
      <w:szCs w:val="29"/>
      <w:u w:val="none"/>
    </w:rPr>
  </w:style>
  <w:style w:type="character" w:customStyle="1" w:styleId="499">
    <w:name w:val="14black1"/>
    <w:qFormat/>
    <w:uiPriority w:val="0"/>
    <w:rPr>
      <w:color w:val="000000"/>
      <w:sz w:val="21"/>
      <w:szCs w:val="21"/>
      <w:u w:val="none"/>
    </w:rPr>
  </w:style>
  <w:style w:type="character" w:customStyle="1" w:styleId="500">
    <w:name w:val="正文文本 (7)2"/>
    <w:qFormat/>
    <w:uiPriority w:val="0"/>
    <w:rPr>
      <w:rFonts w:ascii="Arial Unicode MS" w:eastAsia="Arial Unicode MS" w:cs="Arial Unicode MS"/>
      <w:sz w:val="21"/>
      <w:szCs w:val="21"/>
      <w:u w:val="none"/>
      <w:shd w:val="clear" w:color="auto" w:fill="FFFFFF"/>
      <w:lang w:eastAsia="en-US"/>
    </w:rPr>
  </w:style>
  <w:style w:type="character" w:customStyle="1" w:styleId="501">
    <w:name w:val="正文文本 (46) + 间距 1 pt Exact"/>
    <w:qFormat/>
    <w:uiPriority w:val="0"/>
    <w:rPr>
      <w:rFonts w:ascii="宋体" w:hAnsi="宋体"/>
      <w:spacing w:val="35"/>
      <w:sz w:val="9"/>
      <w:szCs w:val="9"/>
      <w:shd w:val="clear" w:color="auto" w:fill="FFFFFF"/>
    </w:rPr>
  </w:style>
  <w:style w:type="character" w:customStyle="1" w:styleId="502">
    <w:name w:val="正文文本 (13) Exact"/>
    <w:qFormat/>
    <w:uiPriority w:val="0"/>
    <w:rPr>
      <w:rFonts w:ascii="Arial Unicode MS" w:eastAsia="Arial Unicode MS" w:cs="Arial Unicode MS"/>
      <w:i/>
      <w:iCs/>
      <w:spacing w:val="-18"/>
      <w:sz w:val="9"/>
      <w:szCs w:val="9"/>
      <w:u w:val="none"/>
      <w:lang w:val="en-US" w:eastAsia="en-US"/>
    </w:rPr>
  </w:style>
  <w:style w:type="character" w:customStyle="1" w:styleId="503">
    <w:name w:val="正文文本 + Times New Roman15"/>
    <w:qFormat/>
    <w:uiPriority w:val="0"/>
    <w:rPr>
      <w:rFonts w:ascii="Times New Roman" w:hAnsi="Times New Roman" w:eastAsia="Arial Unicode MS" w:cs="Times New Roman"/>
      <w:b/>
      <w:bCs/>
      <w:kern w:val="2"/>
      <w:sz w:val="28"/>
      <w:szCs w:val="28"/>
      <w:u w:val="none"/>
      <w:lang w:val="en-US" w:eastAsia="en-US" w:bidi="ar-SA"/>
    </w:rPr>
  </w:style>
  <w:style w:type="character" w:customStyle="1" w:styleId="504">
    <w:name w:val="articlectrl"/>
    <w:qFormat/>
    <w:uiPriority w:val="0"/>
  </w:style>
  <w:style w:type="character" w:customStyle="1" w:styleId="505">
    <w:name w:val="small"/>
    <w:basedOn w:val="89"/>
    <w:qFormat/>
    <w:uiPriority w:val="0"/>
  </w:style>
  <w:style w:type="character" w:customStyle="1" w:styleId="506">
    <w:name w:val="图片标题 (2)2"/>
    <w:basedOn w:val="507"/>
    <w:qFormat/>
    <w:uiPriority w:val="0"/>
    <w:rPr>
      <w:rFonts w:ascii="Arial Unicode MS" w:eastAsia="Arial Unicode MS"/>
      <w:sz w:val="22"/>
      <w:szCs w:val="22"/>
      <w:shd w:val="clear" w:color="auto" w:fill="FFFFFF"/>
    </w:rPr>
  </w:style>
  <w:style w:type="character" w:customStyle="1" w:styleId="507">
    <w:name w:val="图片标题 (2)_"/>
    <w:link w:val="508"/>
    <w:qFormat/>
    <w:uiPriority w:val="0"/>
    <w:rPr>
      <w:rFonts w:ascii="Arial Unicode MS" w:eastAsia="Arial Unicode MS"/>
      <w:sz w:val="22"/>
      <w:szCs w:val="22"/>
      <w:shd w:val="clear" w:color="auto" w:fill="FFFFFF"/>
    </w:rPr>
  </w:style>
  <w:style w:type="paragraph" w:customStyle="1" w:styleId="508">
    <w:name w:val="图片标题 (2)1"/>
    <w:basedOn w:val="1"/>
    <w:link w:val="507"/>
    <w:qFormat/>
    <w:uiPriority w:val="0"/>
    <w:pPr>
      <w:shd w:val="clear" w:color="auto" w:fill="FFFFFF"/>
      <w:spacing w:line="240" w:lineRule="atLeast"/>
      <w:jc w:val="left"/>
    </w:pPr>
    <w:rPr>
      <w:rFonts w:ascii="Arial Unicode MS" w:eastAsia="Arial Unicode MS" w:hAnsiTheme="minorHAnsi" w:cstheme="minorBidi"/>
      <w:kern w:val="0"/>
      <w:sz w:val="22"/>
      <w:szCs w:val="22"/>
    </w:rPr>
  </w:style>
  <w:style w:type="character" w:customStyle="1" w:styleId="509">
    <w:name w:val="标题 #2 + 间距 0 pt1"/>
    <w:qFormat/>
    <w:uiPriority w:val="0"/>
    <w:rPr>
      <w:rFonts w:ascii="宋体" w:hAnsi="宋体" w:cs="宋体"/>
      <w:spacing w:val="-10"/>
      <w:sz w:val="29"/>
      <w:szCs w:val="29"/>
      <w:u w:val="none"/>
      <w:shd w:val="clear" w:color="auto" w:fill="FFFFFF"/>
    </w:rPr>
  </w:style>
  <w:style w:type="character" w:customStyle="1" w:styleId="510">
    <w:name w:val="表号 Char"/>
    <w:link w:val="511"/>
    <w:qFormat/>
    <w:uiPriority w:val="0"/>
    <w:rPr>
      <w:kern w:val="2"/>
      <w:sz w:val="24"/>
      <w:szCs w:val="24"/>
    </w:rPr>
  </w:style>
  <w:style w:type="paragraph" w:customStyle="1" w:styleId="511">
    <w:name w:val="表号"/>
    <w:basedOn w:val="1"/>
    <w:link w:val="510"/>
    <w:qFormat/>
    <w:uiPriority w:val="0"/>
    <w:pPr>
      <w:keepNext/>
      <w:adjustRightInd w:val="0"/>
      <w:snapToGrid w:val="0"/>
      <w:jc w:val="left"/>
    </w:pPr>
    <w:rPr>
      <w:rFonts w:asciiTheme="minorHAnsi" w:hAnsiTheme="minorHAnsi" w:eastAsiaTheme="minorEastAsia" w:cstheme="minorBidi"/>
      <w:sz w:val="24"/>
      <w:szCs w:val="24"/>
    </w:rPr>
  </w:style>
  <w:style w:type="character" w:customStyle="1" w:styleId="512">
    <w:name w:val="正文1 Char Char Char Char"/>
    <w:qFormat/>
    <w:uiPriority w:val="0"/>
    <w:rPr>
      <w:rFonts w:hint="eastAsia" w:ascii="仿宋_GB2312" w:eastAsia="仿宋_GB2312"/>
      <w:kern w:val="2"/>
      <w:sz w:val="26"/>
      <w:szCs w:val="26"/>
      <w:lang w:val="en-US" w:eastAsia="zh-CN" w:bidi="ar-SA"/>
    </w:rPr>
  </w:style>
  <w:style w:type="character" w:customStyle="1" w:styleId="513">
    <w:name w:val="表格标题 (8) + Arial Unicode MS"/>
    <w:qFormat/>
    <w:uiPriority w:val="0"/>
    <w:rPr>
      <w:rFonts w:ascii="Arial Unicode MS" w:hAnsi="宋体" w:eastAsia="Arial Unicode MS" w:cs="Arial Unicode MS"/>
      <w:b/>
      <w:bCs/>
      <w:sz w:val="19"/>
      <w:szCs w:val="19"/>
      <w:shd w:val="clear" w:color="auto" w:fill="FFFFFF"/>
      <w:lang w:val="en-US" w:eastAsia="en-US"/>
    </w:rPr>
  </w:style>
  <w:style w:type="character" w:customStyle="1" w:styleId="514">
    <w:name w:val="正文文本缩进 3 Char1"/>
    <w:qFormat/>
    <w:uiPriority w:val="0"/>
    <w:rPr>
      <w:rFonts w:ascii="Calibri" w:hAnsi="Calibri"/>
      <w:sz w:val="16"/>
      <w:szCs w:val="16"/>
      <w:lang w:eastAsia="en-US" w:bidi="en-US"/>
    </w:rPr>
  </w:style>
  <w:style w:type="character" w:customStyle="1" w:styleId="515">
    <w:name w:val="图片标题 (2) + 10.5 pt2"/>
    <w:qFormat/>
    <w:uiPriority w:val="0"/>
    <w:rPr>
      <w:rFonts w:ascii="Arial Unicode MS" w:eastAsia="Arial Unicode MS"/>
      <w:sz w:val="21"/>
      <w:szCs w:val="21"/>
      <w:shd w:val="clear" w:color="auto" w:fill="FFFFFF"/>
      <w:lang w:val="en-US" w:eastAsia="en-US"/>
    </w:rPr>
  </w:style>
  <w:style w:type="character" w:customStyle="1" w:styleId="516">
    <w:name w:val="正文文本 + 间距 2 pt Exact"/>
    <w:qFormat/>
    <w:uiPriority w:val="0"/>
    <w:rPr>
      <w:rFonts w:ascii="Arial Unicode MS" w:eastAsia="Arial Unicode MS" w:cs="Arial Unicode MS"/>
      <w:spacing w:val="48"/>
      <w:kern w:val="2"/>
      <w:sz w:val="21"/>
      <w:szCs w:val="21"/>
      <w:u w:val="none"/>
      <w:lang w:val="en-US" w:eastAsia="zh-CN" w:bidi="ar-SA"/>
    </w:rPr>
  </w:style>
  <w:style w:type="character" w:customStyle="1" w:styleId="517">
    <w:name w:val="页眉或页脚 + Times New Roman1"/>
    <w:qFormat/>
    <w:uiPriority w:val="0"/>
    <w:rPr>
      <w:rFonts w:ascii="Times New Roman" w:hAnsi="Times New Roman" w:cs="Times New Roman"/>
      <w:sz w:val="17"/>
      <w:szCs w:val="17"/>
      <w:shd w:val="clear" w:color="auto" w:fill="FFFFFF"/>
    </w:rPr>
  </w:style>
  <w:style w:type="character" w:customStyle="1" w:styleId="518">
    <w:name w:val="正文文本 + 10.5 pt18"/>
    <w:qFormat/>
    <w:uiPriority w:val="0"/>
    <w:rPr>
      <w:rFonts w:ascii="Arial Unicode MS" w:eastAsia="Arial Unicode MS" w:cs="Arial Unicode MS"/>
      <w:smallCaps/>
      <w:kern w:val="2"/>
      <w:sz w:val="21"/>
      <w:szCs w:val="21"/>
      <w:u w:val="none"/>
      <w:lang w:val="en-US" w:eastAsia="en-US" w:bidi="ar-SA"/>
    </w:rPr>
  </w:style>
  <w:style w:type="character" w:customStyle="1" w:styleId="519">
    <w:name w:val="正文文本 (21) Exact"/>
    <w:link w:val="520"/>
    <w:qFormat/>
    <w:uiPriority w:val="0"/>
    <w:rPr>
      <w:rFonts w:ascii="黑体" w:hAnsi="黑体"/>
      <w:w w:val="350"/>
      <w:sz w:val="23"/>
      <w:szCs w:val="23"/>
      <w:shd w:val="clear" w:color="auto" w:fill="FFFFFF"/>
      <w:lang w:eastAsia="en-US"/>
    </w:rPr>
  </w:style>
  <w:style w:type="paragraph" w:customStyle="1" w:styleId="520">
    <w:name w:val="正文文本 (21)"/>
    <w:basedOn w:val="1"/>
    <w:link w:val="519"/>
    <w:qFormat/>
    <w:uiPriority w:val="0"/>
    <w:pPr>
      <w:shd w:val="clear" w:color="auto" w:fill="FFFFFF"/>
      <w:spacing w:line="240" w:lineRule="atLeast"/>
      <w:jc w:val="left"/>
    </w:pPr>
    <w:rPr>
      <w:rFonts w:ascii="黑体" w:hAnsi="黑体" w:eastAsiaTheme="minorEastAsia" w:cstheme="minorBidi"/>
      <w:w w:val="350"/>
      <w:kern w:val="0"/>
      <w:sz w:val="23"/>
      <w:szCs w:val="23"/>
      <w:lang w:eastAsia="en-US"/>
    </w:rPr>
  </w:style>
  <w:style w:type="character" w:customStyle="1" w:styleId="521">
    <w:name w:val="正文文本 (7) Exact"/>
    <w:qFormat/>
    <w:uiPriority w:val="0"/>
    <w:rPr>
      <w:rFonts w:ascii="Arial Unicode MS" w:eastAsia="Arial Unicode MS" w:cs="Arial Unicode MS"/>
      <w:spacing w:val="2"/>
      <w:sz w:val="20"/>
      <w:szCs w:val="20"/>
      <w:u w:val="none"/>
      <w:lang w:val="en-US" w:eastAsia="en-US"/>
    </w:rPr>
  </w:style>
  <w:style w:type="character" w:customStyle="1" w:styleId="522">
    <w:name w:val="tpc_title1"/>
    <w:qFormat/>
    <w:uiPriority w:val="0"/>
    <w:rPr>
      <w:b/>
      <w:bCs/>
      <w:sz w:val="18"/>
      <w:szCs w:val="18"/>
    </w:rPr>
  </w:style>
  <w:style w:type="character" w:customStyle="1" w:styleId="523">
    <w:name w:val="正文文本 + SimSun8"/>
    <w:qFormat/>
    <w:uiPriority w:val="0"/>
    <w:rPr>
      <w:rFonts w:ascii="宋体" w:hAnsi="宋体" w:eastAsia="Arial Unicode MS" w:cs="宋体"/>
      <w:spacing w:val="40"/>
      <w:kern w:val="2"/>
      <w:sz w:val="20"/>
      <w:szCs w:val="20"/>
      <w:u w:val="none"/>
      <w:lang w:val="en-US" w:eastAsia="zh-CN" w:bidi="ar-SA"/>
    </w:rPr>
  </w:style>
  <w:style w:type="character" w:customStyle="1" w:styleId="524">
    <w:name w:val="正文文本 (13) + 10.5 pt2"/>
    <w:qFormat/>
    <w:uiPriority w:val="0"/>
    <w:rPr>
      <w:rFonts w:ascii="Arial Unicode MS" w:eastAsia="Arial Unicode MS"/>
      <w:i/>
      <w:iCs/>
      <w:spacing w:val="0"/>
      <w:sz w:val="21"/>
      <w:szCs w:val="21"/>
      <w:shd w:val="clear" w:color="auto" w:fill="FFFFFF"/>
      <w:lang w:eastAsia="en-US"/>
    </w:rPr>
  </w:style>
  <w:style w:type="character" w:customStyle="1" w:styleId="525">
    <w:name w:val="正文文本 + SimSun2"/>
    <w:qFormat/>
    <w:uiPriority w:val="0"/>
    <w:rPr>
      <w:rFonts w:ascii="宋体" w:hAnsi="宋体" w:eastAsia="Arial Unicode MS" w:cs="宋体"/>
      <w:b/>
      <w:bCs/>
      <w:spacing w:val="20"/>
      <w:kern w:val="2"/>
      <w:sz w:val="20"/>
      <w:szCs w:val="20"/>
      <w:u w:val="none"/>
      <w:lang w:val="en-US" w:eastAsia="zh-CN" w:bidi="ar-SA"/>
    </w:rPr>
  </w:style>
  <w:style w:type="character" w:customStyle="1" w:styleId="526">
    <w:name w:val="图片标题 (3)"/>
    <w:qFormat/>
    <w:uiPriority w:val="0"/>
    <w:rPr>
      <w:rFonts w:ascii="宋体" w:hAnsi="宋体"/>
      <w:b/>
      <w:bCs/>
      <w:spacing w:val="-10"/>
      <w:sz w:val="25"/>
      <w:szCs w:val="25"/>
      <w:shd w:val="clear" w:color="auto" w:fill="FFFFFF"/>
      <w:lang w:val="en-US" w:eastAsia="en-US"/>
    </w:rPr>
  </w:style>
  <w:style w:type="character" w:customStyle="1" w:styleId="527">
    <w:name w:val="表头1 Char"/>
    <w:link w:val="528"/>
    <w:qFormat/>
    <w:uiPriority w:val="0"/>
    <w:rPr>
      <w:rFonts w:eastAsia="黑体"/>
      <w:sz w:val="21"/>
      <w:szCs w:val="28"/>
    </w:rPr>
  </w:style>
  <w:style w:type="paragraph" w:customStyle="1" w:styleId="528">
    <w:name w:val="表头1"/>
    <w:basedOn w:val="1"/>
    <w:next w:val="1"/>
    <w:link w:val="527"/>
    <w:qFormat/>
    <w:uiPriority w:val="0"/>
    <w:pPr>
      <w:tabs>
        <w:tab w:val="left" w:pos="605"/>
      </w:tabs>
      <w:adjustRightInd w:val="0"/>
      <w:snapToGrid w:val="0"/>
      <w:spacing w:line="360" w:lineRule="auto"/>
      <w:ind w:firstLine="200" w:firstLineChars="200"/>
      <w:jc w:val="center"/>
    </w:pPr>
    <w:rPr>
      <w:rFonts w:eastAsia="黑体" w:asciiTheme="minorHAnsi" w:hAnsiTheme="minorHAnsi" w:cstheme="minorBidi"/>
      <w:kern w:val="0"/>
      <w:szCs w:val="28"/>
    </w:rPr>
  </w:style>
  <w:style w:type="character" w:customStyle="1" w:styleId="529">
    <w:name w:val="正文文本 (7) + Times New Roman5"/>
    <w:qFormat/>
    <w:uiPriority w:val="0"/>
    <w:rPr>
      <w:rFonts w:ascii="Times New Roman" w:hAnsi="Times New Roman" w:eastAsia="Arial Unicode MS" w:cs="Times New Roman"/>
      <w:sz w:val="20"/>
      <w:szCs w:val="20"/>
      <w:u w:val="none"/>
      <w:shd w:val="clear" w:color="auto" w:fill="FFFFFF"/>
      <w:lang w:eastAsia="en-US"/>
    </w:rPr>
  </w:style>
  <w:style w:type="character" w:customStyle="1" w:styleId="530">
    <w:name w:val="正文文本 + 10.5 pt20"/>
    <w:qFormat/>
    <w:uiPriority w:val="0"/>
    <w:rPr>
      <w:rFonts w:ascii="Arial Unicode MS" w:eastAsia="Arial Unicode MS" w:cs="Arial Unicode MS"/>
      <w:sz w:val="21"/>
      <w:szCs w:val="21"/>
      <w:u w:val="none"/>
      <w:lang w:val="en-US" w:eastAsia="en-US"/>
    </w:rPr>
  </w:style>
  <w:style w:type="character" w:customStyle="1" w:styleId="531">
    <w:name w:val="正文文本 Char2"/>
    <w:qFormat/>
    <w:uiPriority w:val="99"/>
    <w:rPr>
      <w:rFonts w:eastAsia="宋体"/>
      <w:kern w:val="2"/>
      <w:sz w:val="24"/>
      <w:szCs w:val="24"/>
      <w:lang w:val="en-US" w:eastAsia="en-US" w:bidi="en-US"/>
    </w:rPr>
  </w:style>
  <w:style w:type="character" w:customStyle="1" w:styleId="532">
    <w:name w:val="正文文本 (39)_"/>
    <w:link w:val="533"/>
    <w:qFormat/>
    <w:uiPriority w:val="0"/>
    <w:rPr>
      <w:rFonts w:ascii="Arial Unicode MS" w:eastAsia="Arial Unicode MS"/>
      <w:sz w:val="14"/>
      <w:szCs w:val="14"/>
      <w:shd w:val="clear" w:color="auto" w:fill="FFFFFF"/>
      <w:lang w:eastAsia="en-US"/>
    </w:rPr>
  </w:style>
  <w:style w:type="paragraph" w:customStyle="1" w:styleId="533">
    <w:name w:val="正文文本 (39)"/>
    <w:basedOn w:val="1"/>
    <w:link w:val="532"/>
    <w:qFormat/>
    <w:uiPriority w:val="0"/>
    <w:pPr>
      <w:shd w:val="clear" w:color="auto" w:fill="FFFFFF"/>
      <w:spacing w:before="120" w:after="120" w:line="240" w:lineRule="atLeast"/>
      <w:jc w:val="right"/>
    </w:pPr>
    <w:rPr>
      <w:rFonts w:ascii="Arial Unicode MS" w:eastAsia="Arial Unicode MS" w:hAnsiTheme="minorHAnsi" w:cstheme="minorBidi"/>
      <w:kern w:val="0"/>
      <w:sz w:val="14"/>
      <w:szCs w:val="14"/>
      <w:lang w:eastAsia="en-US"/>
    </w:rPr>
  </w:style>
  <w:style w:type="character" w:customStyle="1" w:styleId="534">
    <w:name w:val="表格标题 (4) Exact1"/>
    <w:basedOn w:val="535"/>
    <w:qFormat/>
    <w:uiPriority w:val="0"/>
    <w:rPr>
      <w:spacing w:val="-7"/>
      <w:sz w:val="19"/>
      <w:szCs w:val="19"/>
      <w:shd w:val="clear" w:color="auto" w:fill="FFFFFF"/>
      <w:lang w:eastAsia="en-US"/>
    </w:rPr>
  </w:style>
  <w:style w:type="character" w:customStyle="1" w:styleId="535">
    <w:name w:val="表格标题 (4) Exact"/>
    <w:link w:val="536"/>
    <w:qFormat/>
    <w:uiPriority w:val="0"/>
    <w:rPr>
      <w:spacing w:val="-7"/>
      <w:sz w:val="19"/>
      <w:szCs w:val="19"/>
      <w:shd w:val="clear" w:color="auto" w:fill="FFFFFF"/>
      <w:lang w:eastAsia="en-US"/>
    </w:rPr>
  </w:style>
  <w:style w:type="paragraph" w:customStyle="1" w:styleId="536">
    <w:name w:val="表格标题 (4)"/>
    <w:basedOn w:val="1"/>
    <w:link w:val="535"/>
    <w:qFormat/>
    <w:uiPriority w:val="0"/>
    <w:pPr>
      <w:shd w:val="clear" w:color="auto" w:fill="FFFFFF"/>
      <w:spacing w:line="240" w:lineRule="atLeast"/>
      <w:jc w:val="left"/>
    </w:pPr>
    <w:rPr>
      <w:rFonts w:asciiTheme="minorHAnsi" w:hAnsiTheme="minorHAnsi" w:eastAsiaTheme="minorEastAsia" w:cstheme="minorBidi"/>
      <w:spacing w:val="-7"/>
      <w:kern w:val="0"/>
      <w:sz w:val="19"/>
      <w:szCs w:val="19"/>
      <w:lang w:eastAsia="en-US"/>
    </w:rPr>
  </w:style>
  <w:style w:type="character" w:customStyle="1" w:styleId="537">
    <w:name w:val="表格标题 (8) Exact"/>
    <w:qFormat/>
    <w:uiPriority w:val="0"/>
    <w:rPr>
      <w:rFonts w:ascii="宋体" w:hAnsi="宋体" w:cs="宋体"/>
      <w:spacing w:val="5"/>
      <w:sz w:val="18"/>
      <w:szCs w:val="18"/>
      <w:u w:val="none"/>
    </w:rPr>
  </w:style>
  <w:style w:type="character" w:customStyle="1" w:styleId="538">
    <w:name w:val="表格标题4"/>
    <w:basedOn w:val="539"/>
    <w:qFormat/>
    <w:uiPriority w:val="0"/>
    <w:rPr>
      <w:rFonts w:ascii="Arial Unicode MS" w:eastAsia="Arial Unicode MS" w:cs="Arial Unicode MS"/>
      <w:sz w:val="22"/>
      <w:szCs w:val="22"/>
      <w:u w:val="none"/>
    </w:rPr>
  </w:style>
  <w:style w:type="character" w:customStyle="1" w:styleId="539">
    <w:name w:val="表格标题_"/>
    <w:qFormat/>
    <w:uiPriority w:val="0"/>
    <w:rPr>
      <w:rFonts w:ascii="Arial Unicode MS" w:eastAsia="Arial Unicode MS" w:cs="Arial Unicode MS"/>
      <w:sz w:val="22"/>
      <w:szCs w:val="22"/>
      <w:u w:val="none"/>
    </w:rPr>
  </w:style>
  <w:style w:type="character" w:customStyle="1" w:styleId="540">
    <w:name w:val="正文文本 + 10.5 pt14"/>
    <w:qFormat/>
    <w:uiPriority w:val="0"/>
    <w:rPr>
      <w:rFonts w:ascii="Arial Unicode MS" w:eastAsia="Arial Unicode MS" w:cs="Arial Unicode MS"/>
      <w:spacing w:val="-30"/>
      <w:kern w:val="2"/>
      <w:sz w:val="21"/>
      <w:szCs w:val="21"/>
      <w:u w:val="none"/>
      <w:lang w:val="en-US" w:eastAsia="en-US" w:bidi="ar-SA"/>
    </w:rPr>
  </w:style>
  <w:style w:type="character" w:customStyle="1" w:styleId="541">
    <w:name w:val="正文文本 (13)"/>
    <w:basedOn w:val="542"/>
    <w:qFormat/>
    <w:uiPriority w:val="0"/>
    <w:rPr>
      <w:rFonts w:ascii="Arial Unicode MS" w:eastAsia="Arial Unicode MS"/>
      <w:spacing w:val="-20"/>
      <w:sz w:val="9"/>
      <w:szCs w:val="9"/>
      <w:shd w:val="clear" w:color="auto" w:fill="FFFFFF"/>
      <w:lang w:eastAsia="en-US"/>
    </w:rPr>
  </w:style>
  <w:style w:type="character" w:customStyle="1" w:styleId="542">
    <w:name w:val="正文文本 (13)_"/>
    <w:link w:val="543"/>
    <w:qFormat/>
    <w:uiPriority w:val="0"/>
    <w:rPr>
      <w:rFonts w:ascii="Arial Unicode MS" w:eastAsia="Arial Unicode MS"/>
      <w:i/>
      <w:iCs/>
      <w:spacing w:val="-20"/>
      <w:sz w:val="9"/>
      <w:szCs w:val="9"/>
      <w:shd w:val="clear" w:color="auto" w:fill="FFFFFF"/>
      <w:lang w:eastAsia="en-US"/>
    </w:rPr>
  </w:style>
  <w:style w:type="paragraph" w:customStyle="1" w:styleId="543">
    <w:name w:val="正文文本 (13)1"/>
    <w:basedOn w:val="1"/>
    <w:link w:val="542"/>
    <w:qFormat/>
    <w:uiPriority w:val="0"/>
    <w:pPr>
      <w:shd w:val="clear" w:color="auto" w:fill="FFFFFF"/>
      <w:spacing w:before="1800" w:after="180" w:line="240" w:lineRule="atLeast"/>
    </w:pPr>
    <w:rPr>
      <w:rFonts w:ascii="Arial Unicode MS" w:eastAsia="Arial Unicode MS" w:hAnsiTheme="minorHAnsi" w:cstheme="minorBidi"/>
      <w:i/>
      <w:iCs/>
      <w:spacing w:val="-20"/>
      <w:kern w:val="0"/>
      <w:sz w:val="9"/>
      <w:szCs w:val="9"/>
      <w:lang w:eastAsia="en-US"/>
    </w:rPr>
  </w:style>
  <w:style w:type="character" w:customStyle="1" w:styleId="544">
    <w:name w:val="Char Char6"/>
    <w:qFormat/>
    <w:uiPriority w:val="0"/>
    <w:rPr>
      <w:rFonts w:ascii="宋体" w:hAnsi="宋体"/>
      <w:snapToGrid w:val="0"/>
      <w:sz w:val="28"/>
    </w:rPr>
  </w:style>
  <w:style w:type="character" w:customStyle="1" w:styleId="545">
    <w:name w:val="正文文本 + 10.5 pt17"/>
    <w:qFormat/>
    <w:uiPriority w:val="0"/>
    <w:rPr>
      <w:rFonts w:ascii="Arial Unicode MS" w:eastAsia="Arial Unicode MS" w:cs="Arial Unicode MS"/>
      <w:sz w:val="21"/>
      <w:szCs w:val="21"/>
      <w:u w:val="none"/>
      <w:lang w:val="en-US" w:eastAsia="en-US"/>
    </w:rPr>
  </w:style>
  <w:style w:type="character" w:customStyle="1" w:styleId="546">
    <w:name w:val="正文文本 + 4.5 pt"/>
    <w:qFormat/>
    <w:uiPriority w:val="0"/>
    <w:rPr>
      <w:rFonts w:ascii="Arial Unicode MS" w:eastAsia="Arial Unicode MS" w:cs="Arial Unicode MS"/>
      <w:i/>
      <w:iCs/>
      <w:spacing w:val="-20"/>
      <w:kern w:val="2"/>
      <w:sz w:val="9"/>
      <w:szCs w:val="9"/>
      <w:u w:val="none"/>
      <w:lang w:val="en-US" w:eastAsia="zh-CN" w:bidi="ar-SA"/>
    </w:rPr>
  </w:style>
  <w:style w:type="character" w:customStyle="1" w:styleId="547">
    <w:name w:val="图片标题 + 11 pt"/>
    <w:qFormat/>
    <w:uiPriority w:val="0"/>
    <w:rPr>
      <w:rFonts w:ascii="Arial Unicode MS" w:eastAsia="Arial Unicode MS"/>
      <w:sz w:val="22"/>
      <w:szCs w:val="22"/>
      <w:shd w:val="clear" w:color="auto" w:fill="FFFFFF"/>
      <w:lang w:val="en-US" w:eastAsia="zh-CN"/>
    </w:rPr>
  </w:style>
  <w:style w:type="character" w:customStyle="1" w:styleId="548">
    <w:name w:val="标题 #3 (6) + SimSun"/>
    <w:qFormat/>
    <w:uiPriority w:val="0"/>
    <w:rPr>
      <w:rFonts w:ascii="宋体" w:hAnsi="宋体" w:cs="宋体"/>
      <w:b/>
      <w:bCs/>
      <w:spacing w:val="-10"/>
      <w:sz w:val="29"/>
      <w:szCs w:val="29"/>
      <w:shd w:val="clear" w:color="auto" w:fill="FFFFFF"/>
      <w:lang w:eastAsia="en-US"/>
    </w:rPr>
  </w:style>
  <w:style w:type="character" w:customStyle="1" w:styleId="549">
    <w:name w:val="图片标题 (2) + 10.5 pt"/>
    <w:qFormat/>
    <w:uiPriority w:val="0"/>
    <w:rPr>
      <w:rFonts w:ascii="Arial Unicode MS" w:eastAsia="Arial Unicode MS"/>
      <w:sz w:val="21"/>
      <w:szCs w:val="21"/>
      <w:shd w:val="clear" w:color="auto" w:fill="FFFFFF"/>
      <w:lang w:val="en-US" w:eastAsia="en-US"/>
    </w:rPr>
  </w:style>
  <w:style w:type="character" w:customStyle="1" w:styleId="550">
    <w:name w:val="正文1 Char1"/>
    <w:qFormat/>
    <w:locked/>
    <w:uiPriority w:val="0"/>
    <w:rPr>
      <w:rFonts w:cs="Times New Roman"/>
      <w:kern w:val="2"/>
      <w:sz w:val="24"/>
      <w:szCs w:val="22"/>
    </w:rPr>
  </w:style>
  <w:style w:type="character" w:customStyle="1" w:styleId="551">
    <w:name w:val="正文文本 (7) + 间距 0 pt Exact2"/>
    <w:qFormat/>
    <w:uiPriority w:val="0"/>
    <w:rPr>
      <w:rFonts w:ascii="Arial Unicode MS" w:eastAsia="Arial Unicode MS" w:cs="Arial Unicode MS"/>
      <w:spacing w:val="-3"/>
      <w:sz w:val="20"/>
      <w:szCs w:val="20"/>
      <w:u w:val="none"/>
      <w:shd w:val="clear" w:color="auto" w:fill="FFFFFF"/>
      <w:lang w:eastAsia="en-US"/>
    </w:rPr>
  </w:style>
  <w:style w:type="character" w:customStyle="1" w:styleId="552">
    <w:name w:val="正文文本 (5) + Times New Roman"/>
    <w:qFormat/>
    <w:uiPriority w:val="0"/>
    <w:rPr>
      <w:rFonts w:ascii="Times New Roman" w:hAnsi="Times New Roman" w:cs="Times New Roman"/>
      <w:b/>
      <w:bCs/>
      <w:spacing w:val="0"/>
      <w:sz w:val="24"/>
      <w:szCs w:val="24"/>
      <w:shd w:val="clear" w:color="auto" w:fill="FFFFFF"/>
      <w:lang w:val="en-US" w:eastAsia="en-US"/>
    </w:rPr>
  </w:style>
  <w:style w:type="character" w:customStyle="1" w:styleId="553">
    <w:name w:val="正文文本 + 10 pt2"/>
    <w:qFormat/>
    <w:uiPriority w:val="0"/>
    <w:rPr>
      <w:rFonts w:ascii="Arial Unicode MS" w:eastAsia="Arial Unicode MS" w:cs="Arial Unicode MS"/>
      <w:spacing w:val="3"/>
      <w:kern w:val="2"/>
      <w:sz w:val="20"/>
      <w:szCs w:val="20"/>
      <w:u w:val="none"/>
      <w:lang w:val="en-US" w:eastAsia="en-US" w:bidi="ar-SA"/>
    </w:rPr>
  </w:style>
  <w:style w:type="character" w:customStyle="1" w:styleId="554">
    <w:name w:val="equal"/>
    <w:basedOn w:val="89"/>
    <w:qFormat/>
    <w:uiPriority w:val="0"/>
  </w:style>
  <w:style w:type="character" w:customStyle="1" w:styleId="555">
    <w:name w:val="图片标题 (2) + 10 pt"/>
    <w:qFormat/>
    <w:uiPriority w:val="0"/>
    <w:rPr>
      <w:rFonts w:ascii="Arial Unicode MS" w:eastAsia="Arial Unicode MS"/>
      <w:spacing w:val="-3"/>
      <w:sz w:val="20"/>
      <w:szCs w:val="20"/>
      <w:shd w:val="clear" w:color="auto" w:fill="FFFFFF"/>
      <w:lang w:val="en-US" w:eastAsia="en-US"/>
    </w:rPr>
  </w:style>
  <w:style w:type="character" w:customStyle="1" w:styleId="556">
    <w:name w:val="正文文字缩进 3 Char2"/>
    <w:qFormat/>
    <w:uiPriority w:val="0"/>
    <w:rPr>
      <w:rFonts w:eastAsia="仿宋_GB2312"/>
      <w:kern w:val="2"/>
      <w:sz w:val="28"/>
      <w:lang w:val="en-US" w:eastAsia="zh-CN" w:bidi="ar-SA"/>
    </w:rPr>
  </w:style>
  <w:style w:type="character" w:customStyle="1" w:styleId="557">
    <w:name w:val="图片标题 (12) + Arial Unicode MS"/>
    <w:qFormat/>
    <w:uiPriority w:val="0"/>
    <w:rPr>
      <w:rFonts w:ascii="Arial Unicode MS" w:hAnsi="宋体" w:eastAsia="Arial Unicode MS" w:cs="Arial Unicode MS"/>
      <w:spacing w:val="0"/>
      <w:sz w:val="11"/>
      <w:szCs w:val="11"/>
      <w:shd w:val="clear" w:color="auto" w:fill="FFFFFF"/>
      <w:lang w:val="en-US" w:eastAsia="en-US"/>
    </w:rPr>
  </w:style>
  <w:style w:type="character" w:customStyle="1" w:styleId="558">
    <w:name w:val="标题 #1 (2) + 13.5 pt1"/>
    <w:qFormat/>
    <w:uiPriority w:val="0"/>
    <w:rPr>
      <w:rFonts w:ascii="Arial Unicode MS" w:eastAsia="Arial Unicode MS"/>
      <w:i/>
      <w:iCs/>
      <w:sz w:val="27"/>
      <w:szCs w:val="27"/>
      <w:shd w:val="clear" w:color="auto" w:fill="FFFFFF"/>
      <w:lang w:eastAsia="en-US"/>
    </w:rPr>
  </w:style>
  <w:style w:type="character" w:customStyle="1" w:styleId="559">
    <w:name w:val="hover31"/>
    <w:qFormat/>
    <w:uiPriority w:val="0"/>
    <w:rPr>
      <w:color w:val="3EAF0E"/>
    </w:rPr>
  </w:style>
  <w:style w:type="character" w:customStyle="1" w:styleId="560">
    <w:name w:val="正文文本 + Times New Roman12"/>
    <w:qFormat/>
    <w:uiPriority w:val="0"/>
    <w:rPr>
      <w:rFonts w:ascii="Times New Roman" w:hAnsi="Times New Roman" w:eastAsia="Arial Unicode MS" w:cs="Times New Roman"/>
      <w:kern w:val="2"/>
      <w:sz w:val="16"/>
      <w:szCs w:val="16"/>
      <w:u w:val="none"/>
      <w:lang w:val="en-US" w:eastAsia="zh-CN" w:bidi="ar-SA"/>
    </w:rPr>
  </w:style>
  <w:style w:type="character" w:customStyle="1" w:styleId="561">
    <w:name w:val="正文文本 (11)2"/>
    <w:basedOn w:val="562"/>
    <w:qFormat/>
    <w:uiPriority w:val="0"/>
    <w:rPr>
      <w:rFonts w:ascii="Arial Unicode MS" w:eastAsia="Arial Unicode MS"/>
      <w:spacing w:val="-10"/>
      <w:sz w:val="13"/>
      <w:szCs w:val="13"/>
      <w:shd w:val="clear" w:color="auto" w:fill="FFFFFF"/>
      <w:lang w:eastAsia="en-US"/>
    </w:rPr>
  </w:style>
  <w:style w:type="character" w:customStyle="1" w:styleId="562">
    <w:name w:val="正文文本 (11)_"/>
    <w:link w:val="563"/>
    <w:qFormat/>
    <w:uiPriority w:val="0"/>
    <w:rPr>
      <w:rFonts w:ascii="Arial Unicode MS" w:eastAsia="Arial Unicode MS"/>
      <w:spacing w:val="-10"/>
      <w:sz w:val="13"/>
      <w:szCs w:val="13"/>
      <w:shd w:val="clear" w:color="auto" w:fill="FFFFFF"/>
      <w:lang w:eastAsia="en-US"/>
    </w:rPr>
  </w:style>
  <w:style w:type="paragraph" w:customStyle="1" w:styleId="563">
    <w:name w:val="正文文本 (11)1"/>
    <w:basedOn w:val="1"/>
    <w:link w:val="562"/>
    <w:qFormat/>
    <w:uiPriority w:val="0"/>
    <w:pPr>
      <w:shd w:val="clear" w:color="auto" w:fill="FFFFFF"/>
      <w:spacing w:line="240" w:lineRule="atLeast"/>
      <w:jc w:val="left"/>
    </w:pPr>
    <w:rPr>
      <w:rFonts w:ascii="Arial Unicode MS" w:eastAsia="Arial Unicode MS" w:hAnsiTheme="minorHAnsi" w:cstheme="minorBidi"/>
      <w:spacing w:val="-10"/>
      <w:kern w:val="0"/>
      <w:sz w:val="13"/>
      <w:szCs w:val="13"/>
      <w:lang w:eastAsia="en-US"/>
    </w:rPr>
  </w:style>
  <w:style w:type="character" w:customStyle="1" w:styleId="564">
    <w:name w:val="正文文本 + Times New Roman18"/>
    <w:qFormat/>
    <w:uiPriority w:val="0"/>
    <w:rPr>
      <w:rFonts w:ascii="Times New Roman" w:hAnsi="Times New Roman" w:eastAsia="Arial Unicode MS" w:cs="Times New Roman"/>
      <w:kern w:val="2"/>
      <w:sz w:val="20"/>
      <w:szCs w:val="20"/>
      <w:u w:val="none"/>
      <w:lang w:val="en-US" w:eastAsia="en-US" w:bidi="ar-SA"/>
    </w:rPr>
  </w:style>
  <w:style w:type="character" w:customStyle="1" w:styleId="565">
    <w:name w:val="标题 #3 (4) + SimSun"/>
    <w:qFormat/>
    <w:uiPriority w:val="0"/>
    <w:rPr>
      <w:rFonts w:ascii="宋体" w:hAnsi="宋体" w:cs="宋体"/>
      <w:b/>
      <w:bCs/>
      <w:sz w:val="25"/>
      <w:szCs w:val="25"/>
      <w:shd w:val="clear" w:color="auto" w:fill="FFFFFF"/>
    </w:rPr>
  </w:style>
  <w:style w:type="character" w:customStyle="1" w:styleId="566">
    <w:name w:val="正文文本 + 间距 -1 pt1"/>
    <w:qFormat/>
    <w:uiPriority w:val="0"/>
    <w:rPr>
      <w:rFonts w:ascii="Arial Unicode MS" w:eastAsia="Arial Unicode MS" w:cs="Arial Unicode MS"/>
      <w:spacing w:val="-30"/>
      <w:sz w:val="22"/>
      <w:szCs w:val="22"/>
      <w:u w:val="none"/>
    </w:rPr>
  </w:style>
  <w:style w:type="character" w:customStyle="1" w:styleId="567">
    <w:name w:val="bsharetext"/>
    <w:qFormat/>
    <w:uiPriority w:val="0"/>
    <w:rPr>
      <w:sz w:val="21"/>
    </w:rPr>
  </w:style>
  <w:style w:type="character" w:customStyle="1" w:styleId="568">
    <w:name w:val="正文文本 (7)11"/>
    <w:qFormat/>
    <w:uiPriority w:val="0"/>
    <w:rPr>
      <w:rFonts w:ascii="Arial Unicode MS" w:eastAsia="Arial Unicode MS" w:cs="Arial Unicode MS"/>
      <w:sz w:val="21"/>
      <w:szCs w:val="21"/>
      <w:u w:val="none"/>
      <w:shd w:val="clear" w:color="auto" w:fill="FFFFFF"/>
      <w:lang w:val="en-US" w:eastAsia="zh-CN"/>
    </w:rPr>
  </w:style>
  <w:style w:type="character" w:customStyle="1" w:styleId="569">
    <w:name w:val="Plain Text Char1 Char"/>
    <w:qFormat/>
    <w:uiPriority w:val="0"/>
    <w:rPr>
      <w:rFonts w:ascii="宋体" w:hAnsi="Courier New" w:eastAsia="宋体" w:cs="Times New Roman"/>
      <w:szCs w:val="20"/>
    </w:rPr>
  </w:style>
  <w:style w:type="character" w:customStyle="1" w:styleId="570">
    <w:name w:val="表头用 Char"/>
    <w:link w:val="571"/>
    <w:qFormat/>
    <w:uiPriority w:val="0"/>
    <w:rPr>
      <w:b/>
      <w:color w:val="00B050"/>
      <w:kern w:val="2"/>
      <w:sz w:val="24"/>
      <w:szCs w:val="24"/>
    </w:rPr>
  </w:style>
  <w:style w:type="paragraph" w:customStyle="1" w:styleId="571">
    <w:name w:val="表头用"/>
    <w:basedOn w:val="64"/>
    <w:link w:val="570"/>
    <w:qFormat/>
    <w:uiPriority w:val="0"/>
    <w:pPr>
      <w:spacing w:before="0" w:after="0" w:line="520" w:lineRule="exact"/>
      <w:outlineLvl w:val="9"/>
    </w:pPr>
    <w:rPr>
      <w:rFonts w:asciiTheme="minorHAnsi" w:hAnsiTheme="minorHAnsi" w:eastAsiaTheme="minorEastAsia" w:cstheme="minorBidi"/>
      <w:bCs w:val="0"/>
      <w:color w:val="00B050"/>
      <w:kern w:val="2"/>
      <w:sz w:val="24"/>
      <w:szCs w:val="24"/>
    </w:rPr>
  </w:style>
  <w:style w:type="character" w:customStyle="1" w:styleId="572">
    <w:name w:val="图片标题 + 间距 0 pt Exact1"/>
    <w:qFormat/>
    <w:uiPriority w:val="0"/>
    <w:rPr>
      <w:rFonts w:ascii="Arial Unicode MS" w:eastAsia="Arial Unicode MS"/>
      <w:sz w:val="20"/>
      <w:szCs w:val="20"/>
      <w:shd w:val="clear" w:color="auto" w:fill="FFFFFF"/>
      <w:lang w:eastAsia="en-US"/>
    </w:rPr>
  </w:style>
  <w:style w:type="character" w:customStyle="1" w:styleId="573">
    <w:name w:val="正文文本 + MS Mincho"/>
    <w:qFormat/>
    <w:uiPriority w:val="0"/>
    <w:rPr>
      <w:rFonts w:ascii="MS Mincho" w:eastAsia="MS Mincho" w:cs="MS Mincho"/>
      <w:spacing w:val="10"/>
      <w:kern w:val="2"/>
      <w:sz w:val="19"/>
      <w:szCs w:val="19"/>
      <w:u w:val="none"/>
      <w:lang w:val="en-US" w:eastAsia="zh-CN" w:bidi="ar-SA"/>
    </w:rPr>
  </w:style>
  <w:style w:type="character" w:customStyle="1" w:styleId="574">
    <w:name w:val="正文文本 + SimSun16"/>
    <w:qFormat/>
    <w:uiPriority w:val="0"/>
    <w:rPr>
      <w:rFonts w:ascii="宋体" w:hAnsi="宋体" w:eastAsia="Arial Unicode MS" w:cs="宋体"/>
      <w:spacing w:val="-40"/>
      <w:kern w:val="2"/>
      <w:sz w:val="20"/>
      <w:szCs w:val="20"/>
      <w:u w:val="none"/>
      <w:lang w:val="en-US" w:eastAsia="zh-CN" w:bidi="ar-SA"/>
    </w:rPr>
  </w:style>
  <w:style w:type="character" w:customStyle="1" w:styleId="575">
    <w:name w:val="正文文本 + MS Mincho1"/>
    <w:qFormat/>
    <w:uiPriority w:val="0"/>
    <w:rPr>
      <w:rFonts w:ascii="MS Mincho" w:eastAsia="MS Mincho" w:cs="MS Mincho"/>
      <w:i/>
      <w:iCs/>
      <w:kern w:val="2"/>
      <w:sz w:val="40"/>
      <w:szCs w:val="40"/>
      <w:u w:val="none"/>
      <w:lang w:val="en-US" w:eastAsia="zh-CN" w:bidi="ar-SA"/>
    </w:rPr>
  </w:style>
  <w:style w:type="character" w:customStyle="1" w:styleId="576">
    <w:name w:val="表 头 Char"/>
    <w:link w:val="577"/>
    <w:qFormat/>
    <w:uiPriority w:val="0"/>
    <w:rPr>
      <w:rFonts w:ascii="Arial" w:eastAsia="黑体"/>
      <w:b/>
      <w:color w:val="000000"/>
      <w:kern w:val="2"/>
      <w:sz w:val="24"/>
      <w:szCs w:val="24"/>
      <w:lang w:eastAsia="en-US" w:bidi="en-US"/>
    </w:rPr>
  </w:style>
  <w:style w:type="paragraph" w:customStyle="1" w:styleId="577">
    <w:name w:val="表 头"/>
    <w:basedOn w:val="1"/>
    <w:link w:val="576"/>
    <w:qFormat/>
    <w:uiPriority w:val="0"/>
    <w:pPr>
      <w:widowControl/>
      <w:adjustRightInd w:val="0"/>
      <w:spacing w:before="120" w:after="120" w:line="360" w:lineRule="atLeast"/>
      <w:jc w:val="center"/>
    </w:pPr>
    <w:rPr>
      <w:rFonts w:eastAsia="黑体" w:hAnsiTheme="minorHAnsi" w:cstheme="minorBidi"/>
      <w:b/>
      <w:color w:val="000000"/>
      <w:sz w:val="24"/>
      <w:szCs w:val="24"/>
      <w:lang w:eastAsia="en-US" w:bidi="en-US"/>
    </w:rPr>
  </w:style>
  <w:style w:type="character" w:customStyle="1" w:styleId="578">
    <w:name w:val="振文 Char"/>
    <w:link w:val="579"/>
    <w:qFormat/>
    <w:uiPriority w:val="0"/>
    <w:rPr>
      <w:rFonts w:ascii="宋体" w:hAnsi="宋体" w:eastAsia="宋体"/>
      <w:kern w:val="2"/>
      <w:sz w:val="24"/>
      <w:szCs w:val="24"/>
    </w:rPr>
  </w:style>
  <w:style w:type="paragraph" w:customStyle="1" w:styleId="579">
    <w:name w:val="振文"/>
    <w:basedOn w:val="1"/>
    <w:link w:val="578"/>
    <w:qFormat/>
    <w:uiPriority w:val="0"/>
    <w:pPr>
      <w:widowControl/>
      <w:spacing w:line="360" w:lineRule="auto"/>
      <w:ind w:firstLine="420"/>
    </w:pPr>
    <w:rPr>
      <w:rFonts w:ascii="宋体" w:hAnsi="宋体" w:cstheme="minorBidi"/>
      <w:sz w:val="24"/>
      <w:szCs w:val="24"/>
    </w:rPr>
  </w:style>
  <w:style w:type="character" w:customStyle="1" w:styleId="580">
    <w:name w:val="正文文本 (11) + 12.5 pt"/>
    <w:qFormat/>
    <w:uiPriority w:val="0"/>
    <w:rPr>
      <w:rFonts w:ascii="宋体" w:hAnsi="宋体" w:eastAsia="Arial Unicode MS" w:cs="宋体"/>
      <w:b/>
      <w:bCs/>
      <w:spacing w:val="-10"/>
      <w:sz w:val="25"/>
      <w:szCs w:val="25"/>
      <w:u w:val="none"/>
      <w:shd w:val="clear" w:color="auto" w:fill="FFFFFF"/>
      <w:lang w:val="en-US" w:eastAsia="zh-CN"/>
    </w:rPr>
  </w:style>
  <w:style w:type="character" w:customStyle="1" w:styleId="581">
    <w:name w:val="图片标题 (18) Exact"/>
    <w:qFormat/>
    <w:uiPriority w:val="0"/>
    <w:rPr>
      <w:rFonts w:ascii="Times New Roman" w:hAnsi="Times New Roman" w:cs="Times New Roman"/>
      <w:b/>
      <w:bCs/>
      <w:spacing w:val="1"/>
      <w:sz w:val="18"/>
      <w:szCs w:val="18"/>
      <w:u w:val="none"/>
      <w:lang w:val="en-US" w:eastAsia="en-US"/>
    </w:rPr>
  </w:style>
  <w:style w:type="character" w:customStyle="1" w:styleId="582">
    <w:name w:val="正文文本 (38) Exact"/>
    <w:link w:val="583"/>
    <w:qFormat/>
    <w:uiPriority w:val="0"/>
    <w:rPr>
      <w:b/>
      <w:bCs/>
      <w:sz w:val="18"/>
      <w:szCs w:val="18"/>
      <w:shd w:val="clear" w:color="auto" w:fill="FFFFFF"/>
    </w:rPr>
  </w:style>
  <w:style w:type="paragraph" w:customStyle="1" w:styleId="583">
    <w:name w:val="正文文本 (38)"/>
    <w:basedOn w:val="1"/>
    <w:link w:val="582"/>
    <w:qFormat/>
    <w:uiPriority w:val="0"/>
    <w:pPr>
      <w:shd w:val="clear" w:color="auto" w:fill="FFFFFF"/>
      <w:spacing w:after="300" w:line="240" w:lineRule="atLeast"/>
      <w:jc w:val="distribute"/>
    </w:pPr>
    <w:rPr>
      <w:rFonts w:asciiTheme="minorHAnsi" w:hAnsiTheme="minorHAnsi" w:eastAsiaTheme="minorEastAsia" w:cstheme="minorBidi"/>
      <w:b/>
      <w:bCs/>
      <w:kern w:val="0"/>
      <w:sz w:val="18"/>
      <w:szCs w:val="18"/>
    </w:rPr>
  </w:style>
  <w:style w:type="character" w:customStyle="1" w:styleId="584">
    <w:name w:val="正文文本 + 间距 -1 pt"/>
    <w:qFormat/>
    <w:uiPriority w:val="0"/>
    <w:rPr>
      <w:rFonts w:ascii="Arial Unicode MS" w:eastAsia="Arial Unicode MS" w:cs="Arial Unicode MS"/>
      <w:spacing w:val="-30"/>
      <w:kern w:val="2"/>
      <w:sz w:val="22"/>
      <w:szCs w:val="22"/>
      <w:u w:val="none"/>
      <w:lang w:val="en-US" w:eastAsia="zh-CN" w:bidi="ar-SA"/>
    </w:rPr>
  </w:style>
  <w:style w:type="character" w:customStyle="1" w:styleId="585">
    <w:name w:val="正文文本 (40)_"/>
    <w:link w:val="586"/>
    <w:qFormat/>
    <w:uiPriority w:val="0"/>
    <w:rPr>
      <w:i/>
      <w:iCs/>
      <w:sz w:val="29"/>
      <w:szCs w:val="29"/>
      <w:shd w:val="clear" w:color="auto" w:fill="FFFFFF"/>
      <w:lang w:eastAsia="en-US"/>
    </w:rPr>
  </w:style>
  <w:style w:type="paragraph" w:customStyle="1" w:styleId="586">
    <w:name w:val="正文文本 (40)"/>
    <w:basedOn w:val="1"/>
    <w:link w:val="585"/>
    <w:qFormat/>
    <w:uiPriority w:val="0"/>
    <w:pPr>
      <w:shd w:val="clear" w:color="auto" w:fill="FFFFFF"/>
      <w:spacing w:before="120" w:line="240" w:lineRule="atLeast"/>
      <w:jc w:val="left"/>
    </w:pPr>
    <w:rPr>
      <w:rFonts w:asciiTheme="minorHAnsi" w:hAnsiTheme="minorHAnsi" w:eastAsiaTheme="minorEastAsia" w:cstheme="minorBidi"/>
      <w:i/>
      <w:iCs/>
      <w:kern w:val="0"/>
      <w:sz w:val="29"/>
      <w:szCs w:val="29"/>
      <w:lang w:eastAsia="en-US"/>
    </w:rPr>
  </w:style>
  <w:style w:type="character" w:customStyle="1" w:styleId="587">
    <w:name w:val="正文文本 (7) + 间距 0 pt Exact3"/>
    <w:qFormat/>
    <w:uiPriority w:val="0"/>
    <w:rPr>
      <w:rFonts w:ascii="Arial Unicode MS" w:eastAsia="Arial Unicode MS"/>
      <w:sz w:val="20"/>
      <w:szCs w:val="20"/>
      <w:shd w:val="clear" w:color="auto" w:fill="FFFFFF"/>
      <w:lang w:eastAsia="en-US"/>
    </w:rPr>
  </w:style>
  <w:style w:type="character" w:customStyle="1" w:styleId="588">
    <w:name w:val="标题 #2 (3)"/>
    <w:basedOn w:val="589"/>
    <w:qFormat/>
    <w:uiPriority w:val="0"/>
    <w:rPr>
      <w:rFonts w:ascii="宋体" w:hAnsi="宋体"/>
      <w:spacing w:val="-10"/>
      <w:sz w:val="33"/>
      <w:szCs w:val="33"/>
      <w:shd w:val="clear" w:color="auto" w:fill="FFFFFF"/>
    </w:rPr>
  </w:style>
  <w:style w:type="character" w:customStyle="1" w:styleId="589">
    <w:name w:val="标题 #2 (3)_"/>
    <w:link w:val="590"/>
    <w:qFormat/>
    <w:uiPriority w:val="0"/>
    <w:rPr>
      <w:rFonts w:ascii="宋体" w:hAnsi="宋体"/>
      <w:spacing w:val="-10"/>
      <w:sz w:val="33"/>
      <w:szCs w:val="33"/>
      <w:shd w:val="clear" w:color="auto" w:fill="FFFFFF"/>
    </w:rPr>
  </w:style>
  <w:style w:type="paragraph" w:customStyle="1" w:styleId="590">
    <w:name w:val="标题 #2 (3)1"/>
    <w:basedOn w:val="1"/>
    <w:link w:val="589"/>
    <w:qFormat/>
    <w:uiPriority w:val="0"/>
    <w:pPr>
      <w:shd w:val="clear" w:color="auto" w:fill="FFFFFF"/>
      <w:spacing w:after="360" w:line="240" w:lineRule="atLeast"/>
      <w:jc w:val="left"/>
      <w:outlineLvl w:val="1"/>
    </w:pPr>
    <w:rPr>
      <w:rFonts w:ascii="宋体" w:hAnsi="宋体" w:eastAsiaTheme="minorEastAsia" w:cstheme="minorBidi"/>
      <w:spacing w:val="-10"/>
      <w:kern w:val="0"/>
      <w:sz w:val="33"/>
      <w:szCs w:val="33"/>
    </w:rPr>
  </w:style>
  <w:style w:type="character" w:customStyle="1" w:styleId="591">
    <w:name w:val="正文文本 (7) + 11 pt4"/>
    <w:qFormat/>
    <w:uiPriority w:val="0"/>
    <w:rPr>
      <w:rFonts w:ascii="Arial Unicode MS" w:eastAsia="Arial Unicode MS" w:cs="Arial Unicode MS"/>
      <w:spacing w:val="30"/>
      <w:sz w:val="22"/>
      <w:szCs w:val="22"/>
      <w:u w:val="none"/>
      <w:shd w:val="clear" w:color="auto" w:fill="FFFFFF"/>
      <w:lang w:eastAsia="en-US"/>
    </w:rPr>
  </w:style>
  <w:style w:type="character" w:customStyle="1" w:styleId="592">
    <w:name w:val="证书6"/>
    <w:qFormat/>
    <w:uiPriority w:val="0"/>
    <w:rPr>
      <w:rFonts w:hint="eastAsia" w:ascii="隶书" w:hAnsi="隶书" w:eastAsia="隶书"/>
      <w:b/>
      <w:bCs/>
      <w:sz w:val="32"/>
    </w:rPr>
  </w:style>
  <w:style w:type="character" w:customStyle="1" w:styleId="593">
    <w:name w:val="页眉或页脚"/>
    <w:basedOn w:val="594"/>
    <w:qFormat/>
    <w:uiPriority w:val="0"/>
    <w:rPr>
      <w:rFonts w:ascii="宋体" w:hAnsi="宋体"/>
      <w:sz w:val="18"/>
      <w:szCs w:val="18"/>
      <w:shd w:val="clear" w:color="auto" w:fill="FFFFFF"/>
    </w:rPr>
  </w:style>
  <w:style w:type="character" w:customStyle="1" w:styleId="594">
    <w:name w:val="页眉或页脚_"/>
    <w:link w:val="595"/>
    <w:qFormat/>
    <w:uiPriority w:val="0"/>
    <w:rPr>
      <w:rFonts w:ascii="宋体" w:hAnsi="宋体"/>
      <w:sz w:val="18"/>
      <w:szCs w:val="18"/>
      <w:shd w:val="clear" w:color="auto" w:fill="FFFFFF"/>
    </w:rPr>
  </w:style>
  <w:style w:type="paragraph" w:customStyle="1" w:styleId="595">
    <w:name w:val="页眉或页脚1"/>
    <w:basedOn w:val="1"/>
    <w:link w:val="594"/>
    <w:qFormat/>
    <w:uiPriority w:val="0"/>
    <w:pPr>
      <w:shd w:val="clear" w:color="auto" w:fill="FFFFFF"/>
      <w:spacing w:line="240" w:lineRule="atLeast"/>
      <w:jc w:val="left"/>
    </w:pPr>
    <w:rPr>
      <w:rFonts w:ascii="宋体" w:hAnsi="宋体" w:eastAsiaTheme="minorEastAsia" w:cstheme="minorBidi"/>
      <w:kern w:val="0"/>
      <w:sz w:val="18"/>
      <w:szCs w:val="18"/>
    </w:rPr>
  </w:style>
  <w:style w:type="character" w:customStyle="1" w:styleId="596">
    <w:name w:val="明显参考1"/>
    <w:qFormat/>
    <w:uiPriority w:val="0"/>
    <w:rPr>
      <w:b/>
      <w:sz w:val="24"/>
      <w:u w:val="single"/>
    </w:rPr>
  </w:style>
  <w:style w:type="character" w:customStyle="1" w:styleId="597">
    <w:name w:val="标题 #4 (2)_"/>
    <w:link w:val="598"/>
    <w:qFormat/>
    <w:uiPriority w:val="0"/>
    <w:rPr>
      <w:rFonts w:ascii="Arial Unicode MS" w:eastAsia="Arial Unicode MS"/>
      <w:sz w:val="21"/>
      <w:szCs w:val="21"/>
      <w:shd w:val="clear" w:color="auto" w:fill="FFFFFF"/>
    </w:rPr>
  </w:style>
  <w:style w:type="paragraph" w:customStyle="1" w:styleId="598">
    <w:name w:val="标题 #4 (2)"/>
    <w:basedOn w:val="1"/>
    <w:link w:val="597"/>
    <w:qFormat/>
    <w:uiPriority w:val="0"/>
    <w:pPr>
      <w:shd w:val="clear" w:color="auto" w:fill="FFFFFF"/>
      <w:spacing w:line="240" w:lineRule="atLeast"/>
      <w:jc w:val="left"/>
      <w:outlineLvl w:val="3"/>
    </w:pPr>
    <w:rPr>
      <w:rFonts w:ascii="Arial Unicode MS" w:eastAsia="Arial Unicode MS" w:hAnsiTheme="minorHAnsi" w:cstheme="minorBidi"/>
      <w:kern w:val="0"/>
      <w:szCs w:val="21"/>
    </w:rPr>
  </w:style>
  <w:style w:type="character" w:customStyle="1" w:styleId="599">
    <w:name w:val="正文文本 (19) + 间距 2 pt Exact"/>
    <w:qFormat/>
    <w:uiPriority w:val="0"/>
    <w:rPr>
      <w:rFonts w:ascii="宋体" w:hAnsi="宋体"/>
      <w:spacing w:val="59"/>
      <w:sz w:val="19"/>
      <w:szCs w:val="19"/>
      <w:shd w:val="clear" w:color="auto" w:fill="FFFFFF"/>
    </w:rPr>
  </w:style>
  <w:style w:type="character" w:customStyle="1" w:styleId="600">
    <w:name w:val="图片标题 (10) Exact1"/>
    <w:basedOn w:val="601"/>
    <w:qFormat/>
    <w:uiPriority w:val="0"/>
    <w:rPr>
      <w:rFonts w:ascii="宋体" w:hAnsi="宋体"/>
      <w:spacing w:val="7"/>
      <w:sz w:val="14"/>
      <w:szCs w:val="14"/>
      <w:shd w:val="clear" w:color="auto" w:fill="FFFFFF"/>
    </w:rPr>
  </w:style>
  <w:style w:type="character" w:customStyle="1" w:styleId="601">
    <w:name w:val="图片标题 (10) Exact"/>
    <w:link w:val="602"/>
    <w:qFormat/>
    <w:uiPriority w:val="0"/>
    <w:rPr>
      <w:rFonts w:ascii="宋体" w:hAnsi="宋体"/>
      <w:spacing w:val="7"/>
      <w:sz w:val="14"/>
      <w:szCs w:val="14"/>
      <w:shd w:val="clear" w:color="auto" w:fill="FFFFFF"/>
    </w:rPr>
  </w:style>
  <w:style w:type="paragraph" w:customStyle="1" w:styleId="602">
    <w:name w:val="图片标题 (10)"/>
    <w:basedOn w:val="1"/>
    <w:link w:val="601"/>
    <w:qFormat/>
    <w:uiPriority w:val="0"/>
    <w:pPr>
      <w:shd w:val="clear" w:color="auto" w:fill="FFFFFF"/>
      <w:spacing w:line="240" w:lineRule="atLeast"/>
      <w:jc w:val="left"/>
    </w:pPr>
    <w:rPr>
      <w:rFonts w:ascii="宋体" w:hAnsi="宋体" w:eastAsiaTheme="minorEastAsia" w:cstheme="minorBidi"/>
      <w:spacing w:val="7"/>
      <w:kern w:val="0"/>
      <w:sz w:val="14"/>
      <w:szCs w:val="14"/>
    </w:rPr>
  </w:style>
  <w:style w:type="character" w:customStyle="1" w:styleId="603">
    <w:name w:val="热电厂正文 Char Char Char Char Char"/>
    <w:link w:val="604"/>
    <w:qFormat/>
    <w:locked/>
    <w:uiPriority w:val="0"/>
    <w:rPr>
      <w:sz w:val="24"/>
      <w:szCs w:val="24"/>
    </w:rPr>
  </w:style>
  <w:style w:type="paragraph" w:customStyle="1" w:styleId="604">
    <w:name w:val="热电厂正文 Char Char Char Char"/>
    <w:basedOn w:val="1"/>
    <w:link w:val="603"/>
    <w:qFormat/>
    <w:uiPriority w:val="0"/>
    <w:pPr>
      <w:spacing w:line="440" w:lineRule="exact"/>
      <w:ind w:firstLine="480" w:firstLineChars="200"/>
    </w:pPr>
    <w:rPr>
      <w:rFonts w:asciiTheme="minorHAnsi" w:hAnsiTheme="minorHAnsi" w:eastAsiaTheme="minorEastAsia" w:cstheme="minorBidi"/>
      <w:kern w:val="0"/>
      <w:sz w:val="24"/>
      <w:szCs w:val="24"/>
    </w:rPr>
  </w:style>
  <w:style w:type="character" w:customStyle="1" w:styleId="605">
    <w:name w:val="正文文本 (25) + Arial Unicode MS"/>
    <w:qFormat/>
    <w:uiPriority w:val="0"/>
    <w:rPr>
      <w:rFonts w:ascii="Arial Unicode MS" w:hAnsi="宋体" w:eastAsia="Arial Unicode MS" w:cs="Arial Unicode MS"/>
      <w:spacing w:val="3"/>
      <w:sz w:val="11"/>
      <w:szCs w:val="11"/>
      <w:shd w:val="clear" w:color="auto" w:fill="FFFFFF"/>
    </w:rPr>
  </w:style>
  <w:style w:type="character" w:customStyle="1" w:styleId="606">
    <w:name w:val="图片标题 Exact1"/>
    <w:qFormat/>
    <w:uiPriority w:val="0"/>
    <w:rPr>
      <w:rFonts w:ascii="Arial Unicode MS" w:eastAsia="Arial Unicode MS"/>
      <w:spacing w:val="2"/>
      <w:sz w:val="20"/>
      <w:szCs w:val="20"/>
      <w:shd w:val="clear" w:color="auto" w:fill="FFFFFF"/>
      <w:lang w:eastAsia="en-US"/>
    </w:rPr>
  </w:style>
  <w:style w:type="character" w:customStyle="1" w:styleId="607">
    <w:name w:val="图片标题 + 间距 0 pt Exact"/>
    <w:qFormat/>
    <w:uiPriority w:val="0"/>
    <w:rPr>
      <w:rFonts w:ascii="Arial Unicode MS" w:eastAsia="Arial Unicode MS"/>
      <w:sz w:val="20"/>
      <w:szCs w:val="20"/>
      <w:shd w:val="clear" w:color="auto" w:fill="FFFFFF"/>
      <w:lang w:eastAsia="en-US"/>
    </w:rPr>
  </w:style>
  <w:style w:type="character" w:customStyle="1" w:styleId="608">
    <w:name w:val="正文文本 (36) Exact"/>
    <w:link w:val="609"/>
    <w:qFormat/>
    <w:uiPriority w:val="0"/>
    <w:rPr>
      <w:rFonts w:ascii="宋体" w:hAnsi="宋体"/>
      <w:spacing w:val="8"/>
      <w:sz w:val="17"/>
      <w:szCs w:val="17"/>
      <w:shd w:val="clear" w:color="auto" w:fill="FFFFFF"/>
    </w:rPr>
  </w:style>
  <w:style w:type="paragraph" w:customStyle="1" w:styleId="609">
    <w:name w:val="正文文本 (36)"/>
    <w:basedOn w:val="1"/>
    <w:link w:val="608"/>
    <w:qFormat/>
    <w:uiPriority w:val="0"/>
    <w:pPr>
      <w:shd w:val="clear" w:color="auto" w:fill="FFFFFF"/>
      <w:spacing w:after="360" w:line="259" w:lineRule="exact"/>
      <w:jc w:val="distribute"/>
    </w:pPr>
    <w:rPr>
      <w:rFonts w:ascii="宋体" w:hAnsi="宋体" w:eastAsiaTheme="minorEastAsia" w:cstheme="minorBidi"/>
      <w:spacing w:val="8"/>
      <w:kern w:val="0"/>
      <w:sz w:val="17"/>
      <w:szCs w:val="17"/>
    </w:rPr>
  </w:style>
  <w:style w:type="character" w:customStyle="1" w:styleId="610">
    <w:name w:val="正文文本 + SimSun17"/>
    <w:qFormat/>
    <w:uiPriority w:val="0"/>
    <w:rPr>
      <w:rFonts w:ascii="宋体" w:hAnsi="宋体" w:eastAsia="Arial Unicode MS" w:cs="宋体"/>
      <w:spacing w:val="-30"/>
      <w:kern w:val="2"/>
      <w:sz w:val="20"/>
      <w:szCs w:val="20"/>
      <w:u w:val="none"/>
      <w:lang w:val="en-US" w:eastAsia="zh-CN" w:bidi="ar-SA"/>
    </w:rPr>
  </w:style>
  <w:style w:type="character" w:customStyle="1" w:styleId="611">
    <w:name w:val="headline-content2"/>
    <w:basedOn w:val="89"/>
    <w:qFormat/>
    <w:uiPriority w:val="0"/>
  </w:style>
  <w:style w:type="character" w:customStyle="1" w:styleId="612">
    <w:name w:val="正文文本 + 10.5 pt23"/>
    <w:qFormat/>
    <w:uiPriority w:val="0"/>
    <w:rPr>
      <w:rFonts w:ascii="Arial Unicode MS" w:eastAsia="Arial Unicode MS" w:cs="Arial Unicode MS"/>
      <w:kern w:val="2"/>
      <w:sz w:val="21"/>
      <w:szCs w:val="21"/>
      <w:u w:val="none"/>
      <w:lang w:val="en-US" w:eastAsia="zh-CN" w:bidi="ar-SA"/>
    </w:rPr>
  </w:style>
  <w:style w:type="character" w:customStyle="1" w:styleId="613">
    <w:name w:val="样式 标题 2标题 2，盐田河石H2H21节标题标题 12标题 21SeHead wsa2标题 1.1He... Char"/>
    <w:link w:val="614"/>
    <w:qFormat/>
    <w:uiPriority w:val="0"/>
    <w:rPr>
      <w:rFonts w:eastAsia="黑体"/>
      <w:b/>
      <w:bCs/>
      <w:kern w:val="2"/>
      <w:sz w:val="30"/>
      <w:szCs w:val="32"/>
    </w:rPr>
  </w:style>
  <w:style w:type="paragraph" w:customStyle="1" w:styleId="614">
    <w:name w:val="样式 标题 2标题 2，盐田河石H2H21节标题标题 12标题 21SeHead wsa2标题 1.1He..."/>
    <w:basedOn w:val="6"/>
    <w:link w:val="613"/>
    <w:qFormat/>
    <w:uiPriority w:val="0"/>
    <w:pPr>
      <w:tabs>
        <w:tab w:val="left" w:pos="360"/>
      </w:tabs>
      <w:adjustRightInd w:val="0"/>
      <w:snapToGrid w:val="0"/>
      <w:spacing w:beforeLines="50" w:afterLines="50" w:line="500" w:lineRule="exact"/>
    </w:pPr>
    <w:rPr>
      <w:rFonts w:asciiTheme="minorHAnsi" w:hAnsiTheme="minorHAnsi"/>
      <w:kern w:val="2"/>
      <w:sz w:val="30"/>
    </w:rPr>
  </w:style>
  <w:style w:type="character" w:customStyle="1" w:styleId="615">
    <w:name w:val="标题 #3 + 间距 0 pt"/>
    <w:qFormat/>
    <w:uiPriority w:val="0"/>
    <w:rPr>
      <w:rFonts w:ascii="宋体" w:hAnsi="宋体"/>
      <w:b/>
      <w:bCs/>
      <w:spacing w:val="0"/>
      <w:sz w:val="25"/>
      <w:szCs w:val="25"/>
      <w:shd w:val="clear" w:color="auto" w:fill="FFFFFF"/>
    </w:rPr>
  </w:style>
  <w:style w:type="character" w:customStyle="1" w:styleId="616">
    <w:name w:val="页眉或页脚 + Times New Roman4"/>
    <w:qFormat/>
    <w:uiPriority w:val="0"/>
    <w:rPr>
      <w:rFonts w:ascii="Times New Roman" w:hAnsi="Times New Roman" w:cs="Times New Roman"/>
      <w:sz w:val="17"/>
      <w:szCs w:val="17"/>
      <w:shd w:val="clear" w:color="auto" w:fill="FFFFFF"/>
    </w:rPr>
  </w:style>
  <w:style w:type="character" w:customStyle="1" w:styleId="617">
    <w:name w:val="正文程 Char"/>
    <w:link w:val="618"/>
    <w:qFormat/>
    <w:uiPriority w:val="0"/>
    <w:rPr>
      <w:rFonts w:ascii="Calibri" w:hAnsi="Calibri" w:eastAsia="宋体" w:cs="宋体"/>
      <w:sz w:val="24"/>
      <w:lang w:eastAsia="en-US" w:bidi="en-US"/>
    </w:rPr>
  </w:style>
  <w:style w:type="paragraph" w:customStyle="1" w:styleId="618">
    <w:name w:val="正文程"/>
    <w:basedOn w:val="1"/>
    <w:link w:val="617"/>
    <w:qFormat/>
    <w:uiPriority w:val="0"/>
    <w:pPr>
      <w:widowControl/>
      <w:spacing w:line="360" w:lineRule="auto"/>
      <w:ind w:firstLine="480" w:firstLineChars="200"/>
      <w:jc w:val="left"/>
    </w:pPr>
    <w:rPr>
      <w:rFonts w:ascii="Calibri" w:hAnsi="Calibri" w:cs="宋体"/>
      <w:kern w:val="0"/>
      <w:sz w:val="24"/>
      <w:lang w:eastAsia="en-US" w:bidi="en-US"/>
    </w:rPr>
  </w:style>
  <w:style w:type="character" w:customStyle="1" w:styleId="619">
    <w:name w:val="large1"/>
    <w:qFormat/>
    <w:uiPriority w:val="0"/>
    <w:rPr>
      <w:rFonts w:hint="eastAsia" w:ascii="宋体" w:hAnsi="宋体" w:eastAsia="宋体"/>
      <w:sz w:val="19"/>
      <w:szCs w:val="19"/>
    </w:rPr>
  </w:style>
  <w:style w:type="character" w:customStyle="1" w:styleId="620">
    <w:name w:val="1.1标题 1 Char Char"/>
    <w:qFormat/>
    <w:uiPriority w:val="0"/>
    <w:rPr>
      <w:rFonts w:hint="eastAsia" w:ascii="黑体" w:hAnsi="黑体" w:eastAsia="黑体"/>
      <w:b/>
      <w:bCs/>
      <w:kern w:val="44"/>
      <w:sz w:val="36"/>
      <w:szCs w:val="36"/>
      <w:lang w:val="en-US" w:eastAsia="zh-CN" w:bidi="ar-SA"/>
    </w:rPr>
  </w:style>
  <w:style w:type="character" w:customStyle="1" w:styleId="621">
    <w:name w:val="目录 (4) + SimSun"/>
    <w:qFormat/>
    <w:uiPriority w:val="0"/>
    <w:rPr>
      <w:rFonts w:ascii="宋体" w:hAnsi="宋体" w:cs="宋体"/>
      <w:b/>
      <w:bCs/>
      <w:spacing w:val="-10"/>
      <w:sz w:val="20"/>
      <w:szCs w:val="20"/>
      <w:shd w:val="clear" w:color="auto" w:fill="FFFFFF"/>
    </w:rPr>
  </w:style>
  <w:style w:type="character" w:customStyle="1" w:styleId="622">
    <w:name w:val="正文文本 (3)4"/>
    <w:qFormat/>
    <w:uiPriority w:val="0"/>
    <w:rPr>
      <w:rFonts w:ascii="Arial Unicode MS" w:eastAsia="Arial Unicode MS"/>
      <w:b/>
      <w:bCs/>
      <w:strike/>
      <w:sz w:val="19"/>
      <w:szCs w:val="19"/>
      <w:shd w:val="clear" w:color="auto" w:fill="FFFFFF"/>
      <w:lang w:val="en-US" w:eastAsia="zh-CN"/>
    </w:rPr>
  </w:style>
  <w:style w:type="character" w:customStyle="1" w:styleId="623">
    <w:name w:val="正文文本 + MingLiU1"/>
    <w:qFormat/>
    <w:uiPriority w:val="0"/>
    <w:rPr>
      <w:rFonts w:ascii="MingLiU" w:eastAsia="MingLiU" w:cs="MingLiU"/>
      <w:kern w:val="2"/>
      <w:sz w:val="8"/>
      <w:szCs w:val="8"/>
      <w:u w:val="none"/>
      <w:lang w:val="en-US" w:eastAsia="zh-CN" w:bidi="ar-SA"/>
    </w:rPr>
  </w:style>
  <w:style w:type="character" w:customStyle="1" w:styleId="624">
    <w:name w:val="标题 #4 (3) + Times New Roman1"/>
    <w:qFormat/>
    <w:uiPriority w:val="0"/>
    <w:rPr>
      <w:rFonts w:ascii="Times New Roman" w:hAnsi="Times New Roman" w:cs="Times New Roman"/>
      <w:b/>
      <w:bCs/>
      <w:spacing w:val="0"/>
      <w:sz w:val="27"/>
      <w:szCs w:val="27"/>
      <w:u w:val="none"/>
      <w:shd w:val="clear" w:color="auto" w:fill="FFFFFF"/>
      <w:lang w:val="en-US" w:eastAsia="en-US"/>
    </w:rPr>
  </w:style>
  <w:style w:type="character" w:customStyle="1" w:styleId="625">
    <w:name w:val="正文文本 (3) + SimSun"/>
    <w:qFormat/>
    <w:uiPriority w:val="0"/>
    <w:rPr>
      <w:rFonts w:ascii="宋体" w:hAnsi="宋体" w:eastAsia="Arial Unicode MS" w:cs="宋体"/>
      <w:b/>
      <w:bCs/>
      <w:sz w:val="20"/>
      <w:szCs w:val="20"/>
      <w:shd w:val="clear" w:color="auto" w:fill="FFFFFF"/>
    </w:rPr>
  </w:style>
  <w:style w:type="character" w:customStyle="1" w:styleId="626">
    <w:name w:val="webkit-html-tag"/>
    <w:basedOn w:val="89"/>
    <w:qFormat/>
    <w:uiPriority w:val="0"/>
  </w:style>
  <w:style w:type="character" w:customStyle="1" w:styleId="627">
    <w:name w:val="页眉或页脚 (2) + SimSun"/>
    <w:qFormat/>
    <w:uiPriority w:val="0"/>
    <w:rPr>
      <w:rFonts w:ascii="宋体" w:hAnsi="宋体" w:cs="宋体"/>
      <w:sz w:val="18"/>
      <w:szCs w:val="18"/>
      <w:u w:val="none"/>
      <w:lang w:val="en-US" w:eastAsia="zh-CN"/>
    </w:rPr>
  </w:style>
  <w:style w:type="character" w:customStyle="1" w:styleId="628">
    <w:name w:val="正文文本 + 10.5 pt10"/>
    <w:qFormat/>
    <w:uiPriority w:val="0"/>
    <w:rPr>
      <w:rFonts w:ascii="Arial Unicode MS" w:eastAsia="Arial Unicode MS" w:cs="Arial Unicode MS"/>
      <w:kern w:val="2"/>
      <w:sz w:val="21"/>
      <w:szCs w:val="21"/>
      <w:u w:val="none"/>
      <w:lang w:val="en-US" w:eastAsia="en-US" w:bidi="ar-SA"/>
    </w:rPr>
  </w:style>
  <w:style w:type="character" w:customStyle="1" w:styleId="629">
    <w:name w:val="页眉或页脚 (2)1"/>
    <w:qFormat/>
    <w:uiPriority w:val="0"/>
    <w:rPr>
      <w:rFonts w:ascii="Times New Roman" w:hAnsi="Times New Roman" w:cs="Times New Roman"/>
      <w:sz w:val="17"/>
      <w:szCs w:val="17"/>
      <w:u w:val="none"/>
    </w:rPr>
  </w:style>
  <w:style w:type="character" w:customStyle="1" w:styleId="630">
    <w:name w:val="font51"/>
    <w:basedOn w:val="89"/>
    <w:qFormat/>
    <w:uiPriority w:val="0"/>
    <w:rPr>
      <w:rFonts w:hint="eastAsia" w:ascii="楷体_GB2312" w:eastAsia="楷体_GB2312"/>
      <w:color w:val="FF0000"/>
      <w:sz w:val="21"/>
      <w:szCs w:val="21"/>
      <w:u w:val="none"/>
    </w:rPr>
  </w:style>
  <w:style w:type="character" w:customStyle="1" w:styleId="631">
    <w:name w:val="图片标题 (11) + Times New Roman"/>
    <w:qFormat/>
    <w:uiPriority w:val="0"/>
    <w:rPr>
      <w:rFonts w:ascii="Times New Roman" w:hAnsi="Times New Roman" w:cs="Times New Roman"/>
      <w:spacing w:val="-3"/>
      <w:sz w:val="19"/>
      <w:szCs w:val="19"/>
      <w:shd w:val="clear" w:color="auto" w:fill="FFFFFF"/>
      <w:lang w:val="en-US" w:eastAsia="zh-CN"/>
    </w:rPr>
  </w:style>
  <w:style w:type="character" w:customStyle="1" w:styleId="632">
    <w:name w:val="正文文本缩进 Char1"/>
    <w:qFormat/>
    <w:uiPriority w:val="99"/>
    <w:rPr>
      <w:rFonts w:ascii="Calibri" w:hAnsi="Calibri"/>
      <w:sz w:val="24"/>
      <w:szCs w:val="24"/>
      <w:lang w:eastAsia="en-US" w:bidi="en-US"/>
    </w:rPr>
  </w:style>
  <w:style w:type="character" w:customStyle="1" w:styleId="633">
    <w:name w:val="表格标题 (7) Exact"/>
    <w:link w:val="634"/>
    <w:qFormat/>
    <w:uiPriority w:val="0"/>
    <w:rPr>
      <w:rFonts w:ascii="Arial Unicode MS" w:eastAsia="Arial Unicode MS"/>
      <w:spacing w:val="3"/>
      <w:sz w:val="11"/>
      <w:szCs w:val="11"/>
      <w:shd w:val="clear" w:color="auto" w:fill="FFFFFF"/>
    </w:rPr>
  </w:style>
  <w:style w:type="paragraph" w:customStyle="1" w:styleId="634">
    <w:name w:val="表格标题 (7)"/>
    <w:basedOn w:val="1"/>
    <w:link w:val="633"/>
    <w:qFormat/>
    <w:uiPriority w:val="0"/>
    <w:pPr>
      <w:shd w:val="clear" w:color="auto" w:fill="FFFFFF"/>
      <w:spacing w:line="240" w:lineRule="atLeast"/>
      <w:jc w:val="left"/>
    </w:pPr>
    <w:rPr>
      <w:rFonts w:ascii="Arial Unicode MS" w:eastAsia="Arial Unicode MS" w:hAnsiTheme="minorHAnsi" w:cstheme="minorBidi"/>
      <w:spacing w:val="3"/>
      <w:kern w:val="0"/>
      <w:sz w:val="11"/>
      <w:szCs w:val="11"/>
    </w:rPr>
  </w:style>
  <w:style w:type="character" w:customStyle="1" w:styleId="635">
    <w:name w:val="表头样式1 Char1"/>
    <w:link w:val="636"/>
    <w:qFormat/>
    <w:uiPriority w:val="0"/>
    <w:rPr>
      <w:rFonts w:ascii="仿宋_GB2312" w:eastAsia="仿宋_GB2312"/>
      <w:bCs/>
      <w:kern w:val="2"/>
      <w:sz w:val="24"/>
      <w:szCs w:val="24"/>
      <w:lang w:eastAsia="en-US" w:bidi="en-US"/>
    </w:rPr>
  </w:style>
  <w:style w:type="paragraph" w:customStyle="1" w:styleId="636">
    <w:name w:val="表头样式1"/>
    <w:basedOn w:val="1"/>
    <w:link w:val="635"/>
    <w:qFormat/>
    <w:uiPriority w:val="0"/>
    <w:pPr>
      <w:widowControl/>
      <w:spacing w:before="120" w:line="360" w:lineRule="auto"/>
      <w:ind w:firstLine="200" w:firstLineChars="200"/>
      <w:jc w:val="center"/>
    </w:pPr>
    <w:rPr>
      <w:rFonts w:ascii="仿宋_GB2312" w:eastAsia="仿宋_GB2312" w:hAnsiTheme="minorHAnsi" w:cstheme="minorBidi"/>
      <w:bCs/>
      <w:sz w:val="24"/>
      <w:szCs w:val="24"/>
      <w:lang w:eastAsia="en-US" w:bidi="en-US"/>
    </w:rPr>
  </w:style>
  <w:style w:type="character" w:customStyle="1" w:styleId="637">
    <w:name w:val="articlebody1"/>
    <w:qFormat/>
    <w:uiPriority w:val="0"/>
    <w:rPr>
      <w:sz w:val="21"/>
      <w:szCs w:val="21"/>
    </w:rPr>
  </w:style>
  <w:style w:type="character" w:customStyle="1" w:styleId="638">
    <w:name w:val="图片标题 (21) + 间距 0 pt Exact"/>
    <w:qFormat/>
    <w:uiPriority w:val="0"/>
    <w:rPr>
      <w:rFonts w:ascii="MS Mincho" w:eastAsia="MS Mincho"/>
      <w:spacing w:val="0"/>
      <w:sz w:val="15"/>
      <w:szCs w:val="15"/>
      <w:shd w:val="clear" w:color="auto" w:fill="FFFFFF"/>
      <w:lang w:val="en-US" w:eastAsia="zh-CN"/>
    </w:rPr>
  </w:style>
  <w:style w:type="character" w:customStyle="1" w:styleId="639">
    <w:name w:val="正文文本 (5) + Arial Unicode MS1"/>
    <w:qFormat/>
    <w:uiPriority w:val="0"/>
    <w:rPr>
      <w:rFonts w:ascii="Arial Unicode MS" w:hAnsi="宋体" w:eastAsia="Arial Unicode MS" w:cs="Arial Unicode MS"/>
      <w:b/>
      <w:bCs/>
      <w:spacing w:val="0"/>
      <w:sz w:val="22"/>
      <w:szCs w:val="22"/>
      <w:shd w:val="clear" w:color="auto" w:fill="FFFFFF"/>
      <w:lang w:val="en-US" w:eastAsia="zh-CN"/>
    </w:rPr>
  </w:style>
  <w:style w:type="character" w:customStyle="1" w:styleId="640">
    <w:name w:val="正文文本 (44)"/>
    <w:basedOn w:val="641"/>
    <w:qFormat/>
    <w:uiPriority w:val="0"/>
    <w:rPr>
      <w:sz w:val="27"/>
      <w:szCs w:val="27"/>
      <w:shd w:val="clear" w:color="auto" w:fill="FFFFFF"/>
      <w:lang w:eastAsia="en-US"/>
    </w:rPr>
  </w:style>
  <w:style w:type="character" w:customStyle="1" w:styleId="641">
    <w:name w:val="正文文本 (44)_"/>
    <w:link w:val="642"/>
    <w:qFormat/>
    <w:uiPriority w:val="0"/>
    <w:rPr>
      <w:b/>
      <w:bCs/>
      <w:sz w:val="27"/>
      <w:szCs w:val="27"/>
      <w:shd w:val="clear" w:color="auto" w:fill="FFFFFF"/>
      <w:lang w:eastAsia="en-US"/>
    </w:rPr>
  </w:style>
  <w:style w:type="paragraph" w:customStyle="1" w:styleId="642">
    <w:name w:val="正文文本 (44)1"/>
    <w:basedOn w:val="1"/>
    <w:link w:val="641"/>
    <w:qFormat/>
    <w:uiPriority w:val="0"/>
    <w:pPr>
      <w:shd w:val="clear" w:color="auto" w:fill="FFFFFF"/>
      <w:spacing w:before="240" w:line="456" w:lineRule="exact"/>
      <w:jc w:val="right"/>
    </w:pPr>
    <w:rPr>
      <w:rFonts w:asciiTheme="minorHAnsi" w:hAnsiTheme="minorHAnsi" w:eastAsiaTheme="minorEastAsia" w:cstheme="minorBidi"/>
      <w:b/>
      <w:bCs/>
      <w:kern w:val="0"/>
      <w:sz w:val="27"/>
      <w:szCs w:val="27"/>
      <w:lang w:eastAsia="en-US"/>
    </w:rPr>
  </w:style>
  <w:style w:type="character" w:customStyle="1" w:styleId="643">
    <w:name w:val="标题 #4 + 间距 -1 pt"/>
    <w:qFormat/>
    <w:uiPriority w:val="0"/>
    <w:rPr>
      <w:rFonts w:ascii="Arial Unicode MS" w:eastAsia="Arial Unicode MS" w:cs="Arial Unicode MS"/>
      <w:spacing w:val="-30"/>
      <w:sz w:val="22"/>
      <w:szCs w:val="22"/>
      <w:u w:val="none"/>
      <w:shd w:val="clear" w:color="auto" w:fill="FFFFFF"/>
    </w:rPr>
  </w:style>
  <w:style w:type="character" w:customStyle="1" w:styleId="644">
    <w:name w:val="正文文本 (19) + 间距 0 pt Exact"/>
    <w:qFormat/>
    <w:uiPriority w:val="0"/>
    <w:rPr>
      <w:rFonts w:ascii="宋体" w:hAnsi="宋体"/>
      <w:spacing w:val="5"/>
      <w:sz w:val="19"/>
      <w:szCs w:val="19"/>
      <w:shd w:val="clear" w:color="auto" w:fill="FFFFFF"/>
    </w:rPr>
  </w:style>
  <w:style w:type="character" w:customStyle="1" w:styleId="645">
    <w:name w:val="正文文本 + Times New Roman5"/>
    <w:qFormat/>
    <w:uiPriority w:val="0"/>
    <w:rPr>
      <w:rFonts w:ascii="Times New Roman" w:hAnsi="Times New Roman" w:eastAsia="Arial Unicode MS" w:cs="Times New Roman"/>
      <w:b/>
      <w:bCs/>
      <w:kern w:val="2"/>
      <w:sz w:val="27"/>
      <w:szCs w:val="27"/>
      <w:u w:val="none"/>
      <w:lang w:val="en-US" w:eastAsia="en-US" w:bidi="ar-SA"/>
    </w:rPr>
  </w:style>
  <w:style w:type="character" w:customStyle="1" w:styleId="646">
    <w:name w:val="正文文本 (14)2"/>
    <w:basedOn w:val="647"/>
    <w:qFormat/>
    <w:uiPriority w:val="0"/>
    <w:rPr>
      <w:rFonts w:ascii="Arial Unicode MS" w:eastAsia="Arial Unicode MS"/>
      <w:spacing w:val="-20"/>
      <w:sz w:val="8"/>
      <w:szCs w:val="8"/>
      <w:shd w:val="clear" w:color="auto" w:fill="FFFFFF"/>
      <w:lang w:eastAsia="en-US"/>
    </w:rPr>
  </w:style>
  <w:style w:type="character" w:customStyle="1" w:styleId="647">
    <w:name w:val="正文文本 (14)_"/>
    <w:link w:val="648"/>
    <w:qFormat/>
    <w:uiPriority w:val="0"/>
    <w:rPr>
      <w:rFonts w:ascii="Arial Unicode MS" w:eastAsia="Arial Unicode MS"/>
      <w:spacing w:val="-20"/>
      <w:sz w:val="8"/>
      <w:szCs w:val="8"/>
      <w:shd w:val="clear" w:color="auto" w:fill="FFFFFF"/>
      <w:lang w:eastAsia="en-US"/>
    </w:rPr>
  </w:style>
  <w:style w:type="paragraph" w:customStyle="1" w:styleId="648">
    <w:name w:val="正文文本 (14)1"/>
    <w:basedOn w:val="1"/>
    <w:link w:val="647"/>
    <w:qFormat/>
    <w:uiPriority w:val="0"/>
    <w:pPr>
      <w:shd w:val="clear" w:color="auto" w:fill="FFFFFF"/>
      <w:spacing w:before="180" w:after="1680" w:line="240" w:lineRule="atLeast"/>
    </w:pPr>
    <w:rPr>
      <w:rFonts w:ascii="Arial Unicode MS" w:eastAsia="Arial Unicode MS" w:hAnsiTheme="minorHAnsi" w:cstheme="minorBidi"/>
      <w:spacing w:val="-20"/>
      <w:kern w:val="0"/>
      <w:sz w:val="8"/>
      <w:szCs w:val="8"/>
      <w:lang w:eastAsia="en-US"/>
    </w:rPr>
  </w:style>
  <w:style w:type="character" w:customStyle="1" w:styleId="649">
    <w:name w:val="正文文字 21 Char"/>
    <w:qFormat/>
    <w:uiPriority w:val="0"/>
    <w:rPr>
      <w:rFonts w:eastAsia="仿宋_GB2312"/>
      <w:kern w:val="2"/>
      <w:lang w:eastAsia="zh-CN"/>
    </w:rPr>
  </w:style>
  <w:style w:type="character" w:customStyle="1" w:styleId="650">
    <w:name w:val="正文文本 + 10 pt5"/>
    <w:qFormat/>
    <w:uiPriority w:val="0"/>
    <w:rPr>
      <w:rFonts w:ascii="Arial Unicode MS" w:eastAsia="Arial Unicode MS" w:cs="Arial Unicode MS"/>
      <w:kern w:val="2"/>
      <w:sz w:val="20"/>
      <w:szCs w:val="20"/>
      <w:u w:val="none"/>
      <w:lang w:val="en-US" w:eastAsia="zh-CN" w:bidi="ar-SA"/>
    </w:rPr>
  </w:style>
  <w:style w:type="character" w:customStyle="1" w:styleId="651">
    <w:name w:val="正文文本 (25) Exact2"/>
    <w:qFormat/>
    <w:uiPriority w:val="0"/>
    <w:rPr>
      <w:rFonts w:ascii="宋体" w:hAnsi="宋体"/>
      <w:spacing w:val="6"/>
      <w:sz w:val="12"/>
      <w:szCs w:val="12"/>
      <w:u w:val="single"/>
      <w:shd w:val="clear" w:color="auto" w:fill="FFFFFF"/>
    </w:rPr>
  </w:style>
  <w:style w:type="character" w:customStyle="1" w:styleId="652">
    <w:name w:val="表格标题 (3) Exact2"/>
    <w:basedOn w:val="653"/>
    <w:qFormat/>
    <w:uiPriority w:val="0"/>
    <w:rPr>
      <w:rFonts w:ascii="宋体" w:hAnsi="宋体"/>
      <w:spacing w:val="2"/>
      <w:sz w:val="16"/>
      <w:szCs w:val="16"/>
      <w:shd w:val="clear" w:color="auto" w:fill="FFFFFF"/>
    </w:rPr>
  </w:style>
  <w:style w:type="character" w:customStyle="1" w:styleId="653">
    <w:name w:val="表格标题 (3) Exact"/>
    <w:link w:val="654"/>
    <w:qFormat/>
    <w:uiPriority w:val="0"/>
    <w:rPr>
      <w:rFonts w:ascii="宋体" w:hAnsi="宋体"/>
      <w:spacing w:val="2"/>
      <w:sz w:val="16"/>
      <w:szCs w:val="16"/>
      <w:shd w:val="clear" w:color="auto" w:fill="FFFFFF"/>
    </w:rPr>
  </w:style>
  <w:style w:type="paragraph" w:customStyle="1" w:styleId="654">
    <w:name w:val="表格标题 (3)"/>
    <w:basedOn w:val="1"/>
    <w:link w:val="653"/>
    <w:qFormat/>
    <w:uiPriority w:val="0"/>
    <w:pPr>
      <w:shd w:val="clear" w:color="auto" w:fill="FFFFFF"/>
      <w:spacing w:line="240" w:lineRule="atLeast"/>
      <w:jc w:val="left"/>
    </w:pPr>
    <w:rPr>
      <w:rFonts w:ascii="宋体" w:hAnsi="宋体" w:eastAsiaTheme="minorEastAsia" w:cstheme="minorBidi"/>
      <w:spacing w:val="2"/>
      <w:kern w:val="0"/>
      <w:sz w:val="16"/>
      <w:szCs w:val="16"/>
    </w:rPr>
  </w:style>
  <w:style w:type="character" w:customStyle="1" w:styleId="655">
    <w:name w:val="正文文本 (4) + Times New Roman"/>
    <w:qFormat/>
    <w:uiPriority w:val="0"/>
    <w:rPr>
      <w:rFonts w:ascii="Times New Roman" w:hAnsi="Times New Roman" w:cs="Times New Roman"/>
      <w:b/>
      <w:bCs/>
      <w:spacing w:val="0"/>
      <w:sz w:val="19"/>
      <w:szCs w:val="19"/>
      <w:shd w:val="clear" w:color="auto" w:fill="FFFFFF"/>
      <w:lang w:val="en-US" w:eastAsia="zh-CN"/>
    </w:rPr>
  </w:style>
  <w:style w:type="character" w:customStyle="1" w:styleId="656">
    <w:name w:val="正文文本 (30) Exact"/>
    <w:qFormat/>
    <w:uiPriority w:val="0"/>
    <w:rPr>
      <w:rFonts w:ascii="宋体" w:hAnsi="宋体" w:cs="宋体"/>
      <w:sz w:val="18"/>
      <w:szCs w:val="18"/>
      <w:u w:val="none"/>
      <w:lang w:val="en-US" w:eastAsia="zh-CN"/>
    </w:rPr>
  </w:style>
  <w:style w:type="character" w:customStyle="1" w:styleId="657">
    <w:name w:val="标题 #3 (3)_"/>
    <w:link w:val="658"/>
    <w:qFormat/>
    <w:uiPriority w:val="0"/>
    <w:rPr>
      <w:rFonts w:ascii="Arial Unicode MS" w:eastAsia="Arial Unicode MS"/>
      <w:sz w:val="21"/>
      <w:szCs w:val="21"/>
      <w:shd w:val="clear" w:color="auto" w:fill="FFFFFF"/>
      <w:lang w:eastAsia="en-US"/>
    </w:rPr>
  </w:style>
  <w:style w:type="paragraph" w:customStyle="1" w:styleId="658">
    <w:name w:val="标题 #3 (3)"/>
    <w:basedOn w:val="1"/>
    <w:link w:val="657"/>
    <w:qFormat/>
    <w:uiPriority w:val="0"/>
    <w:pPr>
      <w:shd w:val="clear" w:color="auto" w:fill="FFFFFF"/>
      <w:spacing w:before="240" w:line="456" w:lineRule="exact"/>
      <w:jc w:val="distribute"/>
      <w:outlineLvl w:val="2"/>
    </w:pPr>
    <w:rPr>
      <w:rFonts w:ascii="Arial Unicode MS" w:eastAsia="Arial Unicode MS" w:hAnsiTheme="minorHAnsi" w:cstheme="minorBidi"/>
      <w:kern w:val="0"/>
      <w:szCs w:val="21"/>
      <w:lang w:eastAsia="en-US"/>
    </w:rPr>
  </w:style>
  <w:style w:type="character" w:customStyle="1" w:styleId="659">
    <w:name w:val="表格标题 (2) + 11 pt3"/>
    <w:qFormat/>
    <w:uiPriority w:val="0"/>
    <w:rPr>
      <w:rFonts w:ascii="Arial Unicode MS" w:eastAsia="Arial Unicode MS" w:cs="Arial Unicode MS"/>
      <w:sz w:val="22"/>
      <w:szCs w:val="22"/>
      <w:u w:val="none"/>
      <w:shd w:val="clear" w:color="auto" w:fill="FFFFFF"/>
      <w:lang w:eastAsia="en-US"/>
    </w:rPr>
  </w:style>
  <w:style w:type="character" w:customStyle="1" w:styleId="660">
    <w:name w:val="HTML 预设格式 Char2"/>
    <w:qFormat/>
    <w:uiPriority w:val="0"/>
    <w:rPr>
      <w:rFonts w:ascii="Calibri" w:hAnsi="Calibri" w:eastAsia="宋体" w:cs="宋体"/>
      <w:sz w:val="24"/>
      <w:szCs w:val="24"/>
      <w:lang w:val="en-US" w:eastAsia="en-US" w:bidi="en-US"/>
    </w:rPr>
  </w:style>
  <w:style w:type="character" w:customStyle="1" w:styleId="661">
    <w:name w:val="正文文本 (7)8"/>
    <w:qFormat/>
    <w:uiPriority w:val="0"/>
    <w:rPr>
      <w:rFonts w:ascii="Arial Unicode MS" w:eastAsia="Arial Unicode MS" w:cs="Arial Unicode MS"/>
      <w:sz w:val="21"/>
      <w:szCs w:val="21"/>
      <w:u w:val="none"/>
      <w:shd w:val="clear" w:color="auto" w:fill="FFFFFF"/>
      <w:lang w:eastAsia="en-US"/>
    </w:rPr>
  </w:style>
  <w:style w:type="character" w:customStyle="1" w:styleId="662">
    <w:name w:val="标题 #3 + Times New Roman1"/>
    <w:qFormat/>
    <w:uiPriority w:val="0"/>
    <w:rPr>
      <w:rFonts w:ascii="Times New Roman" w:hAnsi="Times New Roman" w:cs="Times New Roman"/>
      <w:b/>
      <w:bCs/>
      <w:spacing w:val="0"/>
      <w:sz w:val="24"/>
      <w:szCs w:val="24"/>
      <w:u w:val="none"/>
      <w:shd w:val="clear" w:color="auto" w:fill="FFFFFF"/>
      <w:lang w:val="en-US" w:eastAsia="en-US"/>
    </w:rPr>
  </w:style>
  <w:style w:type="character" w:customStyle="1" w:styleId="663">
    <w:name w:val="标题 #3 (5) + Times New Roman"/>
    <w:qFormat/>
    <w:uiPriority w:val="0"/>
    <w:rPr>
      <w:rFonts w:ascii="Times New Roman" w:hAnsi="Times New Roman" w:cs="Times New Roman"/>
      <w:b/>
      <w:bCs/>
      <w:spacing w:val="0"/>
      <w:sz w:val="27"/>
      <w:szCs w:val="27"/>
      <w:shd w:val="clear" w:color="auto" w:fill="FFFFFF"/>
      <w:lang w:val="en-US" w:eastAsia="en-US"/>
    </w:rPr>
  </w:style>
  <w:style w:type="character" w:customStyle="1" w:styleId="664">
    <w:name w:val="图片标题 (25) Exact"/>
    <w:link w:val="665"/>
    <w:qFormat/>
    <w:uiPriority w:val="0"/>
    <w:rPr>
      <w:rFonts w:ascii="宋体" w:hAnsi="宋体"/>
      <w:spacing w:val="8"/>
      <w:sz w:val="17"/>
      <w:szCs w:val="17"/>
      <w:shd w:val="clear" w:color="auto" w:fill="FFFFFF"/>
    </w:rPr>
  </w:style>
  <w:style w:type="paragraph" w:customStyle="1" w:styleId="665">
    <w:name w:val="图片标题 (25)"/>
    <w:basedOn w:val="1"/>
    <w:link w:val="664"/>
    <w:qFormat/>
    <w:uiPriority w:val="0"/>
    <w:pPr>
      <w:shd w:val="clear" w:color="auto" w:fill="FFFFFF"/>
      <w:spacing w:line="240" w:lineRule="atLeast"/>
      <w:jc w:val="left"/>
    </w:pPr>
    <w:rPr>
      <w:rFonts w:ascii="宋体" w:hAnsi="宋体" w:eastAsiaTheme="minorEastAsia" w:cstheme="minorBidi"/>
      <w:spacing w:val="8"/>
      <w:kern w:val="0"/>
      <w:sz w:val="17"/>
      <w:szCs w:val="17"/>
    </w:rPr>
  </w:style>
  <w:style w:type="character" w:customStyle="1" w:styleId="666">
    <w:name w:val="title21"/>
    <w:qFormat/>
    <w:uiPriority w:val="0"/>
    <w:rPr>
      <w:b/>
      <w:bCs/>
      <w:color w:val="FF6600"/>
      <w:sz w:val="22"/>
      <w:szCs w:val="22"/>
    </w:rPr>
  </w:style>
  <w:style w:type="character" w:customStyle="1" w:styleId="667">
    <w:name w:val="图片标题 + 10.5 pt Exact"/>
    <w:qFormat/>
    <w:uiPriority w:val="0"/>
    <w:rPr>
      <w:rFonts w:ascii="Arial Unicode MS" w:eastAsia="Arial Unicode MS"/>
      <w:spacing w:val="2"/>
      <w:sz w:val="21"/>
      <w:szCs w:val="21"/>
      <w:shd w:val="clear" w:color="auto" w:fill="FFFFFF"/>
      <w:lang w:val="en-US" w:eastAsia="zh-CN"/>
    </w:rPr>
  </w:style>
  <w:style w:type="character" w:customStyle="1" w:styleId="668">
    <w:name w:val="图片标题 (8) Exact"/>
    <w:link w:val="669"/>
    <w:qFormat/>
    <w:uiPriority w:val="0"/>
    <w:rPr>
      <w:rFonts w:ascii="宋体" w:hAnsi="宋体"/>
      <w:spacing w:val="30"/>
      <w:sz w:val="19"/>
      <w:szCs w:val="19"/>
      <w:shd w:val="clear" w:color="auto" w:fill="FFFFFF"/>
    </w:rPr>
  </w:style>
  <w:style w:type="paragraph" w:customStyle="1" w:styleId="669">
    <w:name w:val="图片标题 (8)"/>
    <w:basedOn w:val="1"/>
    <w:link w:val="668"/>
    <w:qFormat/>
    <w:uiPriority w:val="0"/>
    <w:pPr>
      <w:shd w:val="clear" w:color="auto" w:fill="FFFFFF"/>
      <w:spacing w:line="269" w:lineRule="exact"/>
      <w:jc w:val="left"/>
    </w:pPr>
    <w:rPr>
      <w:rFonts w:ascii="宋体" w:hAnsi="宋体" w:eastAsiaTheme="minorEastAsia" w:cstheme="minorBidi"/>
      <w:spacing w:val="30"/>
      <w:kern w:val="0"/>
      <w:sz w:val="19"/>
      <w:szCs w:val="19"/>
    </w:rPr>
  </w:style>
  <w:style w:type="character" w:customStyle="1" w:styleId="670">
    <w:name w:val="正文文本 (2) + Arial Unicode MS"/>
    <w:qFormat/>
    <w:uiPriority w:val="0"/>
    <w:rPr>
      <w:rFonts w:ascii="Arial Unicode MS" w:hAnsi="宋体" w:eastAsia="Arial Unicode MS" w:cs="Arial Unicode MS"/>
      <w:b/>
      <w:bCs/>
      <w:sz w:val="19"/>
      <w:szCs w:val="19"/>
      <w:shd w:val="clear" w:color="auto" w:fill="FFFFFF"/>
      <w:lang w:val="en-US" w:eastAsia="en-US"/>
    </w:rPr>
  </w:style>
  <w:style w:type="character" w:customStyle="1" w:styleId="671">
    <w:name w:val="正文文本 (46) + 间距 2 pt Exact"/>
    <w:qFormat/>
    <w:uiPriority w:val="0"/>
    <w:rPr>
      <w:rFonts w:ascii="宋体" w:hAnsi="宋体"/>
      <w:spacing w:val="46"/>
      <w:sz w:val="9"/>
      <w:szCs w:val="9"/>
      <w:shd w:val="clear" w:color="auto" w:fill="FFFFFF"/>
    </w:rPr>
  </w:style>
  <w:style w:type="character" w:customStyle="1" w:styleId="672">
    <w:name w:val="图片标题 (5)4"/>
    <w:basedOn w:val="673"/>
    <w:qFormat/>
    <w:uiPriority w:val="0"/>
    <w:rPr>
      <w:rFonts w:ascii="Consolas" w:hAnsi="Consolas"/>
      <w:sz w:val="8"/>
      <w:szCs w:val="8"/>
      <w:shd w:val="clear" w:color="auto" w:fill="FFFFFF"/>
      <w:lang w:eastAsia="en-US"/>
    </w:rPr>
  </w:style>
  <w:style w:type="character" w:customStyle="1" w:styleId="673">
    <w:name w:val="图片标题 (5)_"/>
    <w:link w:val="674"/>
    <w:qFormat/>
    <w:uiPriority w:val="0"/>
    <w:rPr>
      <w:rFonts w:ascii="Consolas" w:hAnsi="Consolas"/>
      <w:sz w:val="8"/>
      <w:szCs w:val="8"/>
      <w:shd w:val="clear" w:color="auto" w:fill="FFFFFF"/>
      <w:lang w:eastAsia="en-US"/>
    </w:rPr>
  </w:style>
  <w:style w:type="paragraph" w:customStyle="1" w:styleId="674">
    <w:name w:val="图片标题 (5)1"/>
    <w:basedOn w:val="1"/>
    <w:link w:val="673"/>
    <w:qFormat/>
    <w:uiPriority w:val="0"/>
    <w:pPr>
      <w:shd w:val="clear" w:color="auto" w:fill="FFFFFF"/>
      <w:spacing w:line="240" w:lineRule="atLeast"/>
      <w:jc w:val="left"/>
    </w:pPr>
    <w:rPr>
      <w:rFonts w:ascii="Consolas" w:hAnsi="Consolas" w:eastAsiaTheme="minorEastAsia" w:cstheme="minorBidi"/>
      <w:kern w:val="0"/>
      <w:sz w:val="8"/>
      <w:szCs w:val="8"/>
      <w:lang w:eastAsia="en-US"/>
    </w:rPr>
  </w:style>
  <w:style w:type="character" w:customStyle="1" w:styleId="675">
    <w:name w:val="正文文本 + 间距 5 pt"/>
    <w:qFormat/>
    <w:uiPriority w:val="0"/>
    <w:rPr>
      <w:rFonts w:ascii="Arial Unicode MS" w:eastAsia="Arial Unicode MS" w:cs="Arial Unicode MS"/>
      <w:spacing w:val="110"/>
      <w:kern w:val="2"/>
      <w:sz w:val="22"/>
      <w:szCs w:val="22"/>
      <w:u w:val="none"/>
      <w:lang w:val="en-US" w:eastAsia="zh-CN" w:bidi="ar-SA"/>
    </w:rPr>
  </w:style>
  <w:style w:type="character" w:customStyle="1" w:styleId="676">
    <w:name w:val="正文文本 + Georgia1"/>
    <w:qFormat/>
    <w:uiPriority w:val="0"/>
    <w:rPr>
      <w:rFonts w:ascii="Georgia" w:hAnsi="Georgia" w:eastAsia="Arial Unicode MS" w:cs="Georgia"/>
      <w:b/>
      <w:bCs/>
      <w:kern w:val="2"/>
      <w:sz w:val="18"/>
      <w:szCs w:val="18"/>
      <w:u w:val="none"/>
      <w:lang w:val="en-US" w:eastAsia="zh-CN" w:bidi="ar-SA"/>
    </w:rPr>
  </w:style>
  <w:style w:type="character" w:customStyle="1" w:styleId="677">
    <w:name w:val="t-14"/>
    <w:basedOn w:val="89"/>
    <w:qFormat/>
    <w:uiPriority w:val="0"/>
  </w:style>
  <w:style w:type="character" w:customStyle="1" w:styleId="678">
    <w:name w:val="不明显强调1"/>
    <w:qFormat/>
    <w:uiPriority w:val="0"/>
    <w:rPr>
      <w:i/>
      <w:color w:val="808080"/>
    </w:rPr>
  </w:style>
  <w:style w:type="character" w:customStyle="1" w:styleId="679">
    <w:name w:val="正文文本 (6) + Times New Roman3"/>
    <w:qFormat/>
    <w:uiPriority w:val="0"/>
    <w:rPr>
      <w:rFonts w:ascii="Times New Roman" w:hAnsi="Times New Roman" w:cs="Times New Roman"/>
      <w:b/>
      <w:bCs/>
      <w:sz w:val="27"/>
      <w:szCs w:val="27"/>
      <w:u w:val="none"/>
      <w:shd w:val="clear" w:color="auto" w:fill="FFFFFF"/>
      <w:lang w:val="en-US" w:eastAsia="en-US"/>
    </w:rPr>
  </w:style>
  <w:style w:type="character" w:customStyle="1" w:styleId="680">
    <w:name w:val="正文文本 (15)_"/>
    <w:link w:val="681"/>
    <w:qFormat/>
    <w:uiPriority w:val="0"/>
    <w:rPr>
      <w:rFonts w:ascii="Arial Unicode MS" w:eastAsia="Arial Unicode MS"/>
      <w:sz w:val="8"/>
      <w:szCs w:val="8"/>
      <w:shd w:val="clear" w:color="auto" w:fill="FFFFFF"/>
    </w:rPr>
  </w:style>
  <w:style w:type="paragraph" w:customStyle="1" w:styleId="681">
    <w:name w:val="正文文本 (15)"/>
    <w:basedOn w:val="1"/>
    <w:link w:val="680"/>
    <w:qFormat/>
    <w:uiPriority w:val="0"/>
    <w:pPr>
      <w:shd w:val="clear" w:color="auto" w:fill="FFFFFF"/>
      <w:spacing w:before="120" w:line="240" w:lineRule="atLeast"/>
    </w:pPr>
    <w:rPr>
      <w:rFonts w:ascii="Arial Unicode MS" w:eastAsia="Arial Unicode MS" w:hAnsiTheme="minorHAnsi" w:cstheme="minorBidi"/>
      <w:kern w:val="0"/>
      <w:sz w:val="8"/>
      <w:szCs w:val="8"/>
    </w:rPr>
  </w:style>
  <w:style w:type="character" w:customStyle="1" w:styleId="682">
    <w:name w:val="Char Char12"/>
    <w:qFormat/>
    <w:uiPriority w:val="0"/>
    <w:rPr>
      <w:rFonts w:ascii="宋体" w:hAnsi="宋体"/>
      <w:snapToGrid w:val="0"/>
      <w:color w:val="000000"/>
      <w:lang w:eastAsia="zh-CN"/>
    </w:rPr>
  </w:style>
  <w:style w:type="character" w:customStyle="1" w:styleId="683">
    <w:name w:val="标题 #1_"/>
    <w:link w:val="684"/>
    <w:qFormat/>
    <w:uiPriority w:val="0"/>
    <w:rPr>
      <w:rFonts w:ascii="宋体" w:hAnsi="宋体"/>
      <w:sz w:val="29"/>
      <w:szCs w:val="29"/>
      <w:shd w:val="clear" w:color="auto" w:fill="FFFFFF"/>
    </w:rPr>
  </w:style>
  <w:style w:type="paragraph" w:customStyle="1" w:styleId="684">
    <w:name w:val="标题 #1"/>
    <w:basedOn w:val="1"/>
    <w:link w:val="683"/>
    <w:qFormat/>
    <w:uiPriority w:val="0"/>
    <w:pPr>
      <w:shd w:val="clear" w:color="auto" w:fill="FFFFFF"/>
      <w:spacing w:after="300" w:line="240" w:lineRule="atLeast"/>
      <w:jc w:val="left"/>
      <w:outlineLvl w:val="0"/>
    </w:pPr>
    <w:rPr>
      <w:rFonts w:ascii="宋体" w:hAnsi="宋体" w:eastAsiaTheme="minorEastAsia" w:cstheme="minorBidi"/>
      <w:kern w:val="0"/>
      <w:sz w:val="29"/>
      <w:szCs w:val="29"/>
    </w:rPr>
  </w:style>
  <w:style w:type="character" w:customStyle="1" w:styleId="685">
    <w:name w:val="正文文本 (7) + Times New Roman3"/>
    <w:qFormat/>
    <w:uiPriority w:val="0"/>
    <w:rPr>
      <w:rFonts w:ascii="Times New Roman" w:hAnsi="Times New Roman" w:eastAsia="Arial Unicode MS" w:cs="Times New Roman"/>
      <w:sz w:val="20"/>
      <w:szCs w:val="20"/>
      <w:u w:val="none"/>
      <w:shd w:val="clear" w:color="auto" w:fill="FFFFFF"/>
      <w:lang w:val="en-US" w:eastAsia="zh-CN"/>
    </w:rPr>
  </w:style>
  <w:style w:type="character" w:customStyle="1" w:styleId="686">
    <w:name w:val="表格标题 + 10.5 pt3"/>
    <w:qFormat/>
    <w:uiPriority w:val="0"/>
    <w:rPr>
      <w:rFonts w:ascii="Arial Unicode MS" w:eastAsia="Arial Unicode MS" w:cs="Arial Unicode MS"/>
      <w:sz w:val="21"/>
      <w:szCs w:val="21"/>
      <w:u w:val="none"/>
      <w:lang w:val="en-US" w:eastAsia="en-US"/>
    </w:rPr>
  </w:style>
  <w:style w:type="character" w:customStyle="1" w:styleId="687">
    <w:name w:val="批注文字 Char2"/>
    <w:qFormat/>
    <w:uiPriority w:val="99"/>
    <w:rPr>
      <w:rFonts w:eastAsia="宋体"/>
      <w:kern w:val="2"/>
      <w:sz w:val="24"/>
      <w:szCs w:val="24"/>
      <w:lang w:val="en-US" w:eastAsia="en-US" w:bidi="en-US"/>
    </w:rPr>
  </w:style>
  <w:style w:type="character" w:customStyle="1" w:styleId="688">
    <w:name w:val="标题 5，项 Char Char"/>
    <w:link w:val="689"/>
    <w:qFormat/>
    <w:uiPriority w:val="0"/>
    <w:rPr>
      <w:snapToGrid w:val="0"/>
      <w:kern w:val="2"/>
      <w:sz w:val="28"/>
      <w:szCs w:val="28"/>
    </w:rPr>
  </w:style>
  <w:style w:type="paragraph" w:customStyle="1" w:styleId="689">
    <w:name w:val="标题 5，项"/>
    <w:basedOn w:val="9"/>
    <w:link w:val="688"/>
    <w:qFormat/>
    <w:uiPriority w:val="0"/>
    <w:pPr>
      <w:keepLines w:val="0"/>
      <w:tabs>
        <w:tab w:val="left" w:pos="2088"/>
        <w:tab w:val="left" w:pos="3863"/>
        <w:tab w:val="left" w:pos="4863"/>
        <w:tab w:val="left" w:pos="6408"/>
      </w:tabs>
      <w:snapToGrid w:val="0"/>
      <w:spacing w:before="0" w:after="0" w:line="360" w:lineRule="auto"/>
      <w:ind w:firstLine="280" w:firstLineChars="100"/>
    </w:pPr>
    <w:rPr>
      <w:b w:val="0"/>
      <w:bCs w:val="0"/>
      <w:snapToGrid w:val="0"/>
    </w:rPr>
  </w:style>
  <w:style w:type="character" w:customStyle="1" w:styleId="690">
    <w:name w:val="正文文本 (20) + 8 pt Exact"/>
    <w:qFormat/>
    <w:uiPriority w:val="0"/>
    <w:rPr>
      <w:rFonts w:ascii="宋体" w:hAnsi="宋体"/>
      <w:sz w:val="16"/>
      <w:szCs w:val="16"/>
      <w:shd w:val="clear" w:color="auto" w:fill="FFFFFF"/>
      <w:lang w:val="en-US" w:eastAsia="zh-CN"/>
    </w:rPr>
  </w:style>
  <w:style w:type="character" w:customStyle="1" w:styleId="691">
    <w:name w:val="正文文本 + 间距 2 pt"/>
    <w:qFormat/>
    <w:uiPriority w:val="0"/>
    <w:rPr>
      <w:rFonts w:ascii="Arial Unicode MS" w:eastAsia="Arial Unicode MS" w:cs="Arial Unicode MS"/>
      <w:spacing w:val="40"/>
      <w:kern w:val="2"/>
      <w:sz w:val="22"/>
      <w:szCs w:val="22"/>
      <w:u w:val="none"/>
      <w:lang w:val="en-US" w:eastAsia="zh-CN" w:bidi="ar-SA"/>
    </w:rPr>
  </w:style>
  <w:style w:type="character" w:customStyle="1" w:styleId="692">
    <w:name w:val="表格标题 Char Char"/>
    <w:qFormat/>
    <w:uiPriority w:val="0"/>
    <w:rPr>
      <w:rFonts w:eastAsia="宋体"/>
      <w:sz w:val="24"/>
      <w:lang w:val="en-US" w:eastAsia="zh-CN" w:bidi="ar-SA"/>
    </w:rPr>
  </w:style>
  <w:style w:type="character" w:customStyle="1" w:styleId="693">
    <w:name w:val="正文文本 (5)"/>
    <w:basedOn w:val="694"/>
    <w:qFormat/>
    <w:uiPriority w:val="0"/>
    <w:rPr>
      <w:rFonts w:ascii="宋体" w:hAnsi="宋体"/>
      <w:spacing w:val="-10"/>
      <w:sz w:val="25"/>
      <w:szCs w:val="25"/>
      <w:shd w:val="clear" w:color="auto" w:fill="FFFFFF"/>
    </w:rPr>
  </w:style>
  <w:style w:type="character" w:customStyle="1" w:styleId="694">
    <w:name w:val="正文文本 (5)_"/>
    <w:link w:val="695"/>
    <w:qFormat/>
    <w:uiPriority w:val="0"/>
    <w:rPr>
      <w:rFonts w:ascii="宋体" w:hAnsi="宋体"/>
      <w:b/>
      <w:bCs/>
      <w:spacing w:val="-10"/>
      <w:sz w:val="25"/>
      <w:szCs w:val="25"/>
      <w:shd w:val="clear" w:color="auto" w:fill="FFFFFF"/>
    </w:rPr>
  </w:style>
  <w:style w:type="paragraph" w:customStyle="1" w:styleId="695">
    <w:name w:val="正文文本 (5)1"/>
    <w:basedOn w:val="1"/>
    <w:link w:val="694"/>
    <w:qFormat/>
    <w:uiPriority w:val="0"/>
    <w:pPr>
      <w:shd w:val="clear" w:color="auto" w:fill="FFFFFF"/>
      <w:spacing w:before="600" w:after="180" w:line="240" w:lineRule="atLeast"/>
      <w:jc w:val="left"/>
    </w:pPr>
    <w:rPr>
      <w:rFonts w:ascii="宋体" w:hAnsi="宋体" w:eastAsiaTheme="minorEastAsia" w:cstheme="minorBidi"/>
      <w:b/>
      <w:bCs/>
      <w:spacing w:val="-10"/>
      <w:kern w:val="0"/>
      <w:sz w:val="25"/>
      <w:szCs w:val="25"/>
    </w:rPr>
  </w:style>
  <w:style w:type="character" w:customStyle="1" w:styleId="696">
    <w:name w:val="标题 #2 + 间距 3 pt"/>
    <w:qFormat/>
    <w:uiPriority w:val="0"/>
    <w:rPr>
      <w:rFonts w:ascii="宋体" w:hAnsi="宋体" w:cs="宋体"/>
      <w:spacing w:val="70"/>
      <w:sz w:val="29"/>
      <w:szCs w:val="29"/>
      <w:u w:val="none"/>
      <w:shd w:val="clear" w:color="auto" w:fill="FFFFFF"/>
    </w:rPr>
  </w:style>
  <w:style w:type="character" w:customStyle="1" w:styleId="697">
    <w:name w:val="Char Char16"/>
    <w:qFormat/>
    <w:uiPriority w:val="0"/>
    <w:rPr>
      <w:rFonts w:eastAsia="仿宋_GB2312"/>
      <w:kern w:val="2"/>
      <w:sz w:val="24"/>
      <w:szCs w:val="24"/>
      <w:lang w:val="en-US" w:eastAsia="zh-CN" w:bidi="ar-SA"/>
    </w:rPr>
  </w:style>
  <w:style w:type="character" w:customStyle="1" w:styleId="698">
    <w:name w:val="图片标题 (2)3"/>
    <w:qFormat/>
    <w:uiPriority w:val="0"/>
    <w:rPr>
      <w:rFonts w:ascii="Arial Unicode MS" w:eastAsia="Arial Unicode MS"/>
      <w:sz w:val="22"/>
      <w:szCs w:val="22"/>
      <w:shd w:val="clear" w:color="auto" w:fill="FFFFFF"/>
      <w:lang w:val="en-US" w:eastAsia="zh-CN"/>
    </w:rPr>
  </w:style>
  <w:style w:type="character" w:customStyle="1" w:styleId="699">
    <w:name w:val="标题 #2 + Arial Unicode MS"/>
    <w:qFormat/>
    <w:uiPriority w:val="0"/>
    <w:rPr>
      <w:rFonts w:ascii="Arial Unicode MS" w:hAnsi="宋体" w:eastAsia="Arial Unicode MS" w:cs="Arial Unicode MS"/>
      <w:sz w:val="37"/>
      <w:szCs w:val="37"/>
      <w:u w:val="none"/>
      <w:shd w:val="clear" w:color="auto" w:fill="FFFFFF"/>
      <w:lang w:val="en-US" w:eastAsia="zh-CN"/>
    </w:rPr>
  </w:style>
  <w:style w:type="character" w:customStyle="1" w:styleId="700">
    <w:name w:val="正文文本 (14) + 小型大写"/>
    <w:qFormat/>
    <w:uiPriority w:val="0"/>
    <w:rPr>
      <w:rFonts w:ascii="Arial Unicode MS" w:eastAsia="Arial Unicode MS"/>
      <w:smallCaps/>
      <w:spacing w:val="-20"/>
      <w:sz w:val="8"/>
      <w:szCs w:val="8"/>
      <w:shd w:val="clear" w:color="auto" w:fill="FFFFFF"/>
      <w:lang w:val="en-US" w:eastAsia="zh-CN"/>
    </w:rPr>
  </w:style>
  <w:style w:type="character" w:customStyle="1" w:styleId="701">
    <w:name w:val="正文文本 + Times New Roman7"/>
    <w:qFormat/>
    <w:uiPriority w:val="0"/>
    <w:rPr>
      <w:rFonts w:ascii="Times New Roman" w:hAnsi="Times New Roman" w:eastAsia="Arial Unicode MS" w:cs="Times New Roman"/>
      <w:b/>
      <w:bCs/>
      <w:kern w:val="2"/>
      <w:sz w:val="23"/>
      <w:szCs w:val="23"/>
      <w:u w:val="none"/>
      <w:lang w:val="en-US" w:eastAsia="en-US" w:bidi="ar-SA"/>
    </w:rPr>
  </w:style>
  <w:style w:type="character" w:customStyle="1" w:styleId="702">
    <w:name w:val="表格标题 (4) + SimSun"/>
    <w:qFormat/>
    <w:uiPriority w:val="0"/>
    <w:rPr>
      <w:rFonts w:ascii="宋体" w:hAnsi="宋体" w:cs="宋体"/>
      <w:spacing w:val="2"/>
      <w:sz w:val="16"/>
      <w:szCs w:val="16"/>
      <w:shd w:val="clear" w:color="auto" w:fill="FFFFFF"/>
      <w:lang w:val="en-US" w:eastAsia="zh-CN"/>
    </w:rPr>
  </w:style>
  <w:style w:type="character" w:customStyle="1" w:styleId="703">
    <w:name w:val="正文文本 + 4 pt2"/>
    <w:qFormat/>
    <w:uiPriority w:val="0"/>
    <w:rPr>
      <w:rFonts w:ascii="宋体" w:hAnsi="宋体"/>
      <w:kern w:val="2"/>
      <w:sz w:val="8"/>
      <w:szCs w:val="8"/>
      <w:lang w:val="en-US" w:eastAsia="zh-CN"/>
    </w:rPr>
  </w:style>
  <w:style w:type="character" w:customStyle="1" w:styleId="704">
    <w:name w:val="5文章(治) Char"/>
    <w:link w:val="705"/>
    <w:qFormat/>
    <w:uiPriority w:val="0"/>
    <w:rPr>
      <w:bCs/>
      <w:color w:val="000000"/>
      <w:kern w:val="2"/>
      <w:sz w:val="24"/>
      <w:szCs w:val="24"/>
    </w:rPr>
  </w:style>
  <w:style w:type="paragraph" w:customStyle="1" w:styleId="705">
    <w:name w:val="5文章(治)"/>
    <w:basedOn w:val="1"/>
    <w:link w:val="704"/>
    <w:qFormat/>
    <w:uiPriority w:val="0"/>
    <w:pPr>
      <w:spacing w:line="360" w:lineRule="auto"/>
      <w:ind w:firstLine="480" w:firstLineChars="200"/>
    </w:pPr>
    <w:rPr>
      <w:rFonts w:asciiTheme="minorHAnsi" w:hAnsiTheme="minorHAnsi" w:eastAsiaTheme="minorEastAsia" w:cstheme="minorBidi"/>
      <w:bCs/>
      <w:color w:val="000000"/>
      <w:sz w:val="24"/>
      <w:szCs w:val="24"/>
    </w:rPr>
  </w:style>
  <w:style w:type="character" w:customStyle="1" w:styleId="706">
    <w:name w:val="正文文本 (5) + 间距 0 pt"/>
    <w:qFormat/>
    <w:uiPriority w:val="0"/>
    <w:rPr>
      <w:rFonts w:ascii="宋体" w:hAnsi="宋体"/>
      <w:b/>
      <w:bCs/>
      <w:spacing w:val="0"/>
      <w:sz w:val="25"/>
      <w:szCs w:val="25"/>
      <w:shd w:val="clear" w:color="auto" w:fill="FFFFFF"/>
    </w:rPr>
  </w:style>
  <w:style w:type="character" w:customStyle="1" w:styleId="707">
    <w:name w:val="正文文本 (18) + Arial Unicode MS"/>
    <w:qFormat/>
    <w:uiPriority w:val="0"/>
    <w:rPr>
      <w:rFonts w:ascii="Arial Unicode MS" w:eastAsia="Arial Unicode MS" w:cs="Arial Unicode MS"/>
      <w:b/>
      <w:bCs/>
      <w:sz w:val="18"/>
      <w:szCs w:val="18"/>
      <w:shd w:val="clear" w:color="auto" w:fill="FFFFFF"/>
      <w:lang w:val="en-US" w:eastAsia="zh-CN"/>
    </w:rPr>
  </w:style>
  <w:style w:type="character" w:customStyle="1" w:styleId="708">
    <w:name w:val="highlight1"/>
    <w:qFormat/>
    <w:uiPriority w:val="0"/>
    <w:rPr>
      <w:sz w:val="21"/>
      <w:szCs w:val="21"/>
    </w:rPr>
  </w:style>
  <w:style w:type="character" w:customStyle="1" w:styleId="709">
    <w:name w:val="标题 #4_"/>
    <w:link w:val="710"/>
    <w:qFormat/>
    <w:uiPriority w:val="0"/>
    <w:rPr>
      <w:rFonts w:ascii="Arial Unicode MS" w:eastAsia="Arial Unicode MS"/>
      <w:sz w:val="22"/>
      <w:szCs w:val="22"/>
      <w:shd w:val="clear" w:color="auto" w:fill="FFFFFF"/>
    </w:rPr>
  </w:style>
  <w:style w:type="paragraph" w:customStyle="1" w:styleId="710">
    <w:name w:val="标题 #41"/>
    <w:basedOn w:val="1"/>
    <w:link w:val="709"/>
    <w:qFormat/>
    <w:uiPriority w:val="0"/>
    <w:pPr>
      <w:shd w:val="clear" w:color="auto" w:fill="FFFFFF"/>
      <w:spacing w:after="180" w:line="240" w:lineRule="atLeast"/>
      <w:ind w:hanging="1860"/>
      <w:jc w:val="left"/>
      <w:outlineLvl w:val="3"/>
    </w:pPr>
    <w:rPr>
      <w:rFonts w:ascii="Arial Unicode MS" w:eastAsia="Arial Unicode MS" w:hAnsiTheme="minorHAnsi" w:cstheme="minorBidi"/>
      <w:kern w:val="0"/>
      <w:sz w:val="22"/>
      <w:szCs w:val="22"/>
    </w:rPr>
  </w:style>
  <w:style w:type="character" w:customStyle="1" w:styleId="711">
    <w:name w:val="正文文本 (32)_"/>
    <w:link w:val="712"/>
    <w:qFormat/>
    <w:uiPriority w:val="0"/>
    <w:rPr>
      <w:rFonts w:ascii="Consolas" w:hAnsi="Consolas"/>
      <w:i/>
      <w:iCs/>
      <w:spacing w:val="-10"/>
      <w:sz w:val="11"/>
      <w:szCs w:val="11"/>
      <w:shd w:val="clear" w:color="auto" w:fill="FFFFFF"/>
      <w:lang w:eastAsia="en-US"/>
    </w:rPr>
  </w:style>
  <w:style w:type="paragraph" w:customStyle="1" w:styleId="712">
    <w:name w:val="正文文本 (32)"/>
    <w:basedOn w:val="1"/>
    <w:link w:val="711"/>
    <w:qFormat/>
    <w:uiPriority w:val="0"/>
    <w:pPr>
      <w:shd w:val="clear" w:color="auto" w:fill="FFFFFF"/>
      <w:spacing w:after="240" w:line="240" w:lineRule="atLeast"/>
      <w:jc w:val="left"/>
    </w:pPr>
    <w:rPr>
      <w:rFonts w:ascii="Consolas" w:hAnsi="Consolas" w:eastAsiaTheme="minorEastAsia" w:cstheme="minorBidi"/>
      <w:i/>
      <w:iCs/>
      <w:spacing w:val="-10"/>
      <w:kern w:val="0"/>
      <w:sz w:val="11"/>
      <w:szCs w:val="11"/>
      <w:lang w:eastAsia="en-US"/>
    </w:rPr>
  </w:style>
  <w:style w:type="character" w:customStyle="1" w:styleId="713">
    <w:name w:val="脚注文本 Char1"/>
    <w:qFormat/>
    <w:uiPriority w:val="0"/>
    <w:rPr>
      <w:rFonts w:ascii="Calibri" w:hAnsi="Calibri"/>
      <w:sz w:val="18"/>
      <w:szCs w:val="18"/>
      <w:lang w:eastAsia="en-US" w:bidi="en-US"/>
    </w:rPr>
  </w:style>
  <w:style w:type="character" w:customStyle="1" w:styleId="714">
    <w:name w:val="unnamed1"/>
    <w:basedOn w:val="89"/>
    <w:qFormat/>
    <w:uiPriority w:val="0"/>
  </w:style>
  <w:style w:type="character" w:customStyle="1" w:styleId="715">
    <w:name w:val="页眉或页脚 + Times New Roman3"/>
    <w:qFormat/>
    <w:uiPriority w:val="0"/>
    <w:rPr>
      <w:rFonts w:ascii="Times New Roman" w:hAnsi="Times New Roman" w:cs="Times New Roman"/>
      <w:sz w:val="17"/>
      <w:szCs w:val="17"/>
      <w:shd w:val="clear" w:color="auto" w:fill="FFFFFF"/>
    </w:rPr>
  </w:style>
  <w:style w:type="character" w:customStyle="1" w:styleId="716">
    <w:name w:val="样式 标题 31.1.1标题 3条标题1.1.1h33rd levelH3l3CTReHead 3 WSA标... Char"/>
    <w:link w:val="717"/>
    <w:qFormat/>
    <w:uiPriority w:val="0"/>
    <w:rPr>
      <w:rFonts w:hAnsi="Arial" w:eastAsia="黑体"/>
      <w:b/>
      <w:bCs/>
      <w:kern w:val="2"/>
      <w:sz w:val="24"/>
    </w:rPr>
  </w:style>
  <w:style w:type="paragraph" w:customStyle="1" w:styleId="717">
    <w:name w:val="样式 标题 31.1.1标题 3条标题1.1.1h33rd levelH3l3CTReHead 3 WSA标..."/>
    <w:basedOn w:val="7"/>
    <w:link w:val="716"/>
    <w:qFormat/>
    <w:uiPriority w:val="0"/>
    <w:pPr>
      <w:keepNext w:val="0"/>
      <w:keepLines w:val="0"/>
      <w:tabs>
        <w:tab w:val="left" w:pos="1440"/>
      </w:tabs>
      <w:adjustRightInd w:val="0"/>
      <w:snapToGrid w:val="0"/>
      <w:spacing w:before="0" w:after="0" w:line="500" w:lineRule="exact"/>
      <w:ind w:left="1440" w:hanging="1080"/>
    </w:pPr>
    <w:rPr>
      <w:rFonts w:hAnsi="Arial" w:eastAsia="黑体"/>
      <w:kern w:val="2"/>
      <w:sz w:val="24"/>
      <w:szCs w:val="20"/>
    </w:rPr>
  </w:style>
  <w:style w:type="character" w:customStyle="1" w:styleId="718">
    <w:name w:val="称呼 Char1"/>
    <w:qFormat/>
    <w:uiPriority w:val="0"/>
    <w:rPr>
      <w:rFonts w:cs="Times New Roman"/>
      <w:kern w:val="2"/>
      <w:sz w:val="24"/>
      <w:szCs w:val="22"/>
    </w:rPr>
  </w:style>
  <w:style w:type="character" w:customStyle="1" w:styleId="719">
    <w:name w:val="图片标题 (8) Exact1"/>
    <w:basedOn w:val="668"/>
    <w:qFormat/>
    <w:uiPriority w:val="0"/>
    <w:rPr>
      <w:rFonts w:ascii="宋体" w:hAnsi="宋体"/>
      <w:spacing w:val="30"/>
      <w:sz w:val="19"/>
      <w:szCs w:val="19"/>
      <w:shd w:val="clear" w:color="auto" w:fill="FFFFFF"/>
    </w:rPr>
  </w:style>
  <w:style w:type="character" w:customStyle="1" w:styleId="720">
    <w:name w:val="正文文本 (4)_"/>
    <w:link w:val="721"/>
    <w:qFormat/>
    <w:uiPriority w:val="0"/>
    <w:rPr>
      <w:rFonts w:ascii="宋体" w:hAnsi="宋体"/>
      <w:b/>
      <w:bCs/>
      <w:spacing w:val="-10"/>
      <w:shd w:val="clear" w:color="auto" w:fill="FFFFFF"/>
    </w:rPr>
  </w:style>
  <w:style w:type="paragraph" w:customStyle="1" w:styleId="721">
    <w:name w:val="正文文本 (4)"/>
    <w:basedOn w:val="1"/>
    <w:link w:val="720"/>
    <w:qFormat/>
    <w:uiPriority w:val="0"/>
    <w:pPr>
      <w:shd w:val="clear" w:color="auto" w:fill="FFFFFF"/>
      <w:spacing w:before="60" w:line="374" w:lineRule="exact"/>
      <w:jc w:val="left"/>
    </w:pPr>
    <w:rPr>
      <w:rFonts w:ascii="宋体" w:hAnsi="宋体" w:eastAsiaTheme="minorEastAsia" w:cstheme="minorBidi"/>
      <w:b/>
      <w:bCs/>
      <w:spacing w:val="-10"/>
      <w:kern w:val="0"/>
      <w:sz w:val="20"/>
    </w:rPr>
  </w:style>
  <w:style w:type="character" w:customStyle="1" w:styleId="722">
    <w:name w:val="正文文本 (7) + 11 pt5"/>
    <w:qFormat/>
    <w:uiPriority w:val="0"/>
    <w:rPr>
      <w:rFonts w:ascii="Arial Unicode MS" w:eastAsia="Arial Unicode MS" w:cs="Arial Unicode MS"/>
      <w:sz w:val="22"/>
      <w:szCs w:val="22"/>
      <w:u w:val="none"/>
      <w:shd w:val="clear" w:color="auto" w:fill="FFFFFF"/>
      <w:lang w:eastAsia="en-US"/>
    </w:rPr>
  </w:style>
  <w:style w:type="character" w:customStyle="1" w:styleId="723">
    <w:name w:val="标题 #2 + Times New Roman2"/>
    <w:qFormat/>
    <w:uiPriority w:val="0"/>
    <w:rPr>
      <w:rFonts w:ascii="Times New Roman" w:hAnsi="Times New Roman" w:cs="Times New Roman"/>
      <w:b/>
      <w:bCs/>
      <w:sz w:val="27"/>
      <w:szCs w:val="27"/>
      <w:u w:val="none"/>
      <w:shd w:val="clear" w:color="auto" w:fill="FFFFFF"/>
      <w:lang w:val="en-US" w:eastAsia="en-US"/>
    </w:rPr>
  </w:style>
  <w:style w:type="character" w:customStyle="1" w:styleId="724">
    <w:name w:val="s1"/>
    <w:qFormat/>
    <w:uiPriority w:val="0"/>
    <w:rPr>
      <w:sz w:val="17"/>
      <w:szCs w:val="17"/>
    </w:rPr>
  </w:style>
  <w:style w:type="character" w:customStyle="1" w:styleId="725">
    <w:name w:val="正文文本 (43) Exact"/>
    <w:link w:val="726"/>
    <w:qFormat/>
    <w:uiPriority w:val="0"/>
    <w:rPr>
      <w:i/>
      <w:iCs/>
      <w:spacing w:val="5"/>
      <w:sz w:val="27"/>
      <w:szCs w:val="27"/>
      <w:shd w:val="clear" w:color="auto" w:fill="FFFFFF"/>
      <w:lang w:eastAsia="en-US"/>
    </w:rPr>
  </w:style>
  <w:style w:type="paragraph" w:customStyle="1" w:styleId="726">
    <w:name w:val="正文文本 (43)"/>
    <w:basedOn w:val="1"/>
    <w:link w:val="725"/>
    <w:qFormat/>
    <w:uiPriority w:val="0"/>
    <w:pPr>
      <w:shd w:val="clear" w:color="auto" w:fill="FFFFFF"/>
      <w:spacing w:line="240" w:lineRule="atLeast"/>
      <w:jc w:val="left"/>
    </w:pPr>
    <w:rPr>
      <w:rFonts w:asciiTheme="minorHAnsi" w:hAnsiTheme="minorHAnsi" w:eastAsiaTheme="minorEastAsia" w:cstheme="minorBidi"/>
      <w:i/>
      <w:iCs/>
      <w:spacing w:val="5"/>
      <w:kern w:val="0"/>
      <w:sz w:val="27"/>
      <w:szCs w:val="27"/>
      <w:lang w:eastAsia="en-US"/>
    </w:rPr>
  </w:style>
  <w:style w:type="character" w:customStyle="1" w:styleId="727">
    <w:name w:val="表格标题 (2)_"/>
    <w:link w:val="728"/>
    <w:qFormat/>
    <w:uiPriority w:val="0"/>
    <w:rPr>
      <w:rFonts w:ascii="Arial Unicode MS" w:eastAsia="Arial Unicode MS"/>
      <w:sz w:val="21"/>
      <w:szCs w:val="21"/>
      <w:shd w:val="clear" w:color="auto" w:fill="FFFFFF"/>
      <w:lang w:eastAsia="en-US"/>
    </w:rPr>
  </w:style>
  <w:style w:type="paragraph" w:customStyle="1" w:styleId="728">
    <w:name w:val="表格标题 (2)1"/>
    <w:basedOn w:val="1"/>
    <w:link w:val="727"/>
    <w:qFormat/>
    <w:uiPriority w:val="0"/>
    <w:pPr>
      <w:shd w:val="clear" w:color="auto" w:fill="FFFFFF"/>
      <w:spacing w:line="240" w:lineRule="atLeast"/>
      <w:jc w:val="left"/>
    </w:pPr>
    <w:rPr>
      <w:rFonts w:ascii="Arial Unicode MS" w:eastAsia="Arial Unicode MS" w:hAnsiTheme="minorHAnsi" w:cstheme="minorBidi"/>
      <w:kern w:val="0"/>
      <w:szCs w:val="21"/>
      <w:lang w:eastAsia="en-US"/>
    </w:rPr>
  </w:style>
  <w:style w:type="character" w:customStyle="1" w:styleId="729">
    <w:name w:val="正文文本 (20) + 9.5 pt"/>
    <w:qFormat/>
    <w:uiPriority w:val="0"/>
    <w:rPr>
      <w:rFonts w:ascii="宋体" w:hAnsi="宋体"/>
      <w:spacing w:val="76"/>
      <w:sz w:val="19"/>
      <w:szCs w:val="19"/>
      <w:shd w:val="clear" w:color="auto" w:fill="FFFFFF"/>
    </w:rPr>
  </w:style>
  <w:style w:type="character" w:customStyle="1" w:styleId="730">
    <w:name w:val="正文文本 + Times New Roman8"/>
    <w:qFormat/>
    <w:uiPriority w:val="0"/>
    <w:rPr>
      <w:rFonts w:ascii="Times New Roman" w:hAnsi="Times New Roman" w:eastAsia="Arial Unicode MS" w:cs="Times New Roman"/>
      <w:b/>
      <w:bCs/>
      <w:kern w:val="2"/>
      <w:sz w:val="27"/>
      <w:szCs w:val="27"/>
      <w:u w:val="none"/>
      <w:lang w:val="en-US" w:eastAsia="en-US" w:bidi="ar-SA"/>
    </w:rPr>
  </w:style>
  <w:style w:type="character" w:customStyle="1" w:styleId="731">
    <w:name w:val="正文文本 (6) + Arial Unicode MS2"/>
    <w:qFormat/>
    <w:uiPriority w:val="0"/>
    <w:rPr>
      <w:rFonts w:ascii="Arial Unicode MS" w:hAnsi="宋体" w:eastAsia="Arial Unicode MS" w:cs="Arial Unicode MS"/>
      <w:sz w:val="22"/>
      <w:szCs w:val="22"/>
      <w:u w:val="none"/>
      <w:shd w:val="clear" w:color="auto" w:fill="FFFFFF"/>
    </w:rPr>
  </w:style>
  <w:style w:type="character" w:customStyle="1" w:styleId="732">
    <w:name w:val="正文文本 (13) + 11 pt"/>
    <w:qFormat/>
    <w:uiPriority w:val="0"/>
    <w:rPr>
      <w:rFonts w:ascii="Arial Unicode MS" w:eastAsia="Arial Unicode MS"/>
      <w:i/>
      <w:iCs/>
      <w:spacing w:val="0"/>
      <w:sz w:val="22"/>
      <w:szCs w:val="22"/>
      <w:shd w:val="clear" w:color="auto" w:fill="FFFFFF"/>
      <w:lang w:eastAsia="en-US"/>
    </w:rPr>
  </w:style>
  <w:style w:type="character" w:customStyle="1" w:styleId="733">
    <w:name w:val="正文文本 + 10.5 pt25"/>
    <w:qFormat/>
    <w:uiPriority w:val="0"/>
    <w:rPr>
      <w:rFonts w:ascii="Arial Unicode MS" w:eastAsia="Arial Unicode MS" w:cs="Arial Unicode MS"/>
      <w:smallCaps/>
      <w:kern w:val="2"/>
      <w:sz w:val="21"/>
      <w:szCs w:val="21"/>
      <w:u w:val="none"/>
      <w:lang w:val="en-US" w:eastAsia="en-US" w:bidi="ar-SA"/>
    </w:rPr>
  </w:style>
  <w:style w:type="character" w:customStyle="1" w:styleId="734">
    <w:name w:val="articlebody21"/>
    <w:qFormat/>
    <w:uiPriority w:val="0"/>
    <w:rPr>
      <w:sz w:val="21"/>
      <w:szCs w:val="21"/>
    </w:rPr>
  </w:style>
  <w:style w:type="character" w:customStyle="1" w:styleId="735">
    <w:name w:val="表格标题 (2) + 11 pt2"/>
    <w:qFormat/>
    <w:uiPriority w:val="0"/>
    <w:rPr>
      <w:rFonts w:ascii="Arial Unicode MS" w:eastAsia="Arial Unicode MS" w:cs="Arial Unicode MS"/>
      <w:sz w:val="22"/>
      <w:szCs w:val="22"/>
      <w:u w:val="single"/>
      <w:shd w:val="clear" w:color="auto" w:fill="FFFFFF"/>
      <w:lang w:eastAsia="en-US"/>
    </w:rPr>
  </w:style>
  <w:style w:type="character" w:customStyle="1" w:styleId="736">
    <w:name w:val="正文文本 (11) Exact"/>
    <w:qFormat/>
    <w:uiPriority w:val="0"/>
    <w:rPr>
      <w:rFonts w:ascii="Arial Unicode MS" w:eastAsia="Arial Unicode MS" w:cs="Arial Unicode MS"/>
      <w:spacing w:val="-7"/>
      <w:sz w:val="12"/>
      <w:szCs w:val="12"/>
      <w:u w:val="none"/>
      <w:lang w:val="en-US" w:eastAsia="en-US"/>
    </w:rPr>
  </w:style>
  <w:style w:type="character" w:customStyle="1" w:styleId="737">
    <w:name w:val="链接"/>
    <w:qFormat/>
    <w:uiPriority w:val="0"/>
    <w:rPr>
      <w:rFonts w:hint="default" w:ascii="Times New Roman" w:hAnsi="Times New Roman" w:eastAsia="宋体" w:cs="Times New Roman"/>
      <w:color w:val="0000FF"/>
      <w:sz w:val="21"/>
      <w:u w:val="single" w:color="0000FF"/>
      <w:vertAlign w:val="baseline"/>
      <w:lang w:val="en-US" w:eastAsia="zh-CN"/>
    </w:rPr>
  </w:style>
  <w:style w:type="character" w:customStyle="1" w:styleId="738">
    <w:name w:val="正文文本 (3)3"/>
    <w:qFormat/>
    <w:uiPriority w:val="0"/>
    <w:rPr>
      <w:rFonts w:ascii="Arial Unicode MS" w:eastAsia="Arial Unicode MS"/>
      <w:b/>
      <w:bCs/>
      <w:sz w:val="19"/>
      <w:szCs w:val="19"/>
      <w:u w:val="single"/>
      <w:shd w:val="clear" w:color="auto" w:fill="FFFFFF"/>
      <w:lang w:val="en-US" w:eastAsia="en-US"/>
    </w:rPr>
  </w:style>
  <w:style w:type="character" w:customStyle="1" w:styleId="739">
    <w:name w:val="正文文本 (6) + Times New Roman5"/>
    <w:qFormat/>
    <w:uiPriority w:val="0"/>
    <w:rPr>
      <w:rFonts w:ascii="Times New Roman" w:hAnsi="Times New Roman" w:cs="Times New Roman"/>
      <w:b/>
      <w:bCs/>
      <w:sz w:val="27"/>
      <w:szCs w:val="27"/>
      <w:shd w:val="clear" w:color="auto" w:fill="FFFFFF"/>
      <w:lang w:val="en-US" w:eastAsia="en-US"/>
    </w:rPr>
  </w:style>
  <w:style w:type="character" w:customStyle="1" w:styleId="740">
    <w:name w:val="标题 1 Char2"/>
    <w:qFormat/>
    <w:uiPriority w:val="0"/>
    <w:rPr>
      <w:rFonts w:ascii="Cambria" w:hAnsi="Cambria" w:eastAsia="宋体"/>
      <w:b/>
      <w:bCs/>
      <w:kern w:val="32"/>
      <w:sz w:val="32"/>
      <w:szCs w:val="32"/>
      <w:lang w:val="en-US" w:eastAsia="en-US" w:bidi="en-US"/>
    </w:rPr>
  </w:style>
  <w:style w:type="character" w:customStyle="1" w:styleId="741">
    <w:name w:val="图片标题 (18)_"/>
    <w:link w:val="742"/>
    <w:qFormat/>
    <w:uiPriority w:val="0"/>
    <w:rPr>
      <w:b/>
      <w:bCs/>
      <w:sz w:val="18"/>
      <w:szCs w:val="18"/>
      <w:shd w:val="clear" w:color="auto" w:fill="FFFFFF"/>
      <w:lang w:eastAsia="en-US"/>
    </w:rPr>
  </w:style>
  <w:style w:type="paragraph" w:customStyle="1" w:styleId="742">
    <w:name w:val="图片标题 (18)"/>
    <w:basedOn w:val="1"/>
    <w:link w:val="741"/>
    <w:qFormat/>
    <w:uiPriority w:val="0"/>
    <w:pPr>
      <w:shd w:val="clear" w:color="auto" w:fill="FFFFFF"/>
      <w:spacing w:line="240" w:lineRule="atLeast"/>
      <w:jc w:val="left"/>
    </w:pPr>
    <w:rPr>
      <w:rFonts w:asciiTheme="minorHAnsi" w:hAnsiTheme="minorHAnsi" w:eastAsiaTheme="minorEastAsia" w:cstheme="minorBidi"/>
      <w:b/>
      <w:bCs/>
      <w:kern w:val="0"/>
      <w:sz w:val="18"/>
      <w:szCs w:val="18"/>
      <w:lang w:eastAsia="en-US"/>
    </w:rPr>
  </w:style>
  <w:style w:type="character" w:customStyle="1" w:styleId="743">
    <w:name w:val="图片标题 (21) Exact"/>
    <w:link w:val="744"/>
    <w:qFormat/>
    <w:uiPriority w:val="0"/>
    <w:rPr>
      <w:rFonts w:ascii="MS Mincho" w:eastAsia="MS Mincho"/>
      <w:spacing w:val="1"/>
      <w:sz w:val="15"/>
      <w:szCs w:val="15"/>
      <w:shd w:val="clear" w:color="auto" w:fill="FFFFFF"/>
    </w:rPr>
  </w:style>
  <w:style w:type="paragraph" w:customStyle="1" w:styleId="744">
    <w:name w:val="图片标题 (21)"/>
    <w:basedOn w:val="1"/>
    <w:link w:val="743"/>
    <w:qFormat/>
    <w:uiPriority w:val="0"/>
    <w:pPr>
      <w:shd w:val="clear" w:color="auto" w:fill="FFFFFF"/>
      <w:spacing w:line="240" w:lineRule="atLeast"/>
      <w:jc w:val="left"/>
    </w:pPr>
    <w:rPr>
      <w:rFonts w:ascii="MS Mincho" w:eastAsia="MS Mincho" w:hAnsiTheme="minorHAnsi" w:cstheme="minorBidi"/>
      <w:spacing w:val="1"/>
      <w:kern w:val="0"/>
      <w:sz w:val="15"/>
      <w:szCs w:val="15"/>
    </w:rPr>
  </w:style>
  <w:style w:type="character" w:customStyle="1" w:styleId="745">
    <w:name w:val="标题 5 Char1"/>
    <w:qFormat/>
    <w:uiPriority w:val="9"/>
    <w:rPr>
      <w:b/>
      <w:bCs/>
      <w:iCs/>
      <w:sz w:val="26"/>
      <w:szCs w:val="26"/>
      <w:lang w:eastAsia="en-US" w:bidi="en-US"/>
    </w:rPr>
  </w:style>
  <w:style w:type="character" w:customStyle="1" w:styleId="746">
    <w:name w:val="标题 7 Char1"/>
    <w:qFormat/>
    <w:uiPriority w:val="9"/>
    <w:rPr>
      <w:rFonts w:ascii="Calibri" w:hAnsi="Calibri" w:eastAsia="宋体"/>
      <w:sz w:val="24"/>
      <w:szCs w:val="24"/>
      <w:lang w:val="en-US" w:eastAsia="en-US" w:bidi="en-US"/>
    </w:rPr>
  </w:style>
  <w:style w:type="character" w:customStyle="1" w:styleId="747">
    <w:name w:val="标题 8 Char1"/>
    <w:qFormat/>
    <w:uiPriority w:val="9"/>
    <w:rPr>
      <w:rFonts w:ascii="Calibri" w:hAnsi="Calibri" w:eastAsia="宋体"/>
      <w:i/>
      <w:iCs/>
      <w:sz w:val="24"/>
      <w:szCs w:val="24"/>
      <w:lang w:val="en-US" w:eastAsia="en-US" w:bidi="en-US"/>
    </w:rPr>
  </w:style>
  <w:style w:type="character" w:customStyle="1" w:styleId="748">
    <w:name w:val="标题 9 Char1"/>
    <w:qFormat/>
    <w:uiPriority w:val="9"/>
    <w:rPr>
      <w:rFonts w:ascii="Cambria" w:hAnsi="Cambria" w:eastAsia="宋体"/>
      <w:sz w:val="22"/>
      <w:szCs w:val="22"/>
      <w:lang w:val="en-US" w:eastAsia="en-US" w:bidi="en-US"/>
    </w:rPr>
  </w:style>
  <w:style w:type="character" w:customStyle="1" w:styleId="749">
    <w:name w:val="zh1"/>
    <w:qFormat/>
    <w:uiPriority w:val="0"/>
    <w:rPr>
      <w:sz w:val="21"/>
      <w:szCs w:val="21"/>
    </w:rPr>
  </w:style>
  <w:style w:type="character" w:customStyle="1" w:styleId="750">
    <w:name w:val="正文文本缩进 Char2"/>
    <w:qFormat/>
    <w:uiPriority w:val="0"/>
    <w:rPr>
      <w:rFonts w:ascii="Calibri" w:hAnsi="Calibri" w:eastAsia="宋体"/>
      <w:kern w:val="2"/>
      <w:sz w:val="28"/>
      <w:szCs w:val="24"/>
      <w:lang w:val="en-US" w:eastAsia="en-US" w:bidi="en-US"/>
    </w:rPr>
  </w:style>
  <w:style w:type="character" w:customStyle="1" w:styleId="751">
    <w:name w:val="正文文本缩进 2 Char2"/>
    <w:qFormat/>
    <w:uiPriority w:val="0"/>
    <w:rPr>
      <w:rFonts w:ascii="Calibri" w:hAnsi="Calibri" w:eastAsia="宋体"/>
      <w:kern w:val="2"/>
      <w:sz w:val="28"/>
      <w:szCs w:val="24"/>
      <w:lang w:val="en-US" w:eastAsia="en-US" w:bidi="en-US"/>
    </w:rPr>
  </w:style>
  <w:style w:type="character" w:customStyle="1" w:styleId="752">
    <w:name w:val="正文文本 2 Char2"/>
    <w:qFormat/>
    <w:uiPriority w:val="0"/>
    <w:rPr>
      <w:rFonts w:eastAsia="宋体"/>
      <w:color w:val="000000"/>
      <w:kern w:val="2"/>
      <w:sz w:val="24"/>
      <w:szCs w:val="14"/>
      <w:lang w:val="en-US" w:eastAsia="en-US" w:bidi="en-US"/>
    </w:rPr>
  </w:style>
  <w:style w:type="character" w:customStyle="1" w:styleId="753">
    <w:name w:val="文档结构图 Char1"/>
    <w:qFormat/>
    <w:uiPriority w:val="0"/>
    <w:rPr>
      <w:rFonts w:eastAsia="宋体"/>
      <w:kern w:val="2"/>
      <w:sz w:val="24"/>
      <w:szCs w:val="24"/>
      <w:lang w:val="en-US" w:eastAsia="en-US" w:bidi="en-US"/>
    </w:rPr>
  </w:style>
  <w:style w:type="character" w:customStyle="1" w:styleId="754">
    <w:name w:val="正文首行缩进 Char2"/>
    <w:qFormat/>
    <w:uiPriority w:val="0"/>
    <w:rPr>
      <w:rFonts w:eastAsia="宋体"/>
      <w:kern w:val="2"/>
      <w:sz w:val="28"/>
      <w:szCs w:val="28"/>
      <w:lang w:val="en-US" w:eastAsia="en-US" w:bidi="en-US"/>
    </w:rPr>
  </w:style>
  <w:style w:type="character" w:customStyle="1" w:styleId="755">
    <w:name w:val="正文文本 (22) + 9.5 pt"/>
    <w:qFormat/>
    <w:uiPriority w:val="0"/>
    <w:rPr>
      <w:rFonts w:ascii="宋体" w:hAnsi="宋体"/>
      <w:i/>
      <w:iCs/>
      <w:sz w:val="19"/>
      <w:szCs w:val="19"/>
      <w:shd w:val="clear" w:color="auto" w:fill="FFFFFF"/>
      <w:lang w:val="en-US" w:eastAsia="zh-CN"/>
    </w:rPr>
  </w:style>
  <w:style w:type="character" w:customStyle="1" w:styleId="756">
    <w:name w:val="普通(网站) Char1"/>
    <w:qFormat/>
    <w:locked/>
    <w:uiPriority w:val="0"/>
    <w:rPr>
      <w:rFonts w:ascii="Calibri" w:hAnsi="Calibri" w:eastAsia="宋体" w:cs="宋体"/>
      <w:sz w:val="24"/>
      <w:szCs w:val="24"/>
      <w:lang w:val="en-US" w:eastAsia="en-US" w:bidi="en-US"/>
    </w:rPr>
  </w:style>
  <w:style w:type="character" w:customStyle="1" w:styleId="757">
    <w:name w:val="日期 Char2"/>
    <w:qFormat/>
    <w:uiPriority w:val="0"/>
    <w:rPr>
      <w:rFonts w:eastAsia="宋体"/>
      <w:kern w:val="2"/>
      <w:sz w:val="24"/>
      <w:szCs w:val="24"/>
      <w:lang w:val="en-US" w:eastAsia="en-US" w:bidi="en-US"/>
    </w:rPr>
  </w:style>
  <w:style w:type="character" w:customStyle="1" w:styleId="758">
    <w:name w:val="结束语 Char1"/>
    <w:qFormat/>
    <w:uiPriority w:val="0"/>
    <w:rPr>
      <w:rFonts w:cs="Times New Roman"/>
      <w:kern w:val="2"/>
      <w:sz w:val="24"/>
      <w:szCs w:val="22"/>
    </w:rPr>
  </w:style>
  <w:style w:type="character" w:customStyle="1" w:styleId="759">
    <w:name w:val="正文文本缩进 3 Char2"/>
    <w:qFormat/>
    <w:uiPriority w:val="0"/>
    <w:rPr>
      <w:rFonts w:eastAsia="宋体"/>
      <w:color w:val="000000"/>
      <w:kern w:val="2"/>
      <w:sz w:val="24"/>
      <w:szCs w:val="24"/>
      <w:lang w:val="en-US" w:eastAsia="en-US" w:bidi="en-US"/>
    </w:rPr>
  </w:style>
  <w:style w:type="character" w:customStyle="1" w:styleId="760">
    <w:name w:val="批注框文本 Char2"/>
    <w:qFormat/>
    <w:uiPriority w:val="0"/>
    <w:rPr>
      <w:rFonts w:eastAsia="宋体"/>
      <w:kern w:val="2"/>
      <w:sz w:val="18"/>
      <w:szCs w:val="18"/>
      <w:lang w:val="en-US" w:eastAsia="en-US" w:bidi="en-US"/>
    </w:rPr>
  </w:style>
  <w:style w:type="character" w:customStyle="1" w:styleId="761">
    <w:name w:val="正文文本 + SimSun20"/>
    <w:qFormat/>
    <w:uiPriority w:val="0"/>
    <w:rPr>
      <w:rFonts w:ascii="宋体" w:hAnsi="宋体" w:eastAsia="Arial Unicode MS" w:cs="宋体"/>
      <w:kern w:val="2"/>
      <w:sz w:val="19"/>
      <w:szCs w:val="19"/>
      <w:u w:val="none"/>
      <w:lang w:val="en-US" w:eastAsia="zh-CN" w:bidi="ar-SA"/>
    </w:rPr>
  </w:style>
  <w:style w:type="character" w:customStyle="1" w:styleId="762">
    <w:name w:val="正文文本 3 Char2"/>
    <w:qFormat/>
    <w:uiPriority w:val="0"/>
    <w:rPr>
      <w:rFonts w:eastAsia="宋体"/>
      <w:kern w:val="2"/>
      <w:sz w:val="16"/>
      <w:szCs w:val="16"/>
      <w:lang w:val="en-US" w:eastAsia="en-US" w:bidi="en-US"/>
    </w:rPr>
  </w:style>
  <w:style w:type="character" w:customStyle="1" w:styleId="763">
    <w:name w:val="批注主题 Char2"/>
    <w:qFormat/>
    <w:uiPriority w:val="99"/>
    <w:rPr>
      <w:rFonts w:ascii="宋体" w:hAnsi="宋体" w:eastAsia="宋体"/>
      <w:b/>
      <w:bCs/>
      <w:kern w:val="2"/>
      <w:sz w:val="24"/>
      <w:szCs w:val="24"/>
      <w:lang w:val="en-US" w:eastAsia="en-US" w:bidi="en-US"/>
    </w:rPr>
  </w:style>
  <w:style w:type="character" w:customStyle="1" w:styleId="764">
    <w:name w:val="标题 Char1"/>
    <w:qFormat/>
    <w:uiPriority w:val="10"/>
    <w:rPr>
      <w:rFonts w:ascii="Cambria" w:hAnsi="Cambria" w:eastAsia="宋体"/>
      <w:b/>
      <w:bCs/>
      <w:kern w:val="28"/>
      <w:sz w:val="32"/>
      <w:szCs w:val="32"/>
      <w:lang w:val="en-US" w:eastAsia="en-US" w:bidi="en-US"/>
    </w:rPr>
  </w:style>
  <w:style w:type="paragraph" w:styleId="765">
    <w:name w:val="No Spacing"/>
    <w:basedOn w:val="1"/>
    <w:qFormat/>
    <w:uiPriority w:val="0"/>
    <w:pPr>
      <w:widowControl/>
      <w:jc w:val="left"/>
    </w:pPr>
    <w:rPr>
      <w:rFonts w:ascii="Calibri" w:hAnsi="Calibri"/>
      <w:kern w:val="0"/>
      <w:sz w:val="24"/>
      <w:szCs w:val="32"/>
      <w:lang w:eastAsia="en-US" w:bidi="en-US"/>
    </w:rPr>
  </w:style>
  <w:style w:type="character" w:customStyle="1" w:styleId="766">
    <w:name w:val="正文文本 + 间距 1 pt Exact"/>
    <w:qFormat/>
    <w:uiPriority w:val="0"/>
    <w:rPr>
      <w:rFonts w:ascii="Arial Unicode MS" w:eastAsia="Arial Unicode MS" w:cs="Arial Unicode MS"/>
      <w:spacing w:val="26"/>
      <w:kern w:val="2"/>
      <w:sz w:val="21"/>
      <w:szCs w:val="21"/>
      <w:u w:val="single"/>
      <w:lang w:val="en-US" w:eastAsia="zh-CN" w:bidi="ar-SA"/>
    </w:rPr>
  </w:style>
  <w:style w:type="character" w:customStyle="1" w:styleId="767">
    <w:name w:val="脚注文本 Char2"/>
    <w:qFormat/>
    <w:uiPriority w:val="0"/>
    <w:rPr>
      <w:rFonts w:ascii="Calibri" w:hAnsi="Calibri" w:eastAsia="宋体"/>
      <w:szCs w:val="24"/>
      <w:lang w:val="en-US" w:eastAsia="en-US" w:bidi="en-US"/>
    </w:rPr>
  </w:style>
  <w:style w:type="character" w:customStyle="1" w:styleId="768">
    <w:name w:val="副标题 Char2"/>
    <w:qFormat/>
    <w:uiPriority w:val="0"/>
    <w:rPr>
      <w:rFonts w:ascii="Cambria" w:hAnsi="Cambria" w:eastAsia="宋体"/>
      <w:sz w:val="24"/>
      <w:szCs w:val="24"/>
      <w:lang w:val="en-US" w:eastAsia="en-US" w:bidi="en-US"/>
    </w:rPr>
  </w:style>
  <w:style w:type="character" w:customStyle="1" w:styleId="769">
    <w:name w:val="明显引用 Char"/>
    <w:link w:val="770"/>
    <w:qFormat/>
    <w:uiPriority w:val="0"/>
    <w:rPr>
      <w:rFonts w:ascii="Calibri" w:hAnsi="Calibri" w:eastAsia="宋体"/>
      <w:b/>
      <w:i/>
      <w:sz w:val="24"/>
      <w:szCs w:val="22"/>
      <w:lang w:eastAsia="en-US" w:bidi="en-US"/>
    </w:rPr>
  </w:style>
  <w:style w:type="paragraph" w:styleId="770">
    <w:name w:val="Intense Quote"/>
    <w:basedOn w:val="1"/>
    <w:next w:val="1"/>
    <w:link w:val="769"/>
    <w:qFormat/>
    <w:uiPriority w:val="0"/>
    <w:pPr>
      <w:widowControl/>
      <w:ind w:left="720" w:right="720"/>
      <w:jc w:val="left"/>
    </w:pPr>
    <w:rPr>
      <w:rFonts w:ascii="Calibri" w:hAnsi="Calibri" w:cstheme="minorBidi"/>
      <w:b/>
      <w:i/>
      <w:kern w:val="0"/>
      <w:sz w:val="24"/>
      <w:szCs w:val="22"/>
      <w:lang w:eastAsia="en-US" w:bidi="en-US"/>
    </w:rPr>
  </w:style>
  <w:style w:type="character" w:customStyle="1" w:styleId="771">
    <w:name w:val="明显引用 Char1"/>
    <w:basedOn w:val="89"/>
    <w:qFormat/>
    <w:uiPriority w:val="30"/>
    <w:rPr>
      <w:rFonts w:ascii="Arial" w:hAnsi="Arial" w:eastAsia="宋体" w:cs="Times New Roman"/>
      <w:b/>
      <w:bCs/>
      <w:i/>
      <w:iCs/>
      <w:color w:val="4F81BD" w:themeColor="accent1"/>
      <w:kern w:val="2"/>
      <w:sz w:val="21"/>
      <w14:textFill>
        <w14:solidFill>
          <w14:schemeClr w14:val="accent1"/>
        </w14:solidFill>
      </w14:textFill>
    </w:rPr>
  </w:style>
  <w:style w:type="character" w:customStyle="1" w:styleId="772">
    <w:name w:val="样式 宋体 四号 行距: 固定值 30 磅 Char Char"/>
    <w:link w:val="773"/>
    <w:qFormat/>
    <w:uiPriority w:val="0"/>
    <w:rPr>
      <w:rFonts w:eastAsia="宋体" w:cs="宋体"/>
      <w:kern w:val="2"/>
      <w:sz w:val="28"/>
    </w:rPr>
  </w:style>
  <w:style w:type="paragraph" w:customStyle="1" w:styleId="773">
    <w:name w:val="样式 宋体 四号 行距: 固定值 30 磅"/>
    <w:basedOn w:val="1"/>
    <w:link w:val="772"/>
    <w:qFormat/>
    <w:uiPriority w:val="0"/>
    <w:pPr>
      <w:spacing w:line="600" w:lineRule="exact"/>
      <w:ind w:firstLine="560" w:firstLineChars="200"/>
    </w:pPr>
    <w:rPr>
      <w:rFonts w:cs="宋体" w:asciiTheme="minorHAnsi" w:hAnsiTheme="minorHAnsi"/>
      <w:sz w:val="28"/>
    </w:rPr>
  </w:style>
  <w:style w:type="character" w:customStyle="1" w:styleId="774">
    <w:name w:val="ct Char"/>
    <w:link w:val="775"/>
    <w:qFormat/>
    <w:uiPriority w:val="0"/>
    <w:rPr>
      <w:rFonts w:eastAsia="黑体"/>
      <w:b/>
      <w:sz w:val="21"/>
      <w:szCs w:val="21"/>
      <w:lang w:bidi="en-US"/>
    </w:rPr>
  </w:style>
  <w:style w:type="paragraph" w:customStyle="1" w:styleId="775">
    <w:name w:val="ct"/>
    <w:link w:val="774"/>
    <w:qFormat/>
    <w:uiPriority w:val="0"/>
    <w:pPr>
      <w:jc w:val="center"/>
    </w:pPr>
    <w:rPr>
      <w:rFonts w:eastAsia="黑体" w:asciiTheme="minorHAnsi" w:hAnsiTheme="minorHAnsi" w:cstheme="minorBidi"/>
      <w:b/>
      <w:sz w:val="21"/>
      <w:szCs w:val="21"/>
      <w:lang w:val="en-US" w:eastAsia="zh-CN" w:bidi="en-US"/>
    </w:rPr>
  </w:style>
  <w:style w:type="character" w:customStyle="1" w:styleId="776">
    <w:name w:val="c6 Char"/>
    <w:link w:val="777"/>
    <w:qFormat/>
    <w:uiPriority w:val="0"/>
    <w:rPr>
      <w:rFonts w:eastAsia="宋体"/>
      <w:kern w:val="2"/>
      <w:sz w:val="24"/>
      <w:szCs w:val="22"/>
    </w:rPr>
  </w:style>
  <w:style w:type="paragraph" w:customStyle="1" w:styleId="777">
    <w:name w:val="c6"/>
    <w:basedOn w:val="1"/>
    <w:link w:val="776"/>
    <w:qFormat/>
    <w:uiPriority w:val="0"/>
    <w:pPr>
      <w:widowControl/>
      <w:spacing w:line="360" w:lineRule="auto"/>
      <w:ind w:firstLine="480" w:firstLineChars="200"/>
    </w:pPr>
    <w:rPr>
      <w:rFonts w:asciiTheme="minorHAnsi" w:hAnsiTheme="minorHAnsi" w:cstheme="minorBidi"/>
      <w:sz w:val="24"/>
      <w:szCs w:val="22"/>
    </w:rPr>
  </w:style>
  <w:style w:type="character" w:customStyle="1" w:styleId="778">
    <w:name w:val="正文文本 + 5.5 pt2"/>
    <w:qFormat/>
    <w:uiPriority w:val="0"/>
    <w:rPr>
      <w:rFonts w:ascii="Arial Unicode MS" w:eastAsia="Arial Unicode MS" w:cs="Arial Unicode MS"/>
      <w:kern w:val="2"/>
      <w:sz w:val="11"/>
      <w:szCs w:val="11"/>
      <w:u w:val="none"/>
      <w:lang w:val="en-US" w:eastAsia="en-US" w:bidi="ar-SA"/>
    </w:rPr>
  </w:style>
  <w:style w:type="character" w:customStyle="1" w:styleId="779">
    <w:name w:val="表格标题 + 10.5 pt5"/>
    <w:qFormat/>
    <w:uiPriority w:val="0"/>
    <w:rPr>
      <w:rFonts w:ascii="Arial Unicode MS" w:eastAsia="Arial Unicode MS" w:cs="Arial Unicode MS"/>
      <w:sz w:val="21"/>
      <w:szCs w:val="21"/>
      <w:u w:val="none"/>
    </w:rPr>
  </w:style>
  <w:style w:type="character" w:customStyle="1" w:styleId="780">
    <w:name w:val="表格标题 Char1"/>
    <w:qFormat/>
    <w:uiPriority w:val="0"/>
    <w:rPr>
      <w:b/>
      <w:kern w:val="2"/>
      <w:sz w:val="24"/>
      <w:lang w:val="en-US" w:eastAsia="zh-CN" w:bidi="ar-SA"/>
    </w:rPr>
  </w:style>
  <w:style w:type="character" w:customStyle="1" w:styleId="781">
    <w:name w:val="表名 Char Char"/>
    <w:link w:val="782"/>
    <w:qFormat/>
    <w:locked/>
    <w:uiPriority w:val="0"/>
    <w:rPr>
      <w:rFonts w:eastAsia="黑体"/>
      <w:sz w:val="24"/>
      <w:szCs w:val="24"/>
    </w:rPr>
  </w:style>
  <w:style w:type="paragraph" w:customStyle="1" w:styleId="782">
    <w:name w:val="表名 Char"/>
    <w:basedOn w:val="1"/>
    <w:link w:val="781"/>
    <w:qFormat/>
    <w:uiPriority w:val="0"/>
    <w:pPr>
      <w:spacing w:line="480" w:lineRule="exact"/>
      <w:jc w:val="center"/>
    </w:pPr>
    <w:rPr>
      <w:rFonts w:eastAsia="黑体" w:asciiTheme="minorHAnsi" w:hAnsiTheme="minorHAnsi" w:cstheme="minorBidi"/>
      <w:kern w:val="0"/>
      <w:sz w:val="24"/>
      <w:szCs w:val="24"/>
    </w:rPr>
  </w:style>
  <w:style w:type="character" w:customStyle="1" w:styleId="783">
    <w:name w:val="content1"/>
    <w:qFormat/>
    <w:uiPriority w:val="0"/>
    <w:rPr>
      <w:rFonts w:hint="default" w:ascii="ˎ̥" w:hAnsi="ˎ̥"/>
      <w:color w:val="000000"/>
      <w:sz w:val="18"/>
      <w:szCs w:val="18"/>
      <w:u w:val="none"/>
    </w:rPr>
  </w:style>
  <w:style w:type="character" w:customStyle="1" w:styleId="784">
    <w:name w:val="正文1 Char Char5"/>
    <w:qFormat/>
    <w:locked/>
    <w:uiPriority w:val="0"/>
    <w:rPr>
      <w:rFonts w:eastAsia="仿宋_GB2312"/>
      <w:color w:val="000000"/>
      <w:kern w:val="2"/>
      <w:sz w:val="18"/>
      <w:szCs w:val="18"/>
    </w:rPr>
  </w:style>
  <w:style w:type="character" w:customStyle="1" w:styleId="785">
    <w:name w:val="font201"/>
    <w:qFormat/>
    <w:uiPriority w:val="0"/>
  </w:style>
  <w:style w:type="character" w:customStyle="1" w:styleId="786">
    <w:name w:val="type1"/>
    <w:qFormat/>
    <w:uiPriority w:val="0"/>
    <w:rPr>
      <w:b/>
      <w:bCs/>
      <w:color w:val="223973"/>
    </w:rPr>
  </w:style>
  <w:style w:type="character" w:customStyle="1" w:styleId="787">
    <w:name w:val="鲍正文 Char"/>
    <w:qFormat/>
    <w:uiPriority w:val="0"/>
    <w:rPr>
      <w:rFonts w:ascii="宋体" w:hAnsi="宋体" w:eastAsia="宋体"/>
      <w:kern w:val="2"/>
      <w:sz w:val="24"/>
      <w:szCs w:val="24"/>
      <w:lang w:val="en-US" w:eastAsia="zh-CN" w:bidi="ar-SA"/>
    </w:rPr>
  </w:style>
  <w:style w:type="character" w:customStyle="1" w:styleId="788">
    <w:name w:val="鲍二级标题 Char Char"/>
    <w:qFormat/>
    <w:uiPriority w:val="0"/>
    <w:rPr>
      <w:rFonts w:eastAsia="仿宋_GB2312"/>
      <w:b/>
      <w:kern w:val="28"/>
      <w:sz w:val="30"/>
      <w:szCs w:val="32"/>
      <w:lang w:val="en-US" w:eastAsia="zh-CN" w:bidi="ar-SA"/>
    </w:rPr>
  </w:style>
  <w:style w:type="character" w:customStyle="1" w:styleId="789">
    <w:name w:val="鲍三级标题 Char"/>
    <w:qFormat/>
    <w:uiPriority w:val="0"/>
    <w:rPr>
      <w:rFonts w:ascii="黑体" w:hAnsi="宋体" w:eastAsia="黑体"/>
      <w:bCs/>
      <w:kern w:val="2"/>
      <w:sz w:val="28"/>
      <w:szCs w:val="24"/>
      <w:lang w:val="en-US" w:eastAsia="zh-CN" w:bidi="ar-SA"/>
    </w:rPr>
  </w:style>
  <w:style w:type="character" w:customStyle="1" w:styleId="790">
    <w:name w:val="批注文字 Char1"/>
    <w:qFormat/>
    <w:uiPriority w:val="0"/>
    <w:rPr>
      <w:rFonts w:ascii="Times New Roman" w:hAnsi="Times New Roman" w:eastAsia="宋体" w:cs="Times New Roman"/>
      <w:szCs w:val="24"/>
    </w:rPr>
  </w:style>
  <w:style w:type="character" w:customStyle="1" w:styleId="791">
    <w:name w:val="表头 Char1"/>
    <w:qFormat/>
    <w:uiPriority w:val="0"/>
    <w:rPr>
      <w:rFonts w:ascii="黑体" w:hAnsi="Times New Roman" w:eastAsia="黑体" w:cs="Times New Roman"/>
      <w:sz w:val="24"/>
      <w:szCs w:val="24"/>
    </w:rPr>
  </w:style>
  <w:style w:type="character" w:customStyle="1" w:styleId="792">
    <w:name w:val="正文文本 + 10.5 pt21"/>
    <w:qFormat/>
    <w:uiPriority w:val="0"/>
    <w:rPr>
      <w:rFonts w:ascii="Arial Unicode MS" w:eastAsia="Arial Unicode MS" w:cs="Arial Unicode MS"/>
      <w:kern w:val="2"/>
      <w:sz w:val="21"/>
      <w:szCs w:val="21"/>
      <w:u w:val="none"/>
      <w:lang w:val="en-US" w:eastAsia="zh-CN" w:bidi="ar-SA"/>
    </w:rPr>
  </w:style>
  <w:style w:type="character" w:customStyle="1" w:styleId="793">
    <w:name w:val="tpc_content1"/>
    <w:qFormat/>
    <w:uiPriority w:val="0"/>
    <w:rPr>
      <w:sz w:val="20"/>
      <w:szCs w:val="20"/>
    </w:rPr>
  </w:style>
  <w:style w:type="character" w:customStyle="1" w:styleId="794">
    <w:name w:val="style51"/>
    <w:qFormat/>
    <w:uiPriority w:val="0"/>
    <w:rPr>
      <w:rFonts w:hint="eastAsia" w:ascii="宋体" w:hAnsi="宋体" w:eastAsia="宋体"/>
      <w:b/>
      <w:bCs/>
      <w:color w:val="CC0000"/>
      <w:sz w:val="27"/>
      <w:szCs w:val="27"/>
    </w:rPr>
  </w:style>
  <w:style w:type="character" w:customStyle="1" w:styleId="795">
    <w:name w:val="style31"/>
    <w:qFormat/>
    <w:uiPriority w:val="0"/>
    <w:rPr>
      <w:rFonts w:hint="default" w:ascii="Verdana" w:hAnsi="Verdana"/>
    </w:rPr>
  </w:style>
  <w:style w:type="character" w:customStyle="1" w:styleId="796">
    <w:name w:val="style161"/>
    <w:qFormat/>
    <w:uiPriority w:val="0"/>
    <w:rPr>
      <w:color w:val="000000"/>
      <w:sz w:val="28"/>
      <w:szCs w:val="28"/>
    </w:rPr>
  </w:style>
  <w:style w:type="character" w:customStyle="1" w:styleId="797">
    <w:name w:val="style41"/>
    <w:qFormat/>
    <w:uiPriority w:val="0"/>
    <w:rPr>
      <w:color w:val="000000"/>
    </w:rPr>
  </w:style>
  <w:style w:type="character" w:customStyle="1" w:styleId="798">
    <w:name w:val="表格标题 + 间距 0 pt Exact"/>
    <w:qFormat/>
    <w:uiPriority w:val="0"/>
    <w:rPr>
      <w:rFonts w:ascii="Arial Unicode MS" w:eastAsia="Arial Unicode MS" w:cs="Arial Unicode MS"/>
      <w:spacing w:val="3"/>
      <w:sz w:val="21"/>
      <w:szCs w:val="21"/>
      <w:u w:val="none"/>
    </w:rPr>
  </w:style>
  <w:style w:type="character" w:customStyle="1" w:styleId="799">
    <w:name w:val="条标题1.1.1 Char"/>
    <w:qFormat/>
    <w:uiPriority w:val="0"/>
    <w:rPr>
      <w:rFonts w:ascii="宋体" w:hAnsi="宋体"/>
      <w:b/>
      <w:kern w:val="2"/>
      <w:sz w:val="24"/>
      <w:lang w:val="en-US" w:eastAsia="zh-CN" w:bidi="ar-SA"/>
    </w:rPr>
  </w:style>
  <w:style w:type="character" w:customStyle="1" w:styleId="800">
    <w:name w:val="kuan21"/>
    <w:basedOn w:val="89"/>
    <w:qFormat/>
    <w:uiPriority w:val="0"/>
  </w:style>
  <w:style w:type="character" w:customStyle="1" w:styleId="801">
    <w:name w:val="标题 1 Char Char Char Char Char"/>
    <w:qFormat/>
    <w:uiPriority w:val="0"/>
    <w:rPr>
      <w:rFonts w:ascii="Times New Roman" w:hAnsi="Times New Roman" w:eastAsia="宋体" w:cs="Times New Roman"/>
      <w:color w:val="000000"/>
      <w:szCs w:val="14"/>
    </w:rPr>
  </w:style>
  <w:style w:type="character" w:customStyle="1" w:styleId="802">
    <w:name w:val="Char Char7"/>
    <w:qFormat/>
    <w:uiPriority w:val="0"/>
    <w:rPr>
      <w:rFonts w:ascii="Times New Roman" w:hAnsi="Times New Roman" w:eastAsia="宋体" w:cs="Times New Roman"/>
      <w:color w:val="000000"/>
      <w:sz w:val="24"/>
      <w:szCs w:val="24"/>
    </w:rPr>
  </w:style>
  <w:style w:type="character" w:customStyle="1" w:styleId="803">
    <w:name w:val="style1"/>
    <w:basedOn w:val="89"/>
    <w:qFormat/>
    <w:uiPriority w:val="0"/>
  </w:style>
  <w:style w:type="character" w:customStyle="1" w:styleId="804">
    <w:name w:val="不明显强调2"/>
    <w:qFormat/>
    <w:uiPriority w:val="0"/>
    <w:rPr>
      <w:i/>
      <w:color w:val="5A5A5A"/>
    </w:rPr>
  </w:style>
  <w:style w:type="character" w:customStyle="1" w:styleId="805">
    <w:name w:val="明显强调2"/>
    <w:qFormat/>
    <w:uiPriority w:val="0"/>
    <w:rPr>
      <w:b/>
      <w:i/>
      <w:sz w:val="24"/>
      <w:szCs w:val="24"/>
      <w:u w:val="single"/>
    </w:rPr>
  </w:style>
  <w:style w:type="character" w:customStyle="1" w:styleId="806">
    <w:name w:val="不明显参考1"/>
    <w:qFormat/>
    <w:uiPriority w:val="0"/>
    <w:rPr>
      <w:sz w:val="24"/>
      <w:szCs w:val="24"/>
      <w:u w:val="single"/>
    </w:rPr>
  </w:style>
  <w:style w:type="character" w:customStyle="1" w:styleId="807">
    <w:name w:val="书籍标题2"/>
    <w:qFormat/>
    <w:uiPriority w:val="0"/>
    <w:rPr>
      <w:rFonts w:ascii="Cambria" w:hAnsi="Cambria" w:eastAsia="宋体"/>
      <w:b/>
      <w:i/>
      <w:sz w:val="24"/>
      <w:szCs w:val="24"/>
    </w:rPr>
  </w:style>
  <w:style w:type="character" w:customStyle="1" w:styleId="808">
    <w:name w:val="正文文本 + SimSun12"/>
    <w:qFormat/>
    <w:uiPriority w:val="0"/>
    <w:rPr>
      <w:rFonts w:ascii="宋体" w:hAnsi="宋体" w:eastAsia="Arial Unicode MS" w:cs="宋体"/>
      <w:kern w:val="2"/>
      <w:sz w:val="34"/>
      <w:szCs w:val="34"/>
      <w:u w:val="none"/>
      <w:lang w:val="en-US" w:eastAsia="zh-CN" w:bidi="ar-SA"/>
    </w:rPr>
  </w:style>
  <w:style w:type="character" w:customStyle="1" w:styleId="809">
    <w:name w:val="表格1 Char Char"/>
    <w:qFormat/>
    <w:uiPriority w:val="0"/>
    <w:rPr>
      <w:rFonts w:eastAsia="宋体"/>
      <w:sz w:val="24"/>
      <w:szCs w:val="24"/>
      <w:lang w:val="en-US" w:eastAsia="en-US" w:bidi="en-US"/>
    </w:rPr>
  </w:style>
  <w:style w:type="character" w:customStyle="1" w:styleId="810">
    <w:name w:val="表头 Char Char"/>
    <w:qFormat/>
    <w:uiPriority w:val="0"/>
    <w:rPr>
      <w:rFonts w:eastAsia="仿宋_GB2312"/>
      <w:b/>
      <w:snapToGrid w:val="0"/>
      <w:sz w:val="28"/>
      <w:szCs w:val="24"/>
      <w:lang w:eastAsia="en-US" w:bidi="en-US"/>
    </w:rPr>
  </w:style>
  <w:style w:type="character" w:customStyle="1" w:styleId="811">
    <w:name w:val="正文文本 (2) + 间距 0 pt Exact"/>
    <w:qFormat/>
    <w:uiPriority w:val="0"/>
    <w:rPr>
      <w:rFonts w:ascii="宋体" w:hAnsi="宋体"/>
      <w:spacing w:val="5"/>
      <w:sz w:val="18"/>
      <w:szCs w:val="18"/>
      <w:shd w:val="clear" w:color="auto" w:fill="FFFFFF"/>
    </w:rPr>
  </w:style>
  <w:style w:type="character" w:customStyle="1" w:styleId="812">
    <w:name w:val="正文小四 Char Char"/>
    <w:qFormat/>
    <w:uiPriority w:val="0"/>
    <w:rPr>
      <w:kern w:val="2"/>
      <w:sz w:val="24"/>
      <w:szCs w:val="22"/>
      <w:lang w:val="en-US" w:eastAsia="zh-CN" w:bidi="ar-SA"/>
    </w:rPr>
  </w:style>
  <w:style w:type="character" w:customStyle="1" w:styleId="813">
    <w:name w:val="表 头 Char Char"/>
    <w:qFormat/>
    <w:uiPriority w:val="0"/>
    <w:rPr>
      <w:rFonts w:ascii="Arial" w:eastAsia="黑体"/>
      <w:b/>
      <w:color w:val="000000"/>
      <w:kern w:val="2"/>
      <w:sz w:val="24"/>
      <w:szCs w:val="24"/>
      <w:lang w:eastAsia="en-US" w:bidi="en-US"/>
    </w:rPr>
  </w:style>
  <w:style w:type="character" w:customStyle="1" w:styleId="814">
    <w:name w:val="样式1 Char Char"/>
    <w:qFormat/>
    <w:uiPriority w:val="0"/>
    <w:rPr>
      <w:kern w:val="2"/>
      <w:sz w:val="24"/>
      <w:szCs w:val="24"/>
      <w:lang w:eastAsia="en-US" w:bidi="en-US"/>
    </w:rPr>
  </w:style>
  <w:style w:type="character" w:customStyle="1" w:styleId="815">
    <w:name w:val="正文程 Char Char"/>
    <w:qFormat/>
    <w:uiPriority w:val="0"/>
    <w:rPr>
      <w:rFonts w:ascii="Calibri" w:hAnsi="Calibri" w:cs="宋体"/>
      <w:sz w:val="24"/>
      <w:lang w:eastAsia="en-US" w:bidi="en-US"/>
    </w:rPr>
  </w:style>
  <w:style w:type="character" w:customStyle="1" w:styleId="816">
    <w:name w:val="HTML 预设格式 Char1"/>
    <w:qFormat/>
    <w:uiPriority w:val="99"/>
    <w:rPr>
      <w:rFonts w:ascii="Courier New" w:hAnsi="Courier New" w:cs="Courier New"/>
      <w:lang w:eastAsia="en-US" w:bidi="en-US"/>
    </w:rPr>
  </w:style>
  <w:style w:type="character" w:customStyle="1" w:styleId="817">
    <w:name w:val="正文文本 (7) + 10.5 pt Exact"/>
    <w:qFormat/>
    <w:uiPriority w:val="0"/>
    <w:rPr>
      <w:rFonts w:ascii="Arial Unicode MS" w:eastAsia="Arial Unicode MS" w:cs="Arial Unicode MS"/>
      <w:spacing w:val="2"/>
      <w:sz w:val="21"/>
      <w:szCs w:val="21"/>
      <w:u w:val="none"/>
      <w:shd w:val="clear" w:color="auto" w:fill="FFFFFF"/>
      <w:lang w:eastAsia="en-US"/>
    </w:rPr>
  </w:style>
  <w:style w:type="character" w:customStyle="1" w:styleId="818">
    <w:name w:val="正文文本 Char1"/>
    <w:qFormat/>
    <w:uiPriority w:val="99"/>
    <w:rPr>
      <w:rFonts w:ascii="Calibri" w:hAnsi="Calibri"/>
      <w:sz w:val="24"/>
      <w:szCs w:val="24"/>
      <w:lang w:eastAsia="en-US" w:bidi="en-US"/>
    </w:rPr>
  </w:style>
  <w:style w:type="character" w:customStyle="1" w:styleId="819">
    <w:name w:val="正文首行缩进 Char1"/>
    <w:basedOn w:val="818"/>
    <w:qFormat/>
    <w:uiPriority w:val="0"/>
    <w:rPr>
      <w:rFonts w:ascii="Calibri" w:hAnsi="Calibri"/>
      <w:sz w:val="24"/>
      <w:szCs w:val="24"/>
      <w:lang w:eastAsia="en-US" w:bidi="en-US"/>
    </w:rPr>
  </w:style>
  <w:style w:type="character" w:customStyle="1" w:styleId="820">
    <w:name w:val="正文文本 3 Char1"/>
    <w:qFormat/>
    <w:uiPriority w:val="99"/>
    <w:rPr>
      <w:rFonts w:ascii="Calibri" w:hAnsi="Calibri"/>
      <w:sz w:val="16"/>
      <w:szCs w:val="16"/>
      <w:lang w:eastAsia="en-US" w:bidi="en-US"/>
    </w:rPr>
  </w:style>
  <w:style w:type="character" w:customStyle="1" w:styleId="821">
    <w:name w:val="标题4 Char"/>
    <w:qFormat/>
    <w:uiPriority w:val="0"/>
    <w:rPr>
      <w:rFonts w:hint="eastAsia" w:ascii="黑体" w:hAnsi="黑体" w:eastAsia="黑体"/>
      <w:bCs/>
      <w:kern w:val="2"/>
      <w:sz w:val="28"/>
      <w:szCs w:val="28"/>
      <w:lang w:val="en-US" w:eastAsia="zh-CN" w:bidi="ar-SA"/>
    </w:rPr>
  </w:style>
  <w:style w:type="character" w:customStyle="1" w:styleId="822">
    <w:name w:val="日期 Char1"/>
    <w:qFormat/>
    <w:uiPriority w:val="0"/>
    <w:rPr>
      <w:rFonts w:ascii="Calibri" w:hAnsi="Calibri"/>
      <w:sz w:val="24"/>
      <w:szCs w:val="24"/>
      <w:lang w:eastAsia="en-US" w:bidi="en-US"/>
    </w:rPr>
  </w:style>
  <w:style w:type="character" w:customStyle="1" w:styleId="823">
    <w:name w:val="副标题 Char1"/>
    <w:qFormat/>
    <w:uiPriority w:val="99"/>
    <w:rPr>
      <w:rFonts w:ascii="Cambria" w:hAnsi="Cambria" w:cs="Times New Roman"/>
      <w:b/>
      <w:bCs/>
      <w:kern w:val="28"/>
      <w:sz w:val="32"/>
      <w:szCs w:val="32"/>
      <w:lang w:eastAsia="en-US" w:bidi="en-US"/>
    </w:rPr>
  </w:style>
  <w:style w:type="character" w:customStyle="1" w:styleId="824">
    <w:name w:val="正文文本缩进 2 Char1"/>
    <w:qFormat/>
    <w:uiPriority w:val="99"/>
    <w:rPr>
      <w:rFonts w:ascii="Calibri" w:hAnsi="Calibri"/>
      <w:sz w:val="24"/>
      <w:szCs w:val="24"/>
      <w:lang w:eastAsia="en-US" w:bidi="en-US"/>
    </w:rPr>
  </w:style>
  <w:style w:type="character" w:customStyle="1" w:styleId="825">
    <w:name w:val="批注框文本 Char1"/>
    <w:qFormat/>
    <w:uiPriority w:val="0"/>
    <w:rPr>
      <w:rFonts w:ascii="Calibri" w:hAnsi="Calibri"/>
      <w:sz w:val="18"/>
      <w:szCs w:val="18"/>
      <w:lang w:eastAsia="en-US" w:bidi="en-US"/>
    </w:rPr>
  </w:style>
  <w:style w:type="character" w:customStyle="1" w:styleId="826">
    <w:name w:val="正文文本 2 Char1"/>
    <w:qFormat/>
    <w:uiPriority w:val="0"/>
    <w:rPr>
      <w:rFonts w:ascii="Calibri" w:hAnsi="Calibri"/>
      <w:sz w:val="24"/>
      <w:szCs w:val="24"/>
      <w:lang w:eastAsia="en-US" w:bidi="en-US"/>
    </w:rPr>
  </w:style>
  <w:style w:type="character" w:customStyle="1" w:styleId="827">
    <w:name w:val="批注主题 Char1"/>
    <w:qFormat/>
    <w:uiPriority w:val="0"/>
    <w:rPr>
      <w:rFonts w:ascii="Calibri" w:hAnsi="Calibri" w:eastAsia="宋体" w:cs="Times New Roman"/>
      <w:b/>
      <w:bCs/>
      <w:sz w:val="24"/>
      <w:szCs w:val="24"/>
      <w:lang w:eastAsia="en-US" w:bidi="en-US"/>
    </w:rPr>
  </w:style>
  <w:style w:type="character" w:customStyle="1" w:styleId="828">
    <w:name w:val="正文文本 (6) + Times New Roman2"/>
    <w:qFormat/>
    <w:uiPriority w:val="0"/>
    <w:rPr>
      <w:rFonts w:ascii="Times New Roman" w:hAnsi="Times New Roman" w:cs="Times New Roman"/>
      <w:b/>
      <w:bCs/>
      <w:sz w:val="27"/>
      <w:szCs w:val="27"/>
      <w:u w:val="none"/>
      <w:shd w:val="clear" w:color="auto" w:fill="FFFFFF"/>
      <w:lang w:val="en-US" w:eastAsia="en-US"/>
    </w:rPr>
  </w:style>
  <w:style w:type="character" w:customStyle="1" w:styleId="829">
    <w:name w:val="书籍标题211"/>
    <w:qFormat/>
    <w:uiPriority w:val="0"/>
    <w:rPr>
      <w:rFonts w:ascii="Cambria" w:hAnsi="Cambria" w:eastAsia="宋体"/>
      <w:b/>
      <w:i/>
      <w:sz w:val="24"/>
      <w:szCs w:val="24"/>
    </w:rPr>
  </w:style>
  <w:style w:type="character" w:customStyle="1" w:styleId="830">
    <w:name w:val="正文文本 + 9.5 pt3"/>
    <w:qFormat/>
    <w:uiPriority w:val="0"/>
    <w:rPr>
      <w:rFonts w:ascii="Arial Unicode MS" w:eastAsia="Arial Unicode MS" w:cs="Arial Unicode MS"/>
      <w:bCs/>
      <w:kern w:val="2"/>
      <w:sz w:val="19"/>
      <w:szCs w:val="19"/>
      <w:u w:val="none"/>
      <w:lang w:val="en-US" w:eastAsia="en-US" w:bidi="ar-SA"/>
    </w:rPr>
  </w:style>
  <w:style w:type="character" w:customStyle="1" w:styleId="831">
    <w:name w:val="正文文本 + 5.5 pt3"/>
    <w:qFormat/>
    <w:uiPriority w:val="0"/>
    <w:rPr>
      <w:rFonts w:ascii="Arial Unicode MS" w:eastAsia="Arial Unicode MS" w:cs="Arial Unicode MS"/>
      <w:b/>
      <w:kern w:val="2"/>
      <w:sz w:val="11"/>
      <w:szCs w:val="11"/>
      <w:u w:val="none"/>
      <w:lang w:val="en-US" w:eastAsia="en-US" w:bidi="ar-SA"/>
    </w:rPr>
  </w:style>
  <w:style w:type="character" w:customStyle="1" w:styleId="832">
    <w:name w:val="不明显参考111"/>
    <w:qFormat/>
    <w:uiPriority w:val="0"/>
    <w:rPr>
      <w:sz w:val="24"/>
      <w:szCs w:val="24"/>
      <w:u w:val="single"/>
    </w:rPr>
  </w:style>
  <w:style w:type="character" w:customStyle="1" w:styleId="833">
    <w:name w:val="标题 #4 + 10.5 pt1"/>
    <w:qFormat/>
    <w:uiPriority w:val="0"/>
    <w:rPr>
      <w:rFonts w:ascii="Arial Unicode MS" w:eastAsia="Arial Unicode MS" w:cs="Arial Unicode MS"/>
      <w:sz w:val="21"/>
      <w:szCs w:val="21"/>
      <w:u w:val="none"/>
      <w:shd w:val="clear" w:color="auto" w:fill="FFFFFF"/>
      <w:lang w:val="en-US" w:eastAsia="en-US"/>
    </w:rPr>
  </w:style>
  <w:style w:type="character" w:customStyle="1" w:styleId="834">
    <w:name w:val="标题 1 Char1"/>
    <w:qFormat/>
    <w:uiPriority w:val="0"/>
    <w:rPr>
      <w:color w:val="000000"/>
      <w:kern w:val="2"/>
      <w:sz w:val="21"/>
      <w:szCs w:val="14"/>
    </w:rPr>
  </w:style>
  <w:style w:type="paragraph" w:customStyle="1" w:styleId="835">
    <w:name w:val="正文文本缩进1"/>
    <w:basedOn w:val="1"/>
    <w:qFormat/>
    <w:uiPriority w:val="99"/>
    <w:pPr>
      <w:spacing w:after="120"/>
      <w:ind w:left="420" w:leftChars="200"/>
    </w:pPr>
    <w:rPr>
      <w:rFonts w:ascii="Calibri" w:hAnsi="Calibri"/>
      <w:kern w:val="0"/>
      <w:sz w:val="28"/>
      <w:szCs w:val="24"/>
      <w:lang w:eastAsia="en-US" w:bidi="en-US"/>
    </w:rPr>
  </w:style>
  <w:style w:type="character" w:customStyle="1" w:styleId="836">
    <w:name w:val="正文文本 (2) + 间距 0 pt Exact1"/>
    <w:qFormat/>
    <w:uiPriority w:val="0"/>
    <w:rPr>
      <w:rFonts w:ascii="宋体" w:hAnsi="宋体"/>
      <w:spacing w:val="1"/>
      <w:sz w:val="18"/>
      <w:szCs w:val="18"/>
      <w:shd w:val="clear" w:color="auto" w:fill="FFFFFF"/>
    </w:rPr>
  </w:style>
  <w:style w:type="character" w:customStyle="1" w:styleId="837">
    <w:name w:val="正文文本 (25) Exact"/>
    <w:link w:val="838"/>
    <w:qFormat/>
    <w:uiPriority w:val="0"/>
    <w:rPr>
      <w:rFonts w:ascii="宋体" w:hAnsi="宋体"/>
      <w:spacing w:val="6"/>
      <w:sz w:val="12"/>
      <w:szCs w:val="12"/>
      <w:shd w:val="clear" w:color="auto" w:fill="FFFFFF"/>
    </w:rPr>
  </w:style>
  <w:style w:type="paragraph" w:customStyle="1" w:styleId="838">
    <w:name w:val="正文文本 (25)"/>
    <w:basedOn w:val="1"/>
    <w:link w:val="837"/>
    <w:qFormat/>
    <w:uiPriority w:val="0"/>
    <w:pPr>
      <w:shd w:val="clear" w:color="auto" w:fill="FFFFFF"/>
      <w:spacing w:line="240" w:lineRule="atLeast"/>
      <w:jc w:val="left"/>
    </w:pPr>
    <w:rPr>
      <w:rFonts w:ascii="宋体" w:hAnsi="宋体" w:eastAsiaTheme="minorEastAsia" w:cstheme="minorBidi"/>
      <w:spacing w:val="6"/>
      <w:kern w:val="0"/>
      <w:sz w:val="12"/>
      <w:szCs w:val="12"/>
    </w:rPr>
  </w:style>
  <w:style w:type="character" w:customStyle="1" w:styleId="839">
    <w:name w:val="不明显强调211"/>
    <w:qFormat/>
    <w:uiPriority w:val="0"/>
    <w:rPr>
      <w:i/>
      <w:color w:val="5A5A5A"/>
    </w:rPr>
  </w:style>
  <w:style w:type="character" w:customStyle="1" w:styleId="840">
    <w:name w:val="link_w1"/>
    <w:qFormat/>
    <w:uiPriority w:val="0"/>
    <w:rPr>
      <w:color w:val="FFFFFF"/>
      <w:sz w:val="18"/>
      <w:szCs w:val="18"/>
    </w:rPr>
  </w:style>
  <w:style w:type="character" w:customStyle="1" w:styleId="841">
    <w:name w:val="明显参考111"/>
    <w:qFormat/>
    <w:uiPriority w:val="0"/>
    <w:rPr>
      <w:b/>
      <w:sz w:val="24"/>
      <w:u w:val="single"/>
    </w:rPr>
  </w:style>
  <w:style w:type="character" w:customStyle="1" w:styleId="842">
    <w:name w:val="user0011"/>
    <w:qFormat/>
    <w:uiPriority w:val="0"/>
    <w:rPr>
      <w:spacing w:val="300"/>
      <w:sz w:val="18"/>
      <w:szCs w:val="18"/>
    </w:rPr>
  </w:style>
  <w:style w:type="character" w:customStyle="1" w:styleId="843">
    <w:name w:val="unnamed2"/>
    <w:basedOn w:val="89"/>
    <w:qFormat/>
    <w:uiPriority w:val="0"/>
  </w:style>
  <w:style w:type="character" w:customStyle="1" w:styleId="844">
    <w:name w:val="4盐田 Char Char"/>
    <w:link w:val="845"/>
    <w:qFormat/>
    <w:uiPriority w:val="0"/>
    <w:rPr>
      <w:rFonts w:eastAsia="黑体"/>
      <w:b/>
      <w:bCs/>
      <w:i/>
      <w:kern w:val="2"/>
      <w:sz w:val="24"/>
    </w:rPr>
  </w:style>
  <w:style w:type="paragraph" w:customStyle="1" w:styleId="845">
    <w:name w:val="4盐田"/>
    <w:link w:val="844"/>
    <w:qFormat/>
    <w:uiPriority w:val="0"/>
    <w:pPr>
      <w:tabs>
        <w:tab w:val="left" w:pos="0"/>
      </w:tabs>
      <w:spacing w:line="400" w:lineRule="exact"/>
      <w:outlineLvl w:val="3"/>
    </w:pPr>
    <w:rPr>
      <w:rFonts w:eastAsia="黑体" w:asciiTheme="minorHAnsi" w:hAnsiTheme="minorHAnsi" w:cstheme="minorBidi"/>
      <w:b/>
      <w:bCs/>
      <w:i/>
      <w:kern w:val="2"/>
      <w:sz w:val="24"/>
      <w:lang w:val="en-US" w:eastAsia="zh-CN" w:bidi="ar-SA"/>
    </w:rPr>
  </w:style>
  <w:style w:type="character" w:customStyle="1" w:styleId="846">
    <w:name w:val="正文文本 (19) Exact"/>
    <w:link w:val="847"/>
    <w:qFormat/>
    <w:uiPriority w:val="0"/>
    <w:rPr>
      <w:rFonts w:ascii="宋体" w:hAnsi="宋体"/>
      <w:spacing w:val="81"/>
      <w:sz w:val="19"/>
      <w:szCs w:val="19"/>
      <w:shd w:val="clear" w:color="auto" w:fill="FFFFFF"/>
    </w:rPr>
  </w:style>
  <w:style w:type="paragraph" w:customStyle="1" w:styleId="847">
    <w:name w:val="正文文本 (19)"/>
    <w:basedOn w:val="1"/>
    <w:link w:val="846"/>
    <w:qFormat/>
    <w:uiPriority w:val="0"/>
    <w:pPr>
      <w:shd w:val="clear" w:color="auto" w:fill="FFFFFF"/>
      <w:spacing w:line="240" w:lineRule="atLeast"/>
      <w:jc w:val="left"/>
    </w:pPr>
    <w:rPr>
      <w:rFonts w:ascii="宋体" w:hAnsi="宋体" w:eastAsiaTheme="minorEastAsia" w:cstheme="minorBidi"/>
      <w:spacing w:val="81"/>
      <w:kern w:val="0"/>
      <w:sz w:val="19"/>
      <w:szCs w:val="19"/>
    </w:rPr>
  </w:style>
  <w:style w:type="character" w:customStyle="1" w:styleId="848">
    <w:name w:val="正文文本 + 10.5 pt16"/>
    <w:qFormat/>
    <w:uiPriority w:val="0"/>
    <w:rPr>
      <w:rFonts w:ascii="Arial Unicode MS" w:eastAsia="Arial Unicode MS" w:cs="Arial Unicode MS"/>
      <w:smallCaps/>
      <w:kern w:val="2"/>
      <w:sz w:val="21"/>
      <w:szCs w:val="21"/>
      <w:u w:val="none"/>
      <w:lang w:val="en-US" w:eastAsia="en-US" w:bidi="ar-SA"/>
    </w:rPr>
  </w:style>
  <w:style w:type="character" w:customStyle="1" w:styleId="849">
    <w:name w:val="正文文本 (7) + 小型大写"/>
    <w:qFormat/>
    <w:uiPriority w:val="0"/>
    <w:rPr>
      <w:rFonts w:ascii="Arial Unicode MS" w:eastAsia="Arial Unicode MS" w:cs="Arial Unicode MS"/>
      <w:smallCaps/>
      <w:sz w:val="21"/>
      <w:szCs w:val="21"/>
      <w:u w:val="none"/>
      <w:shd w:val="clear" w:color="auto" w:fill="FFFFFF"/>
      <w:lang w:eastAsia="en-US"/>
    </w:rPr>
  </w:style>
  <w:style w:type="character" w:customStyle="1" w:styleId="850">
    <w:name w:val="表格标题3"/>
    <w:basedOn w:val="539"/>
    <w:qFormat/>
    <w:uiPriority w:val="0"/>
    <w:rPr>
      <w:rFonts w:ascii="Arial Unicode MS" w:eastAsia="Arial Unicode MS" w:cs="Arial Unicode MS"/>
      <w:sz w:val="22"/>
      <w:szCs w:val="22"/>
      <w:u w:val="none"/>
    </w:rPr>
  </w:style>
  <w:style w:type="character" w:customStyle="1" w:styleId="851">
    <w:name w:val="8 Char2 Char Char"/>
    <w:qFormat/>
    <w:uiPriority w:val="0"/>
    <w:rPr>
      <w:rFonts w:hint="eastAsia" w:ascii="宋体" w:hAnsi="宋体" w:eastAsia="宋体"/>
      <w:kern w:val="10"/>
      <w:sz w:val="24"/>
      <w:szCs w:val="24"/>
      <w:lang w:val="en-US" w:eastAsia="zh-CN" w:bidi="ar-SA"/>
    </w:rPr>
  </w:style>
  <w:style w:type="character" w:customStyle="1" w:styleId="852">
    <w:name w:val="style11"/>
    <w:qFormat/>
    <w:uiPriority w:val="0"/>
    <w:rPr>
      <w:sz w:val="15"/>
      <w:szCs w:val="15"/>
    </w:rPr>
  </w:style>
  <w:style w:type="character" w:customStyle="1" w:styleId="853">
    <w:name w:val="da14"/>
    <w:basedOn w:val="89"/>
    <w:qFormat/>
    <w:uiPriority w:val="0"/>
  </w:style>
  <w:style w:type="character" w:customStyle="1" w:styleId="854">
    <w:name w:val="目录_"/>
    <w:qFormat/>
    <w:uiPriority w:val="0"/>
    <w:rPr>
      <w:i/>
      <w:iCs/>
      <w:kern w:val="2"/>
      <w:lang w:eastAsia="zh-CN"/>
    </w:rPr>
  </w:style>
  <w:style w:type="character" w:customStyle="1" w:styleId="855">
    <w:name w:val="样式 (中文) 仿宋_GB2312 四号"/>
    <w:qFormat/>
    <w:uiPriority w:val="0"/>
    <w:rPr>
      <w:rFonts w:eastAsia="仿宋_GB2312"/>
      <w:sz w:val="24"/>
    </w:rPr>
  </w:style>
  <w:style w:type="character" w:customStyle="1" w:styleId="856">
    <w:name w:val="样式 仿宋_GB2312 四号"/>
    <w:qFormat/>
    <w:uiPriority w:val="0"/>
    <w:rPr>
      <w:rFonts w:ascii="仿宋_GB2312" w:hAnsi="仿宋_GB2312" w:eastAsia="仿宋_GB2312"/>
      <w:sz w:val="24"/>
    </w:rPr>
  </w:style>
  <w:style w:type="character" w:customStyle="1" w:styleId="857">
    <w:name w:val="标题 3 Char3"/>
    <w:qFormat/>
    <w:uiPriority w:val="0"/>
    <w:rPr>
      <w:b/>
      <w:bCs/>
      <w:kern w:val="2"/>
      <w:sz w:val="28"/>
      <w:szCs w:val="32"/>
    </w:rPr>
  </w:style>
  <w:style w:type="character" w:customStyle="1" w:styleId="858">
    <w:name w:val="签名 Char1"/>
    <w:qFormat/>
    <w:uiPriority w:val="0"/>
    <w:rPr>
      <w:rFonts w:cs="Times New Roman"/>
      <w:kern w:val="2"/>
      <w:sz w:val="24"/>
      <w:szCs w:val="22"/>
    </w:rPr>
  </w:style>
  <w:style w:type="character" w:customStyle="1" w:styleId="859">
    <w:name w:val="图框 Char"/>
    <w:link w:val="860"/>
    <w:qFormat/>
    <w:locked/>
    <w:uiPriority w:val="0"/>
    <w:rPr>
      <w:rFonts w:ascii="Arial" w:hAnsi="Arial" w:cs="Arial"/>
      <w:szCs w:val="21"/>
    </w:rPr>
  </w:style>
  <w:style w:type="paragraph" w:customStyle="1" w:styleId="860">
    <w:name w:val="图框"/>
    <w:basedOn w:val="1"/>
    <w:link w:val="859"/>
    <w:qFormat/>
    <w:uiPriority w:val="0"/>
    <w:pPr>
      <w:jc w:val="center"/>
    </w:pPr>
    <w:rPr>
      <w:rFonts w:cs="Arial" w:eastAsiaTheme="minorEastAsia"/>
      <w:kern w:val="0"/>
      <w:sz w:val="20"/>
      <w:szCs w:val="21"/>
    </w:rPr>
  </w:style>
  <w:style w:type="character" w:customStyle="1" w:styleId="861">
    <w:name w:val="样式 样式1 + (西文) 宋体 Char"/>
    <w:link w:val="862"/>
    <w:qFormat/>
    <w:locked/>
    <w:uiPriority w:val="0"/>
    <w:rPr>
      <w:rFonts w:ascii="宋体" w:hAnsi="宋体" w:eastAsia="黑体" w:cs="Arial"/>
      <w:color w:val="000000"/>
      <w:sz w:val="24"/>
      <w:szCs w:val="24"/>
    </w:rPr>
  </w:style>
  <w:style w:type="paragraph" w:customStyle="1" w:styleId="862">
    <w:name w:val="样式 样式1 + (西文) 宋体"/>
    <w:basedOn w:val="152"/>
    <w:link w:val="861"/>
    <w:qFormat/>
    <w:uiPriority w:val="0"/>
    <w:pPr>
      <w:tabs>
        <w:tab w:val="left" w:pos="0"/>
        <w:tab w:val="left" w:pos="425"/>
      </w:tabs>
      <w:spacing w:before="340" w:after="0" w:line="360" w:lineRule="auto"/>
      <w:ind w:firstLine="200" w:firstLineChars="200"/>
    </w:pPr>
    <w:rPr>
      <w:rFonts w:hAnsi="宋体" w:eastAsia="黑体" w:cs="Arial"/>
      <w:color w:val="000000"/>
      <w:szCs w:val="24"/>
    </w:rPr>
  </w:style>
  <w:style w:type="character" w:customStyle="1" w:styleId="863">
    <w:name w:val="8 Char1 Char"/>
    <w:link w:val="864"/>
    <w:semiHidden/>
    <w:qFormat/>
    <w:locked/>
    <w:uiPriority w:val="0"/>
    <w:rPr>
      <w:kern w:val="10"/>
      <w:sz w:val="24"/>
      <w:szCs w:val="24"/>
    </w:rPr>
  </w:style>
  <w:style w:type="paragraph" w:customStyle="1" w:styleId="864">
    <w:name w:val="8 Char1"/>
    <w:basedOn w:val="1"/>
    <w:link w:val="863"/>
    <w:semiHidden/>
    <w:qFormat/>
    <w:uiPriority w:val="0"/>
    <w:pPr>
      <w:spacing w:line="360" w:lineRule="auto"/>
      <w:ind w:firstLine="480" w:firstLineChars="200"/>
    </w:pPr>
    <w:rPr>
      <w:rFonts w:asciiTheme="minorHAnsi" w:hAnsiTheme="minorHAnsi" w:eastAsiaTheme="minorEastAsia" w:cstheme="minorBidi"/>
      <w:kern w:val="10"/>
      <w:sz w:val="24"/>
      <w:szCs w:val="24"/>
    </w:rPr>
  </w:style>
  <w:style w:type="character" w:customStyle="1" w:styleId="865">
    <w:name w:val="8 Char Char Char Char"/>
    <w:link w:val="866"/>
    <w:semiHidden/>
    <w:qFormat/>
    <w:locked/>
    <w:uiPriority w:val="0"/>
    <w:rPr>
      <w:kern w:val="10"/>
      <w:sz w:val="24"/>
      <w:szCs w:val="24"/>
    </w:rPr>
  </w:style>
  <w:style w:type="paragraph" w:customStyle="1" w:styleId="866">
    <w:name w:val="8 Char Char Char"/>
    <w:basedOn w:val="1"/>
    <w:link w:val="865"/>
    <w:semiHidden/>
    <w:qFormat/>
    <w:uiPriority w:val="0"/>
    <w:pPr>
      <w:spacing w:line="360" w:lineRule="auto"/>
      <w:ind w:firstLine="480" w:firstLineChars="200"/>
    </w:pPr>
    <w:rPr>
      <w:rFonts w:asciiTheme="minorHAnsi" w:hAnsiTheme="minorHAnsi" w:eastAsiaTheme="minorEastAsia" w:cstheme="minorBidi"/>
      <w:kern w:val="10"/>
      <w:sz w:val="24"/>
      <w:szCs w:val="24"/>
    </w:rPr>
  </w:style>
  <w:style w:type="character" w:customStyle="1" w:styleId="867">
    <w:name w:val="rili11"/>
    <w:qFormat/>
    <w:uiPriority w:val="0"/>
    <w:rPr>
      <w:sz w:val="21"/>
      <w:szCs w:val="21"/>
    </w:rPr>
  </w:style>
  <w:style w:type="character" w:customStyle="1" w:styleId="868">
    <w:name w:val="样式 题注 + (西文) Times New Roman 小四 加粗1 Char"/>
    <w:link w:val="869"/>
    <w:qFormat/>
    <w:uiPriority w:val="0"/>
    <w:rPr>
      <w:rFonts w:eastAsia="宋体"/>
      <w:bCs/>
      <w:kern w:val="2"/>
      <w:sz w:val="24"/>
      <w:szCs w:val="22"/>
    </w:rPr>
  </w:style>
  <w:style w:type="paragraph" w:customStyle="1" w:styleId="869">
    <w:name w:val="样式 题注 + (西文) Times New Roman 小四 加粗1"/>
    <w:basedOn w:val="24"/>
    <w:link w:val="868"/>
    <w:qFormat/>
    <w:uiPriority w:val="0"/>
    <w:pPr>
      <w:spacing w:before="0" w:line="240" w:lineRule="auto"/>
      <w:jc w:val="center"/>
    </w:pPr>
    <w:rPr>
      <w:rFonts w:eastAsia="宋体" w:asciiTheme="minorHAnsi" w:hAnsiTheme="minorHAnsi" w:cstheme="minorBidi"/>
      <w:bCs/>
      <w:snapToGrid/>
      <w:kern w:val="2"/>
      <w:szCs w:val="22"/>
    </w:rPr>
  </w:style>
  <w:style w:type="character" w:customStyle="1" w:styleId="870">
    <w:name w:val="8 Char1 Char Char Char Char Char"/>
    <w:link w:val="871"/>
    <w:semiHidden/>
    <w:qFormat/>
    <w:locked/>
    <w:uiPriority w:val="0"/>
    <w:rPr>
      <w:kern w:val="10"/>
      <w:sz w:val="24"/>
      <w:szCs w:val="24"/>
    </w:rPr>
  </w:style>
  <w:style w:type="paragraph" w:customStyle="1" w:styleId="871">
    <w:name w:val="8 Char1 Char Char Char Char"/>
    <w:basedOn w:val="1"/>
    <w:link w:val="870"/>
    <w:semiHidden/>
    <w:qFormat/>
    <w:uiPriority w:val="0"/>
    <w:pPr>
      <w:spacing w:line="360" w:lineRule="auto"/>
      <w:ind w:firstLine="480" w:firstLineChars="200"/>
    </w:pPr>
    <w:rPr>
      <w:rFonts w:asciiTheme="minorHAnsi" w:hAnsiTheme="minorHAnsi" w:eastAsiaTheme="minorEastAsia" w:cstheme="minorBidi"/>
      <w:kern w:val="10"/>
      <w:sz w:val="24"/>
      <w:szCs w:val="24"/>
    </w:rPr>
  </w:style>
  <w:style w:type="character" w:customStyle="1" w:styleId="872">
    <w:name w:val="ourfont2"/>
    <w:basedOn w:val="89"/>
    <w:qFormat/>
    <w:uiPriority w:val="0"/>
  </w:style>
  <w:style w:type="character" w:customStyle="1" w:styleId="873">
    <w:name w:val="8 Char1 Char1 Char"/>
    <w:link w:val="874"/>
    <w:semiHidden/>
    <w:qFormat/>
    <w:locked/>
    <w:uiPriority w:val="0"/>
    <w:rPr>
      <w:kern w:val="10"/>
      <w:sz w:val="24"/>
      <w:szCs w:val="24"/>
    </w:rPr>
  </w:style>
  <w:style w:type="paragraph" w:customStyle="1" w:styleId="874">
    <w:name w:val="8 Char1 Char1"/>
    <w:basedOn w:val="1"/>
    <w:link w:val="873"/>
    <w:semiHidden/>
    <w:qFormat/>
    <w:uiPriority w:val="0"/>
    <w:pPr>
      <w:spacing w:line="360" w:lineRule="auto"/>
      <w:ind w:firstLine="480" w:firstLineChars="200"/>
    </w:pPr>
    <w:rPr>
      <w:rFonts w:asciiTheme="minorHAnsi" w:hAnsiTheme="minorHAnsi" w:eastAsiaTheme="minorEastAsia" w:cstheme="minorBidi"/>
      <w:kern w:val="10"/>
      <w:sz w:val="24"/>
      <w:szCs w:val="24"/>
    </w:rPr>
  </w:style>
  <w:style w:type="character" w:customStyle="1" w:styleId="875">
    <w:name w:val="表格文字1 Char Char Char Char Char"/>
    <w:link w:val="876"/>
    <w:semiHidden/>
    <w:qFormat/>
    <w:locked/>
    <w:uiPriority w:val="0"/>
    <w:rPr>
      <w:rFonts w:ascii="宋体" w:hAnsi="宋体" w:eastAsia="宋体-方正超大字符集"/>
      <w:szCs w:val="21"/>
    </w:rPr>
  </w:style>
  <w:style w:type="paragraph" w:customStyle="1" w:styleId="876">
    <w:name w:val="表格文字1 Char Char Char Char"/>
    <w:basedOn w:val="1"/>
    <w:link w:val="875"/>
    <w:semiHidden/>
    <w:qFormat/>
    <w:uiPriority w:val="0"/>
    <w:pPr>
      <w:adjustRightInd w:val="0"/>
      <w:snapToGrid w:val="0"/>
      <w:jc w:val="center"/>
    </w:pPr>
    <w:rPr>
      <w:rFonts w:ascii="宋体" w:hAnsi="宋体" w:eastAsia="宋体-方正超大字符集" w:cstheme="minorBidi"/>
      <w:kern w:val="0"/>
      <w:sz w:val="20"/>
      <w:szCs w:val="21"/>
    </w:rPr>
  </w:style>
  <w:style w:type="character" w:customStyle="1" w:styleId="877">
    <w:name w:val="表头字体 Char1"/>
    <w:link w:val="878"/>
    <w:semiHidden/>
    <w:qFormat/>
    <w:locked/>
    <w:uiPriority w:val="0"/>
    <w:rPr>
      <w:rFonts w:eastAsia="黑体"/>
      <w:b/>
      <w:bCs/>
      <w:color w:val="000000"/>
      <w:sz w:val="24"/>
      <w:szCs w:val="24"/>
      <w:lang w:val="zh-CN"/>
    </w:rPr>
  </w:style>
  <w:style w:type="paragraph" w:customStyle="1" w:styleId="878">
    <w:name w:val="表头字体"/>
    <w:basedOn w:val="8"/>
    <w:next w:val="166"/>
    <w:link w:val="877"/>
    <w:semiHidden/>
    <w:qFormat/>
    <w:uiPriority w:val="0"/>
    <w:pPr>
      <w:keepNext w:val="0"/>
      <w:keepLines w:val="0"/>
      <w:snapToGrid w:val="0"/>
      <w:spacing w:beforeLines="50" w:after="0" w:line="240" w:lineRule="auto"/>
      <w:jc w:val="center"/>
      <w:outlineLvl w:val="9"/>
    </w:pPr>
    <w:rPr>
      <w:rFonts w:asciiTheme="minorHAnsi" w:hAnsiTheme="minorHAnsi"/>
      <w:color w:val="000000"/>
      <w:kern w:val="0"/>
      <w:sz w:val="24"/>
      <w:szCs w:val="24"/>
      <w:lang w:val="zh-CN"/>
    </w:rPr>
  </w:style>
  <w:style w:type="character" w:customStyle="1" w:styleId="879">
    <w:name w:val="正文文本 + 10.5 pt15"/>
    <w:qFormat/>
    <w:uiPriority w:val="0"/>
    <w:rPr>
      <w:rFonts w:ascii="Arial Unicode MS" w:eastAsia="Arial Unicode MS" w:cs="Arial Unicode MS"/>
      <w:kern w:val="2"/>
      <w:sz w:val="21"/>
      <w:szCs w:val="21"/>
      <w:u w:val="none"/>
      <w:lang w:val="en-US" w:eastAsia="en-US" w:bidi="ar-SA"/>
    </w:rPr>
  </w:style>
  <w:style w:type="character" w:customStyle="1" w:styleId="880">
    <w:name w:val="正文文本 + Times New Roman4"/>
    <w:qFormat/>
    <w:uiPriority w:val="0"/>
    <w:rPr>
      <w:rFonts w:ascii="Times New Roman" w:hAnsi="Times New Roman" w:eastAsia="Arial Unicode MS" w:cs="Times New Roman"/>
      <w:b/>
      <w:bCs/>
      <w:kern w:val="2"/>
      <w:sz w:val="20"/>
      <w:szCs w:val="20"/>
      <w:u w:val="none"/>
      <w:lang w:val="en-US" w:eastAsia="en-US" w:bidi="ar-SA"/>
    </w:rPr>
  </w:style>
  <w:style w:type="character" w:customStyle="1" w:styleId="881">
    <w:name w:val="表格（可改） Char Char"/>
    <w:link w:val="882"/>
    <w:qFormat/>
    <w:locked/>
    <w:uiPriority w:val="0"/>
    <w:rPr>
      <w:rFonts w:eastAsia="Arial"/>
      <w:szCs w:val="21"/>
    </w:rPr>
  </w:style>
  <w:style w:type="paragraph" w:customStyle="1" w:styleId="882">
    <w:name w:val="表格（可改）"/>
    <w:basedOn w:val="1"/>
    <w:link w:val="881"/>
    <w:qFormat/>
    <w:uiPriority w:val="0"/>
    <w:pPr>
      <w:spacing w:line="360" w:lineRule="exact"/>
      <w:jc w:val="center"/>
    </w:pPr>
    <w:rPr>
      <w:rFonts w:eastAsia="Arial" w:asciiTheme="minorHAnsi" w:hAnsiTheme="minorHAnsi" w:cstheme="minorBidi"/>
      <w:kern w:val="0"/>
      <w:sz w:val="20"/>
      <w:szCs w:val="21"/>
    </w:rPr>
  </w:style>
  <w:style w:type="character" w:customStyle="1" w:styleId="883">
    <w:name w:val="样式 标题 5一级项1b5 sub-bulletsb4 Char Char4 Char五1)项标5 Cha... Char"/>
    <w:link w:val="884"/>
    <w:qFormat/>
    <w:locked/>
    <w:uiPriority w:val="0"/>
    <w:rPr>
      <w:b/>
      <w:bCs/>
      <w:sz w:val="24"/>
    </w:rPr>
  </w:style>
  <w:style w:type="paragraph" w:customStyle="1" w:styleId="884">
    <w:name w:val="样式 标题 5一级项1b5 sub-bulletsb4 Char Char4 Char五1)项标5 Cha..."/>
    <w:basedOn w:val="9"/>
    <w:link w:val="883"/>
    <w:qFormat/>
    <w:uiPriority w:val="0"/>
    <w:pPr>
      <w:keepLines w:val="0"/>
      <w:tabs>
        <w:tab w:val="left" w:pos="526"/>
        <w:tab w:val="left" w:pos="952"/>
      </w:tabs>
      <w:spacing w:beforeLines="50" w:after="60" w:line="360" w:lineRule="auto"/>
      <w:ind w:left="24" w:firstLine="88"/>
    </w:pPr>
    <w:rPr>
      <w:kern w:val="0"/>
      <w:sz w:val="24"/>
      <w:szCs w:val="20"/>
    </w:rPr>
  </w:style>
  <w:style w:type="character" w:customStyle="1" w:styleId="885">
    <w:name w:val="样式 表头样式1 + (中文) 宋体 Char"/>
    <w:link w:val="886"/>
    <w:qFormat/>
    <w:locked/>
    <w:uiPriority w:val="0"/>
    <w:rPr>
      <w:bCs/>
      <w:sz w:val="24"/>
      <w:szCs w:val="24"/>
    </w:rPr>
  </w:style>
  <w:style w:type="paragraph" w:customStyle="1" w:styleId="886">
    <w:name w:val="样式 表头样式1 + (中文) 宋体"/>
    <w:basedOn w:val="636"/>
    <w:link w:val="885"/>
    <w:qFormat/>
    <w:uiPriority w:val="0"/>
    <w:pPr>
      <w:widowControl w:val="0"/>
      <w:spacing w:before="0" w:line="500" w:lineRule="exact"/>
      <w:ind w:firstLine="0" w:firstLineChars="0"/>
    </w:pPr>
    <w:rPr>
      <w:rFonts w:asciiTheme="minorHAnsi" w:eastAsiaTheme="minorEastAsia"/>
      <w:kern w:val="0"/>
      <w:lang w:eastAsia="zh-CN" w:bidi="ar-SA"/>
    </w:rPr>
  </w:style>
  <w:style w:type="character" w:customStyle="1" w:styleId="887">
    <w:name w:val="表、图名 Char"/>
    <w:link w:val="888"/>
    <w:semiHidden/>
    <w:qFormat/>
    <w:locked/>
    <w:uiPriority w:val="0"/>
    <w:rPr>
      <w:rFonts w:eastAsia="黑体"/>
      <w:szCs w:val="21"/>
    </w:rPr>
  </w:style>
  <w:style w:type="paragraph" w:customStyle="1" w:styleId="888">
    <w:name w:val="表、图名"/>
    <w:basedOn w:val="1"/>
    <w:link w:val="887"/>
    <w:semiHidden/>
    <w:qFormat/>
    <w:uiPriority w:val="0"/>
    <w:pPr>
      <w:adjustRightInd w:val="0"/>
      <w:snapToGrid w:val="0"/>
      <w:jc w:val="center"/>
    </w:pPr>
    <w:rPr>
      <w:rFonts w:eastAsia="黑体" w:asciiTheme="minorHAnsi" w:hAnsiTheme="minorHAnsi" w:cstheme="minorBidi"/>
      <w:kern w:val="0"/>
      <w:sz w:val="20"/>
      <w:szCs w:val="21"/>
    </w:rPr>
  </w:style>
  <w:style w:type="character" w:customStyle="1" w:styleId="889">
    <w:name w:val="报告书正文 Char"/>
    <w:link w:val="890"/>
    <w:semiHidden/>
    <w:qFormat/>
    <w:locked/>
    <w:uiPriority w:val="0"/>
    <w:rPr>
      <w:sz w:val="24"/>
      <w:szCs w:val="24"/>
    </w:rPr>
  </w:style>
  <w:style w:type="paragraph" w:customStyle="1" w:styleId="890">
    <w:name w:val="报告书正文"/>
    <w:basedOn w:val="1"/>
    <w:link w:val="889"/>
    <w:semiHidden/>
    <w:qFormat/>
    <w:uiPriority w:val="0"/>
    <w:pPr>
      <w:spacing w:line="360" w:lineRule="auto"/>
      <w:ind w:firstLine="480" w:firstLineChars="200"/>
    </w:pPr>
    <w:rPr>
      <w:rFonts w:asciiTheme="minorHAnsi" w:hAnsiTheme="minorHAnsi" w:eastAsiaTheme="minorEastAsia" w:cstheme="minorBidi"/>
      <w:kern w:val="0"/>
      <w:sz w:val="24"/>
      <w:szCs w:val="24"/>
    </w:rPr>
  </w:style>
  <w:style w:type="character" w:customStyle="1" w:styleId="891">
    <w:name w:val="color_huei1"/>
    <w:qFormat/>
    <w:uiPriority w:val="0"/>
    <w:rPr>
      <w:color w:val="666666"/>
    </w:rPr>
  </w:style>
  <w:style w:type="character" w:customStyle="1" w:styleId="892">
    <w:name w:val="unnamed11"/>
    <w:qFormat/>
    <w:uiPriority w:val="0"/>
    <w:rPr>
      <w:rFonts w:hint="eastAsia" w:ascii="宋体" w:hAnsi="宋体" w:eastAsia="宋体"/>
      <w:spacing w:val="330"/>
      <w:sz w:val="21"/>
      <w:szCs w:val="21"/>
    </w:rPr>
  </w:style>
  <w:style w:type="character" w:customStyle="1" w:styleId="893">
    <w:name w:val="px141"/>
    <w:qFormat/>
    <w:uiPriority w:val="0"/>
    <w:rPr>
      <w:rFonts w:hint="default" w:ascii="ˎ̥" w:hAnsi="ˎ̥"/>
      <w:sz w:val="21"/>
      <w:szCs w:val="21"/>
    </w:rPr>
  </w:style>
  <w:style w:type="character" w:customStyle="1" w:styleId="894">
    <w:name w:val="3zw1"/>
    <w:qFormat/>
    <w:uiPriority w:val="0"/>
    <w:rPr>
      <w:color w:val="000000"/>
      <w:sz w:val="21"/>
      <w:szCs w:val="21"/>
    </w:rPr>
  </w:style>
  <w:style w:type="character" w:customStyle="1" w:styleId="895">
    <w:name w:val="t2"/>
    <w:basedOn w:val="89"/>
    <w:qFormat/>
    <w:uiPriority w:val="0"/>
  </w:style>
  <w:style w:type="character" w:customStyle="1" w:styleId="896">
    <w:name w:val="标题 #1 + Times New Roman1"/>
    <w:qFormat/>
    <w:uiPriority w:val="0"/>
    <w:rPr>
      <w:rFonts w:ascii="Times New Roman" w:hAnsi="Times New Roman" w:cs="Times New Roman"/>
      <w:b/>
      <w:bCs/>
      <w:sz w:val="27"/>
      <w:szCs w:val="27"/>
      <w:shd w:val="clear" w:color="auto" w:fill="FFFFFF"/>
      <w:lang w:val="en-US" w:eastAsia="zh-CN"/>
    </w:rPr>
  </w:style>
  <w:style w:type="character" w:customStyle="1" w:styleId="897">
    <w:name w:val="p21"/>
    <w:qFormat/>
    <w:uiPriority w:val="0"/>
    <w:rPr>
      <w:spacing w:val="312"/>
      <w:sz w:val="18"/>
      <w:szCs w:val="18"/>
    </w:rPr>
  </w:style>
  <w:style w:type="character" w:customStyle="1" w:styleId="898">
    <w:name w:val="正文文本 (96)_"/>
    <w:link w:val="899"/>
    <w:qFormat/>
    <w:uiPriority w:val="0"/>
    <w:rPr>
      <w:rFonts w:ascii="Arial Unicode MS" w:eastAsia="Arial Unicode MS"/>
      <w:spacing w:val="20"/>
      <w:sz w:val="21"/>
      <w:szCs w:val="21"/>
      <w:shd w:val="clear" w:color="auto" w:fill="FFFFFF"/>
    </w:rPr>
  </w:style>
  <w:style w:type="paragraph" w:customStyle="1" w:styleId="899">
    <w:name w:val="正文文本 (96)"/>
    <w:basedOn w:val="1"/>
    <w:link w:val="898"/>
    <w:qFormat/>
    <w:uiPriority w:val="0"/>
    <w:pPr>
      <w:shd w:val="clear" w:color="auto" w:fill="FFFFFF"/>
      <w:spacing w:line="240" w:lineRule="atLeast"/>
      <w:ind w:hanging="680"/>
      <w:jc w:val="left"/>
    </w:pPr>
    <w:rPr>
      <w:rFonts w:ascii="Arial Unicode MS" w:eastAsia="Arial Unicode MS" w:hAnsiTheme="minorHAnsi" w:cstheme="minorBidi"/>
      <w:spacing w:val="20"/>
      <w:kern w:val="0"/>
      <w:szCs w:val="21"/>
    </w:rPr>
  </w:style>
  <w:style w:type="character" w:customStyle="1" w:styleId="900">
    <w:name w:val="标题11"/>
    <w:qFormat/>
    <w:uiPriority w:val="0"/>
    <w:rPr>
      <w:rFonts w:hint="eastAsia" w:ascii="黑体" w:hAnsi="黑体" w:eastAsia="黑体"/>
      <w:color w:val="000000"/>
      <w:sz w:val="36"/>
      <w:szCs w:val="36"/>
    </w:rPr>
  </w:style>
  <w:style w:type="character" w:customStyle="1" w:styleId="901">
    <w:name w:val="1.1.1标题 3 Char Char"/>
    <w:qFormat/>
    <w:uiPriority w:val="0"/>
    <w:rPr>
      <w:rFonts w:hint="eastAsia" w:ascii="宋体" w:hAnsi="宋体" w:eastAsia="宋体"/>
      <w:b/>
      <w:bCs/>
      <w:kern w:val="2"/>
      <w:sz w:val="28"/>
      <w:szCs w:val="32"/>
      <w:lang w:val="en-US" w:eastAsia="zh-CN" w:bidi="ar-SA"/>
    </w:rPr>
  </w:style>
  <w:style w:type="character" w:customStyle="1" w:styleId="902">
    <w:name w:val="Heading 2 Char"/>
    <w:qFormat/>
    <w:locked/>
    <w:uiPriority w:val="0"/>
    <w:rPr>
      <w:rFonts w:hint="eastAsia" w:ascii="楷体_GB2312" w:eastAsia="楷体_GB2312"/>
      <w:b/>
      <w:bCs/>
      <w:kern w:val="2"/>
      <w:sz w:val="32"/>
      <w:szCs w:val="32"/>
      <w:lang w:val="en-US" w:eastAsia="zh-CN" w:bidi="ar-SA"/>
    </w:rPr>
  </w:style>
  <w:style w:type="character" w:customStyle="1" w:styleId="903">
    <w:name w:val="big1"/>
    <w:qFormat/>
    <w:uiPriority w:val="0"/>
    <w:rPr>
      <w:spacing w:val="360"/>
      <w:sz w:val="30"/>
      <w:szCs w:val="30"/>
    </w:rPr>
  </w:style>
  <w:style w:type="character" w:customStyle="1" w:styleId="904">
    <w:name w:val="t_tag"/>
    <w:basedOn w:val="89"/>
    <w:qFormat/>
    <w:uiPriority w:val="0"/>
  </w:style>
  <w:style w:type="character" w:customStyle="1" w:styleId="905">
    <w:name w:val="sy31"/>
    <w:qFormat/>
    <w:uiPriority w:val="0"/>
    <w:rPr>
      <w:rFonts w:hint="default" w:ascii="ˎ̥" w:hAnsi="ˎ̥"/>
      <w:color w:val="262626"/>
      <w:sz w:val="18"/>
      <w:szCs w:val="18"/>
    </w:rPr>
  </w:style>
  <w:style w:type="character" w:customStyle="1" w:styleId="906">
    <w:name w:val="正文文本 (8)_"/>
    <w:link w:val="907"/>
    <w:qFormat/>
    <w:uiPriority w:val="0"/>
    <w:rPr>
      <w:b/>
      <w:bCs/>
      <w:shd w:val="clear" w:color="auto" w:fill="FFFFFF"/>
      <w:lang w:eastAsia="en-US"/>
    </w:rPr>
  </w:style>
  <w:style w:type="paragraph" w:customStyle="1" w:styleId="907">
    <w:name w:val="正文文本 (8)"/>
    <w:basedOn w:val="1"/>
    <w:link w:val="906"/>
    <w:qFormat/>
    <w:uiPriority w:val="0"/>
    <w:pPr>
      <w:shd w:val="clear" w:color="auto" w:fill="FFFFFF"/>
      <w:spacing w:before="240" w:line="398" w:lineRule="exact"/>
      <w:ind w:firstLine="480"/>
    </w:pPr>
    <w:rPr>
      <w:rFonts w:asciiTheme="minorHAnsi" w:hAnsiTheme="minorHAnsi" w:eastAsiaTheme="minorEastAsia" w:cstheme="minorBidi"/>
      <w:b/>
      <w:bCs/>
      <w:kern w:val="0"/>
      <w:sz w:val="20"/>
      <w:lang w:eastAsia="en-US"/>
    </w:rPr>
  </w:style>
  <w:style w:type="character" w:customStyle="1" w:styleId="908">
    <w:name w:val="style61"/>
    <w:qFormat/>
    <w:uiPriority w:val="0"/>
    <w:rPr>
      <w:color w:val="FF0000"/>
    </w:rPr>
  </w:style>
  <w:style w:type="character" w:customStyle="1" w:styleId="909">
    <w:name w:val="页眉或页脚 + Times New Roman2"/>
    <w:qFormat/>
    <w:uiPriority w:val="0"/>
    <w:rPr>
      <w:rFonts w:ascii="Times New Roman" w:hAnsi="Times New Roman" w:cs="Times New Roman"/>
      <w:sz w:val="17"/>
      <w:szCs w:val="17"/>
      <w:u w:val="single"/>
      <w:shd w:val="clear" w:color="auto" w:fill="FFFFFF"/>
    </w:rPr>
  </w:style>
  <w:style w:type="character" w:customStyle="1" w:styleId="910">
    <w:name w:val="报告表正文 Char"/>
    <w:qFormat/>
    <w:uiPriority w:val="0"/>
    <w:rPr>
      <w:rFonts w:hint="eastAsia" w:ascii="楷体_GB2312" w:eastAsia="楷体_GB2312"/>
      <w:kern w:val="2"/>
      <w:sz w:val="24"/>
      <w:szCs w:val="24"/>
      <w:lang w:val="en-US" w:eastAsia="zh-CN" w:bidi="ar-SA"/>
    </w:rPr>
  </w:style>
  <w:style w:type="character" w:customStyle="1" w:styleId="911">
    <w:name w:val="表头样式1 Char"/>
    <w:qFormat/>
    <w:uiPriority w:val="0"/>
    <w:rPr>
      <w:rFonts w:hint="eastAsia" w:ascii="黑体" w:hAnsi="黑体" w:eastAsia="黑体"/>
      <w:b/>
      <w:kern w:val="2"/>
      <w:sz w:val="24"/>
      <w:lang w:val="en-US" w:eastAsia="zh-CN" w:bidi="ar-SA"/>
    </w:rPr>
  </w:style>
  <w:style w:type="character" w:customStyle="1" w:styleId="912">
    <w:name w:val="表内格式 Char"/>
    <w:qFormat/>
    <w:uiPriority w:val="0"/>
    <w:rPr>
      <w:rFonts w:hint="eastAsia" w:ascii="宋体" w:hAnsi="宋体" w:eastAsia="宋体"/>
      <w:kern w:val="2"/>
      <w:sz w:val="18"/>
      <w:lang w:val="en-US" w:eastAsia="zh-CN" w:bidi="ar-SA"/>
    </w:rPr>
  </w:style>
  <w:style w:type="character" w:customStyle="1" w:styleId="913">
    <w:name w:val="君邦正文 Char1"/>
    <w:qFormat/>
    <w:uiPriority w:val="0"/>
    <w:rPr>
      <w:rFonts w:hint="eastAsia" w:ascii="宋体" w:hAnsi="宋体" w:eastAsia="宋体"/>
      <w:bCs/>
      <w:snapToGrid/>
      <w:sz w:val="24"/>
      <w:lang w:val="en-US" w:eastAsia="zh-CN" w:bidi="ar-SA"/>
    </w:rPr>
  </w:style>
  <w:style w:type="character" w:customStyle="1" w:styleId="914">
    <w:name w:val="正文文本 (16) + 间距 0 pt Exact"/>
    <w:qFormat/>
    <w:uiPriority w:val="0"/>
    <w:rPr>
      <w:rFonts w:ascii="宋体" w:hAnsi="宋体"/>
      <w:spacing w:val="7"/>
      <w:w w:val="66"/>
      <w:sz w:val="9"/>
      <w:szCs w:val="9"/>
      <w:shd w:val="clear" w:color="auto" w:fill="FFFFFF"/>
      <w:lang w:eastAsia="en-US"/>
    </w:rPr>
  </w:style>
  <w:style w:type="character" w:customStyle="1" w:styleId="915">
    <w:name w:val="表标题 Char Char"/>
    <w:qFormat/>
    <w:uiPriority w:val="0"/>
    <w:rPr>
      <w:rFonts w:hint="eastAsia" w:ascii="宋体" w:hAnsi="宋体" w:eastAsia="宋体"/>
      <w:kern w:val="2"/>
      <w:sz w:val="24"/>
      <w:lang w:val="en-US" w:eastAsia="zh-CN" w:bidi="ar-SA"/>
    </w:rPr>
  </w:style>
  <w:style w:type="character" w:customStyle="1" w:styleId="916">
    <w:name w:val="电子邮件签名 Char1"/>
    <w:qFormat/>
    <w:uiPriority w:val="0"/>
    <w:rPr>
      <w:rFonts w:cs="Times New Roman"/>
      <w:kern w:val="2"/>
      <w:sz w:val="24"/>
      <w:szCs w:val="22"/>
    </w:rPr>
  </w:style>
  <w:style w:type="character" w:customStyle="1" w:styleId="917">
    <w:name w:val="标题 #3 (5) + Times New Roman2"/>
    <w:qFormat/>
    <w:uiPriority w:val="0"/>
    <w:rPr>
      <w:rFonts w:ascii="Times New Roman" w:hAnsi="Times New Roman" w:cs="Times New Roman"/>
      <w:b/>
      <w:bCs/>
      <w:spacing w:val="0"/>
      <w:sz w:val="27"/>
      <w:szCs w:val="27"/>
      <w:shd w:val="clear" w:color="auto" w:fill="FFFFFF"/>
      <w:lang w:val="en-US" w:eastAsia="en-US"/>
    </w:rPr>
  </w:style>
  <w:style w:type="character" w:customStyle="1" w:styleId="918">
    <w:name w:val="信息标题 Char1"/>
    <w:qFormat/>
    <w:uiPriority w:val="0"/>
    <w:rPr>
      <w:rFonts w:ascii="Cambria" w:hAnsi="Cambria" w:eastAsia="宋体" w:cs="Times New Roman"/>
      <w:kern w:val="2"/>
      <w:sz w:val="24"/>
      <w:szCs w:val="24"/>
      <w:shd w:val="pct20" w:color="auto" w:fill="auto"/>
    </w:rPr>
  </w:style>
  <w:style w:type="character" w:customStyle="1" w:styleId="919">
    <w:name w:val="注释标题 Char1"/>
    <w:qFormat/>
    <w:uiPriority w:val="0"/>
    <w:rPr>
      <w:rFonts w:cs="Times New Roman"/>
      <w:kern w:val="2"/>
      <w:sz w:val="24"/>
      <w:szCs w:val="22"/>
    </w:rPr>
  </w:style>
  <w:style w:type="character" w:customStyle="1" w:styleId="920">
    <w:name w:val="9p1"/>
    <w:qFormat/>
    <w:uiPriority w:val="0"/>
    <w:rPr>
      <w:spacing w:val="360"/>
      <w:sz w:val="18"/>
      <w:szCs w:val="18"/>
    </w:rPr>
  </w:style>
  <w:style w:type="character" w:customStyle="1" w:styleId="921">
    <w:name w:val="标题5 Char"/>
    <w:qFormat/>
    <w:uiPriority w:val="0"/>
    <w:rPr>
      <w:rFonts w:hint="eastAsia" w:ascii="隶书" w:eastAsia="隶书"/>
      <w:color w:val="000000"/>
      <w:kern w:val="2"/>
      <w:sz w:val="30"/>
      <w:szCs w:val="30"/>
      <w:lang w:val="en-US" w:eastAsia="zh-CN" w:bidi="ar-SA"/>
    </w:rPr>
  </w:style>
  <w:style w:type="character" w:customStyle="1" w:styleId="922">
    <w:name w:val="style21"/>
    <w:qFormat/>
    <w:uiPriority w:val="0"/>
    <w:rPr>
      <w:sz w:val="21"/>
      <w:szCs w:val="21"/>
    </w:rPr>
  </w:style>
  <w:style w:type="character" w:customStyle="1" w:styleId="923">
    <w:name w:val="Char Char2"/>
    <w:qFormat/>
    <w:locked/>
    <w:uiPriority w:val="0"/>
    <w:rPr>
      <w:rFonts w:hint="eastAsia" w:ascii="宋体" w:hAnsi="宋体" w:eastAsia="宋体"/>
      <w:kern w:val="2"/>
      <w:sz w:val="21"/>
      <w:szCs w:val="24"/>
      <w:lang w:val="en-US" w:eastAsia="zh-CN" w:bidi="ar-SA"/>
    </w:rPr>
  </w:style>
  <w:style w:type="character" w:customStyle="1" w:styleId="924">
    <w:name w:val="宏文本 Char1"/>
    <w:qFormat/>
    <w:uiPriority w:val="0"/>
    <w:rPr>
      <w:rFonts w:ascii="Courier New" w:hAnsi="Courier New" w:eastAsia="宋体" w:cs="Courier New"/>
      <w:sz w:val="24"/>
      <w:szCs w:val="24"/>
    </w:rPr>
  </w:style>
  <w:style w:type="character" w:customStyle="1" w:styleId="925">
    <w:name w:val="尾注文本 Char1"/>
    <w:qFormat/>
    <w:uiPriority w:val="0"/>
    <w:rPr>
      <w:rFonts w:ascii="Times New Roman" w:hAnsi="Times New Roman" w:eastAsia="宋体" w:cs="Times New Roman"/>
      <w:szCs w:val="24"/>
    </w:rPr>
  </w:style>
  <w:style w:type="character" w:customStyle="1" w:styleId="926">
    <w:name w:val="bfont"/>
    <w:basedOn w:val="89"/>
    <w:qFormat/>
    <w:uiPriority w:val="0"/>
  </w:style>
  <w:style w:type="character" w:customStyle="1" w:styleId="927">
    <w:name w:val="f241"/>
    <w:qFormat/>
    <w:uiPriority w:val="0"/>
    <w:rPr>
      <w:sz w:val="36"/>
      <w:szCs w:val="36"/>
    </w:rPr>
  </w:style>
  <w:style w:type="character" w:customStyle="1" w:styleId="928">
    <w:name w:val="正文1 Char Char Char"/>
    <w:qFormat/>
    <w:uiPriority w:val="0"/>
    <w:rPr>
      <w:rFonts w:hint="eastAsia" w:ascii="仿宋_GB2312" w:eastAsia="仿宋_GB2312"/>
      <w:color w:val="000000"/>
      <w:kern w:val="2"/>
      <w:sz w:val="26"/>
      <w:szCs w:val="26"/>
      <w:u w:color="000000"/>
      <w:lang w:val="en-US" w:eastAsia="zh-CN" w:bidi="ar-SA"/>
    </w:rPr>
  </w:style>
  <w:style w:type="character" w:customStyle="1" w:styleId="929">
    <w:name w:val="列表 Char Char"/>
    <w:qFormat/>
    <w:uiPriority w:val="0"/>
    <w:rPr>
      <w:rFonts w:hint="eastAsia" w:ascii="黑体" w:hAnsi="黑体" w:eastAsia="黑体"/>
      <w:kern w:val="2"/>
      <w:sz w:val="22"/>
      <w:szCs w:val="22"/>
      <w:lang w:val="en-US" w:eastAsia="zh-CN" w:bidi="ar-SA"/>
    </w:rPr>
  </w:style>
  <w:style w:type="character" w:customStyle="1" w:styleId="930">
    <w:name w:val="样式 列表列表 Char Char Char Char列表 Char Char Char Char Char Char Ch...1 Char Char"/>
    <w:qFormat/>
    <w:uiPriority w:val="0"/>
    <w:rPr>
      <w:rFonts w:hint="eastAsia" w:ascii="黑体" w:hAnsi="黑体" w:eastAsia="黑体"/>
      <w:color w:val="000000"/>
      <w:kern w:val="2"/>
      <w:sz w:val="24"/>
      <w:szCs w:val="22"/>
      <w:u w:color="000000"/>
      <w:lang w:val="en-US" w:eastAsia="zh-CN" w:bidi="ar-SA"/>
    </w:rPr>
  </w:style>
  <w:style w:type="character" w:customStyle="1" w:styleId="931">
    <w:name w:val="图片标题 (6)2"/>
    <w:qFormat/>
    <w:uiPriority w:val="0"/>
    <w:rPr>
      <w:rFonts w:ascii="Arial Unicode MS" w:eastAsia="Arial Unicode MS"/>
      <w:spacing w:val="-10"/>
      <w:sz w:val="13"/>
      <w:szCs w:val="13"/>
      <w:u w:val="single"/>
      <w:shd w:val="clear" w:color="auto" w:fill="FFFFFF"/>
      <w:lang w:eastAsia="en-US"/>
    </w:rPr>
  </w:style>
  <w:style w:type="character" w:customStyle="1" w:styleId="932">
    <w:name w:val="11p1"/>
    <w:qFormat/>
    <w:uiPriority w:val="0"/>
    <w:rPr>
      <w:sz w:val="22"/>
      <w:szCs w:val="22"/>
    </w:rPr>
  </w:style>
  <w:style w:type="character" w:customStyle="1" w:styleId="933">
    <w:name w:val="正文文本 + 9 pt1"/>
    <w:qFormat/>
    <w:uiPriority w:val="0"/>
    <w:rPr>
      <w:rFonts w:ascii="Arial Unicode MS" w:eastAsia="Arial Unicode MS" w:cs="Arial Unicode MS"/>
      <w:kern w:val="2"/>
      <w:sz w:val="18"/>
      <w:szCs w:val="18"/>
      <w:u w:val="none"/>
      <w:lang w:val="en-US" w:eastAsia="en-US" w:bidi="ar-SA"/>
    </w:rPr>
  </w:style>
  <w:style w:type="character" w:customStyle="1" w:styleId="934">
    <w:name w:val="二处标题 2 Char1"/>
    <w:qFormat/>
    <w:uiPriority w:val="0"/>
    <w:rPr>
      <w:rFonts w:hint="eastAsia" w:ascii="华文中宋" w:hAnsi="华文中宋" w:eastAsia="华文中宋"/>
      <w:b/>
      <w:kern w:val="2"/>
      <w:sz w:val="32"/>
      <w:szCs w:val="32"/>
      <w:lang w:val="en-US" w:eastAsia="zh-CN" w:bidi="ar-SA"/>
    </w:rPr>
  </w:style>
  <w:style w:type="character" w:customStyle="1" w:styleId="935">
    <w:name w:val="正文文字缩进 2 Char Char"/>
    <w:qFormat/>
    <w:uiPriority w:val="0"/>
    <w:rPr>
      <w:rFonts w:hint="eastAsia" w:ascii="仿宋_GB2312" w:eastAsia="仿宋_GB2312"/>
      <w:kern w:val="2"/>
      <w:sz w:val="28"/>
      <w:lang w:val="en-US" w:eastAsia="zh-CN" w:bidi="ar-SA"/>
    </w:rPr>
  </w:style>
  <w:style w:type="character" w:customStyle="1" w:styleId="936">
    <w:name w:val="apple-style-span"/>
    <w:basedOn w:val="89"/>
    <w:qFormat/>
    <w:uiPriority w:val="0"/>
  </w:style>
  <w:style w:type="character" w:customStyle="1" w:styleId="937">
    <w:name w:val="正文文本 + SimSun19"/>
    <w:qFormat/>
    <w:uiPriority w:val="0"/>
    <w:rPr>
      <w:rFonts w:ascii="宋体" w:hAnsi="宋体" w:eastAsia="Arial Unicode MS" w:cs="宋体"/>
      <w:kern w:val="2"/>
      <w:sz w:val="16"/>
      <w:szCs w:val="16"/>
      <w:u w:val="none"/>
      <w:lang w:val="en-US" w:eastAsia="zh-CN" w:bidi="ar-SA"/>
    </w:rPr>
  </w:style>
  <w:style w:type="character" w:customStyle="1" w:styleId="938">
    <w:name w:val="正文文本 (12)"/>
    <w:basedOn w:val="939"/>
    <w:qFormat/>
    <w:uiPriority w:val="0"/>
    <w:rPr>
      <w:rFonts w:ascii="Arial Unicode MS" w:eastAsia="Arial Unicode MS"/>
      <w:spacing w:val="-20"/>
      <w:sz w:val="8"/>
      <w:szCs w:val="8"/>
      <w:shd w:val="clear" w:color="auto" w:fill="FFFFFF"/>
    </w:rPr>
  </w:style>
  <w:style w:type="character" w:customStyle="1" w:styleId="939">
    <w:name w:val="正文文本 (12)_"/>
    <w:link w:val="940"/>
    <w:qFormat/>
    <w:uiPriority w:val="0"/>
    <w:rPr>
      <w:rFonts w:ascii="Arial Unicode MS" w:eastAsia="Arial Unicode MS"/>
      <w:i/>
      <w:iCs/>
      <w:spacing w:val="-20"/>
      <w:sz w:val="8"/>
      <w:szCs w:val="8"/>
      <w:shd w:val="clear" w:color="auto" w:fill="FFFFFF"/>
    </w:rPr>
  </w:style>
  <w:style w:type="paragraph" w:customStyle="1" w:styleId="940">
    <w:name w:val="正文文本 (12)1"/>
    <w:basedOn w:val="1"/>
    <w:link w:val="939"/>
    <w:qFormat/>
    <w:uiPriority w:val="0"/>
    <w:pPr>
      <w:shd w:val="clear" w:color="auto" w:fill="FFFFFF"/>
      <w:spacing w:after="1800" w:line="240" w:lineRule="atLeast"/>
      <w:jc w:val="distribute"/>
    </w:pPr>
    <w:rPr>
      <w:rFonts w:ascii="Arial Unicode MS" w:eastAsia="Arial Unicode MS" w:hAnsiTheme="minorHAnsi" w:cstheme="minorBidi"/>
      <w:i/>
      <w:iCs/>
      <w:spacing w:val="-20"/>
      <w:kern w:val="0"/>
      <w:sz w:val="8"/>
      <w:szCs w:val="8"/>
    </w:rPr>
  </w:style>
  <w:style w:type="character" w:customStyle="1" w:styleId="941">
    <w:name w:val="样式 图形标题 + (西文) 宋体 (中文) 宋体 小四 加粗 Char"/>
    <w:qFormat/>
    <w:uiPriority w:val="0"/>
    <w:rPr>
      <w:rFonts w:ascii="黑体" w:hAnsi="黑体" w:eastAsia="黑体"/>
      <w:bCs/>
      <w:spacing w:val="10"/>
      <w:kern w:val="2"/>
      <w:sz w:val="24"/>
      <w:szCs w:val="24"/>
      <w:lang w:val="en-US" w:eastAsia="zh-CN" w:bidi="ar-SA"/>
    </w:rPr>
  </w:style>
  <w:style w:type="character" w:customStyle="1" w:styleId="942">
    <w:name w:val="样式 题注 + (西文) Times New Roman 小四 加粗 Char"/>
    <w:link w:val="943"/>
    <w:qFormat/>
    <w:uiPriority w:val="0"/>
    <w:rPr>
      <w:rFonts w:eastAsia="宋体"/>
      <w:bCs/>
      <w:kern w:val="2"/>
      <w:sz w:val="24"/>
      <w:szCs w:val="22"/>
    </w:rPr>
  </w:style>
  <w:style w:type="paragraph" w:customStyle="1" w:styleId="943">
    <w:name w:val="样式 题注 + (西文) Times New Roman 小四 加粗"/>
    <w:basedOn w:val="24"/>
    <w:link w:val="942"/>
    <w:qFormat/>
    <w:uiPriority w:val="0"/>
    <w:pPr>
      <w:spacing w:before="0" w:line="500" w:lineRule="exact"/>
      <w:jc w:val="center"/>
    </w:pPr>
    <w:rPr>
      <w:rFonts w:eastAsia="宋体" w:asciiTheme="minorHAnsi" w:hAnsiTheme="minorHAnsi" w:cstheme="minorBidi"/>
      <w:bCs/>
      <w:snapToGrid/>
      <w:kern w:val="2"/>
      <w:szCs w:val="22"/>
    </w:rPr>
  </w:style>
  <w:style w:type="character" w:customStyle="1" w:styleId="944">
    <w:name w:val="样式 正文文本缩进 2正文文字缩进 2表标题 + 加粗 黑色 Char"/>
    <w:link w:val="945"/>
    <w:qFormat/>
    <w:uiPriority w:val="0"/>
    <w:rPr>
      <w:rFonts w:ascii="Calibri" w:hAnsi="Calibri" w:eastAsia="宋体" w:cs="Times New Roman"/>
      <w:bCs/>
      <w:color w:val="000000"/>
      <w:kern w:val="2"/>
      <w:sz w:val="21"/>
      <w:szCs w:val="24"/>
      <w:lang w:eastAsia="en-US" w:bidi="en-US"/>
    </w:rPr>
  </w:style>
  <w:style w:type="paragraph" w:customStyle="1" w:styleId="945">
    <w:name w:val="样式 正文文本缩进 2正文文字缩进 2表标题 + 加粗 黑色"/>
    <w:basedOn w:val="51"/>
    <w:link w:val="944"/>
    <w:qFormat/>
    <w:uiPriority w:val="0"/>
    <w:pPr>
      <w:adjustRightInd w:val="0"/>
      <w:snapToGrid w:val="0"/>
      <w:spacing w:line="500" w:lineRule="exact"/>
      <w:ind w:firstLine="0"/>
      <w:jc w:val="center"/>
    </w:pPr>
    <w:rPr>
      <w:rFonts w:ascii="Calibri" w:hAnsi="Calibri" w:eastAsia="宋体" w:cs="Times New Roman"/>
      <w:bCs/>
      <w:color w:val="000000"/>
      <w:kern w:val="2"/>
      <w:sz w:val="21"/>
      <w:szCs w:val="24"/>
      <w:lang w:eastAsia="en-US" w:bidi="en-US"/>
    </w:rPr>
  </w:style>
  <w:style w:type="character" w:customStyle="1" w:styleId="946">
    <w:name w:val="样式 (中文) 黑体 加粗"/>
    <w:qFormat/>
    <w:uiPriority w:val="0"/>
    <w:rPr>
      <w:rFonts w:ascii="Times New Roman" w:hAnsi="Times New Roman" w:eastAsia="宋体"/>
      <w:bCs/>
      <w:sz w:val="24"/>
    </w:rPr>
  </w:style>
  <w:style w:type="character" w:customStyle="1" w:styleId="947">
    <w:name w:val="普通文字 Char2"/>
    <w:qFormat/>
    <w:uiPriority w:val="0"/>
    <w:rPr>
      <w:rFonts w:ascii="宋体" w:hAnsi="Courier New" w:eastAsia="宋体" w:cs="Courier New"/>
      <w:kern w:val="2"/>
      <w:sz w:val="21"/>
      <w:szCs w:val="21"/>
      <w:lang w:val="en-US" w:eastAsia="zh-CN" w:bidi="ar-SA"/>
    </w:rPr>
  </w:style>
  <w:style w:type="character" w:customStyle="1" w:styleId="948">
    <w:name w:val="标题 5 Char2"/>
    <w:qFormat/>
    <w:uiPriority w:val="0"/>
    <w:rPr>
      <w:rFonts w:ascii="Times New Roman" w:hAnsi="Times New Roman" w:eastAsia="宋体" w:cs="Times New Roman"/>
      <w:b/>
      <w:bCs/>
      <w:sz w:val="28"/>
      <w:szCs w:val="28"/>
    </w:rPr>
  </w:style>
  <w:style w:type="character" w:customStyle="1" w:styleId="949">
    <w:name w:val="正文文本 (11) + 4 pt"/>
    <w:qFormat/>
    <w:uiPriority w:val="0"/>
    <w:rPr>
      <w:rFonts w:ascii="Arial Unicode MS" w:eastAsia="Arial Unicode MS"/>
      <w:spacing w:val="-20"/>
      <w:sz w:val="8"/>
      <w:szCs w:val="8"/>
      <w:shd w:val="clear" w:color="auto" w:fill="FFFFFF"/>
      <w:lang w:eastAsia="en-US"/>
    </w:rPr>
  </w:style>
  <w:style w:type="character" w:customStyle="1" w:styleId="950">
    <w:name w:val="Char Char15"/>
    <w:qFormat/>
    <w:uiPriority w:val="0"/>
    <w:rPr>
      <w:kern w:val="2"/>
      <w:lang w:eastAsia="zh-CN"/>
    </w:rPr>
  </w:style>
  <w:style w:type="character" w:customStyle="1" w:styleId="951">
    <w:name w:val="新正文 Char"/>
    <w:link w:val="952"/>
    <w:qFormat/>
    <w:uiPriority w:val="0"/>
    <w:rPr>
      <w:rFonts w:ascii="仿宋_GB2312" w:eastAsia="仿宋_GB2312"/>
      <w:bCs/>
      <w:sz w:val="28"/>
    </w:rPr>
  </w:style>
  <w:style w:type="paragraph" w:customStyle="1" w:styleId="952">
    <w:name w:val="新正文"/>
    <w:basedOn w:val="1"/>
    <w:link w:val="951"/>
    <w:qFormat/>
    <w:uiPriority w:val="0"/>
    <w:pPr>
      <w:spacing w:line="480" w:lineRule="exact"/>
      <w:ind w:firstLine="567"/>
    </w:pPr>
    <w:rPr>
      <w:rFonts w:ascii="仿宋_GB2312" w:eastAsia="仿宋_GB2312" w:hAnsiTheme="minorHAnsi" w:cstheme="minorBidi"/>
      <w:bCs/>
      <w:kern w:val="0"/>
      <w:sz w:val="28"/>
    </w:rPr>
  </w:style>
  <w:style w:type="character" w:customStyle="1" w:styleId="953">
    <w:name w:val="标题 #3 (5) + Times New Roman1"/>
    <w:qFormat/>
    <w:uiPriority w:val="0"/>
    <w:rPr>
      <w:rFonts w:ascii="Times New Roman" w:hAnsi="Times New Roman" w:cs="Times New Roman"/>
      <w:b/>
      <w:bCs/>
      <w:spacing w:val="0"/>
      <w:sz w:val="27"/>
      <w:szCs w:val="27"/>
      <w:shd w:val="clear" w:color="auto" w:fill="FFFFFF"/>
      <w:lang w:val="en-US" w:eastAsia="en-US"/>
    </w:rPr>
  </w:style>
  <w:style w:type="character" w:customStyle="1" w:styleId="954">
    <w:name w:val="样式 标题 1h1H1PIM 1标书11.标题 1Section HeadHeader11st levell1...1 Char"/>
    <w:link w:val="955"/>
    <w:qFormat/>
    <w:uiPriority w:val="0"/>
    <w:rPr>
      <w:rFonts w:ascii="黑体" w:eastAsia="黑体"/>
      <w:b/>
      <w:bCs/>
      <w:snapToGrid w:val="0"/>
      <w:kern w:val="44"/>
      <w:sz w:val="30"/>
    </w:rPr>
  </w:style>
  <w:style w:type="paragraph" w:customStyle="1" w:styleId="955">
    <w:name w:val="样式 标题 1h1H1PIM 1标书11.标题 1Section HeadHeader11st levell1...1"/>
    <w:basedOn w:val="5"/>
    <w:link w:val="954"/>
    <w:qFormat/>
    <w:uiPriority w:val="0"/>
    <w:pPr>
      <w:spacing w:before="120" w:after="120" w:line="500" w:lineRule="exact"/>
    </w:pPr>
    <w:rPr>
      <w:rFonts w:ascii="黑体" w:eastAsia="黑体"/>
      <w:snapToGrid w:val="0"/>
      <w:sz w:val="30"/>
      <w:szCs w:val="20"/>
    </w:rPr>
  </w:style>
  <w:style w:type="character" w:customStyle="1" w:styleId="956">
    <w:name w:val="正文格式 Char"/>
    <w:link w:val="957"/>
    <w:qFormat/>
    <w:uiPriority w:val="0"/>
    <w:rPr>
      <w:rFonts w:ascii="宋体" w:cs="宋体"/>
      <w:kern w:val="2"/>
      <w:sz w:val="24"/>
      <w:szCs w:val="24"/>
    </w:rPr>
  </w:style>
  <w:style w:type="paragraph" w:customStyle="1" w:styleId="957">
    <w:name w:val="正文格式"/>
    <w:basedOn w:val="1"/>
    <w:link w:val="956"/>
    <w:qFormat/>
    <w:uiPriority w:val="0"/>
    <w:pPr>
      <w:spacing w:line="360" w:lineRule="auto"/>
      <w:ind w:firstLine="482"/>
    </w:pPr>
    <w:rPr>
      <w:rFonts w:ascii="宋体" w:cs="宋体" w:hAnsiTheme="minorHAnsi" w:eastAsiaTheme="minorEastAsia"/>
      <w:sz w:val="24"/>
      <w:szCs w:val="24"/>
    </w:rPr>
  </w:style>
  <w:style w:type="character" w:customStyle="1" w:styleId="958">
    <w:name w:val="lyy的正文模板"/>
    <w:qFormat/>
    <w:uiPriority w:val="0"/>
    <w:rPr>
      <w:color w:val="000000"/>
      <w:sz w:val="24"/>
    </w:rPr>
  </w:style>
  <w:style w:type="character" w:customStyle="1" w:styleId="959">
    <w:name w:val="明显强调21"/>
    <w:qFormat/>
    <w:uiPriority w:val="0"/>
    <w:rPr>
      <w:rFonts w:cs="Times New Roman"/>
      <w:b/>
      <w:bCs/>
      <w:i/>
      <w:iCs/>
      <w:color w:val="4F81BD"/>
    </w:rPr>
  </w:style>
  <w:style w:type="character" w:customStyle="1" w:styleId="960">
    <w:name w:val="样式 标题 2标题21.11.1标题 2节标题 1.1b2SeHead wsa2 CharHead wsa2节... Char"/>
    <w:link w:val="961"/>
    <w:qFormat/>
    <w:uiPriority w:val="0"/>
    <w:rPr>
      <w:rFonts w:hAnsi="Arial" w:eastAsia="黑体"/>
      <w:b/>
      <w:bCs/>
      <w:color w:val="FF0000"/>
      <w:kern w:val="2"/>
      <w:sz w:val="32"/>
      <w:szCs w:val="32"/>
    </w:rPr>
  </w:style>
  <w:style w:type="paragraph" w:customStyle="1" w:styleId="961">
    <w:name w:val="样式 标题 2标题21.11.1标题 2节标题 1.1b2SeHead wsa2 CharHead wsa2节..."/>
    <w:basedOn w:val="6"/>
    <w:link w:val="960"/>
    <w:qFormat/>
    <w:uiPriority w:val="0"/>
    <w:pPr>
      <w:keepNext w:val="0"/>
      <w:keepLines w:val="0"/>
      <w:tabs>
        <w:tab w:val="left" w:pos="360"/>
      </w:tabs>
      <w:adjustRightInd w:val="0"/>
      <w:snapToGrid w:val="0"/>
      <w:spacing w:before="120" w:after="0" w:line="240" w:lineRule="auto"/>
      <w:ind w:left="360" w:hanging="420"/>
      <w:jc w:val="left"/>
    </w:pPr>
    <w:rPr>
      <w:rFonts w:asciiTheme="minorHAnsi"/>
      <w:color w:val="FF0000"/>
      <w:kern w:val="2"/>
    </w:rPr>
  </w:style>
  <w:style w:type="character" w:customStyle="1" w:styleId="962">
    <w:name w:val="正文文本 (7) + 4.5 pt2"/>
    <w:qFormat/>
    <w:uiPriority w:val="0"/>
    <w:rPr>
      <w:rFonts w:ascii="Arial Unicode MS" w:eastAsia="Arial Unicode MS" w:cs="Arial Unicode MS"/>
      <w:i/>
      <w:iCs/>
      <w:spacing w:val="-20"/>
      <w:sz w:val="9"/>
      <w:szCs w:val="9"/>
      <w:u w:val="none"/>
      <w:shd w:val="clear" w:color="auto" w:fill="FFFFFF"/>
      <w:lang w:val="en-US" w:eastAsia="zh-CN"/>
    </w:rPr>
  </w:style>
  <w:style w:type="character" w:customStyle="1" w:styleId="963">
    <w:name w:val="hangju"/>
    <w:basedOn w:val="89"/>
    <w:qFormat/>
    <w:uiPriority w:val="0"/>
  </w:style>
  <w:style w:type="character" w:customStyle="1" w:styleId="964">
    <w:name w:val="ourfont3"/>
    <w:basedOn w:val="89"/>
    <w:qFormat/>
    <w:uiPriority w:val="0"/>
  </w:style>
  <w:style w:type="character" w:customStyle="1" w:styleId="965">
    <w:name w:val="style81"/>
    <w:qFormat/>
    <w:uiPriority w:val="0"/>
    <w:rPr>
      <w:sz w:val="15"/>
      <w:szCs w:val="15"/>
    </w:rPr>
  </w:style>
  <w:style w:type="character" w:customStyle="1" w:styleId="966">
    <w:name w:val="w"/>
    <w:basedOn w:val="89"/>
    <w:qFormat/>
    <w:uiPriority w:val="0"/>
  </w:style>
  <w:style w:type="character" w:customStyle="1" w:styleId="967">
    <w:name w:val="样式 标题三级 + Char"/>
    <w:link w:val="968"/>
    <w:qFormat/>
    <w:uiPriority w:val="0"/>
    <w:rPr>
      <w:rFonts w:eastAsia="黑体" w:cs="宋体"/>
      <w:kern w:val="2"/>
      <w:sz w:val="28"/>
    </w:rPr>
  </w:style>
  <w:style w:type="paragraph" w:customStyle="1" w:styleId="968">
    <w:name w:val="样式 标题三级 +"/>
    <w:basedOn w:val="1"/>
    <w:link w:val="967"/>
    <w:qFormat/>
    <w:uiPriority w:val="0"/>
    <w:pPr>
      <w:keepNext/>
      <w:keepLines/>
      <w:widowControl/>
      <w:spacing w:line="360" w:lineRule="auto"/>
      <w:jc w:val="left"/>
      <w:outlineLvl w:val="2"/>
    </w:pPr>
    <w:rPr>
      <w:rFonts w:eastAsia="黑体" w:cs="宋体" w:asciiTheme="minorHAnsi" w:hAnsiTheme="minorHAnsi"/>
      <w:sz w:val="28"/>
    </w:rPr>
  </w:style>
  <w:style w:type="character" w:customStyle="1" w:styleId="969">
    <w:name w:val="reflink plainlinksneverexpand"/>
    <w:basedOn w:val="89"/>
    <w:qFormat/>
    <w:uiPriority w:val="0"/>
  </w:style>
  <w:style w:type="character" w:customStyle="1" w:styleId="970">
    <w:name w:val="正文文本 + 间距 1 pt"/>
    <w:qFormat/>
    <w:uiPriority w:val="0"/>
    <w:rPr>
      <w:rFonts w:ascii="Arial Unicode MS" w:eastAsia="Arial Unicode MS" w:cs="Arial Unicode MS"/>
      <w:spacing w:val="30"/>
      <w:sz w:val="22"/>
      <w:szCs w:val="22"/>
      <w:u w:val="none"/>
    </w:rPr>
  </w:style>
  <w:style w:type="character" w:customStyle="1" w:styleId="971">
    <w:name w:val="目录 + SimSun1"/>
    <w:qFormat/>
    <w:uiPriority w:val="0"/>
    <w:rPr>
      <w:rFonts w:ascii="宋体" w:hAnsi="宋体" w:eastAsia="Arial Unicode MS" w:cs="宋体"/>
      <w:b/>
      <w:bCs/>
      <w:sz w:val="20"/>
      <w:szCs w:val="20"/>
      <w:u w:val="none"/>
    </w:rPr>
  </w:style>
  <w:style w:type="character" w:customStyle="1" w:styleId="972">
    <w:name w:val="表格标题 + 10.5 pt6"/>
    <w:qFormat/>
    <w:uiPriority w:val="0"/>
    <w:rPr>
      <w:rFonts w:ascii="Arial Unicode MS" w:eastAsia="Arial Unicode MS" w:cs="Arial Unicode MS"/>
      <w:sz w:val="21"/>
      <w:szCs w:val="21"/>
      <w:u w:val="none"/>
      <w:lang w:val="en-US" w:eastAsia="en-US"/>
    </w:rPr>
  </w:style>
  <w:style w:type="character" w:customStyle="1" w:styleId="973">
    <w:name w:val="正文文本 + Times New Roman14"/>
    <w:qFormat/>
    <w:uiPriority w:val="0"/>
    <w:rPr>
      <w:rFonts w:ascii="Times New Roman" w:hAnsi="Times New Roman" w:eastAsia="Arial Unicode MS" w:cs="Times New Roman"/>
      <w:sz w:val="20"/>
      <w:szCs w:val="20"/>
      <w:u w:val="none"/>
      <w:lang w:val="en-US" w:eastAsia="en-US"/>
    </w:rPr>
  </w:style>
  <w:style w:type="character" w:customStyle="1" w:styleId="974">
    <w:name w:val="正文文本 + 间距 1 pt4"/>
    <w:qFormat/>
    <w:uiPriority w:val="0"/>
    <w:rPr>
      <w:rFonts w:ascii="Arial Unicode MS" w:eastAsia="Arial Unicode MS" w:cs="Arial Unicode MS"/>
      <w:spacing w:val="30"/>
      <w:sz w:val="22"/>
      <w:szCs w:val="22"/>
      <w:u w:val="none"/>
    </w:rPr>
  </w:style>
  <w:style w:type="character" w:customStyle="1" w:styleId="975">
    <w:name w:val="标题 #4 + Times New Roman1"/>
    <w:qFormat/>
    <w:uiPriority w:val="0"/>
    <w:rPr>
      <w:rFonts w:ascii="Times New Roman" w:hAnsi="Times New Roman" w:eastAsia="Arial Unicode MS" w:cs="Times New Roman"/>
      <w:sz w:val="20"/>
      <w:szCs w:val="20"/>
      <w:u w:val="none"/>
      <w:shd w:val="clear" w:color="auto" w:fill="FFFFFF"/>
      <w:lang w:val="en-US" w:eastAsia="zh-CN"/>
    </w:rPr>
  </w:style>
  <w:style w:type="character" w:customStyle="1" w:styleId="976">
    <w:name w:val="标题 #4 + 10.5 pt"/>
    <w:qFormat/>
    <w:uiPriority w:val="0"/>
    <w:rPr>
      <w:rFonts w:ascii="Arial Unicode MS" w:eastAsia="Arial Unicode MS"/>
      <w:sz w:val="21"/>
      <w:szCs w:val="21"/>
      <w:shd w:val="clear" w:color="auto" w:fill="FFFFFF"/>
      <w:lang w:val="en-US" w:eastAsia="en-US"/>
    </w:rPr>
  </w:style>
  <w:style w:type="character" w:customStyle="1" w:styleId="977">
    <w:name w:val="正文文本 + Times New Roman11"/>
    <w:qFormat/>
    <w:uiPriority w:val="0"/>
    <w:rPr>
      <w:rFonts w:ascii="Times New Roman" w:hAnsi="Times New Roman" w:eastAsia="Arial Unicode MS" w:cs="Times New Roman"/>
      <w:sz w:val="20"/>
      <w:szCs w:val="20"/>
      <w:u w:val="none"/>
      <w:lang w:val="en-US" w:eastAsia="en-US"/>
    </w:rPr>
  </w:style>
  <w:style w:type="character" w:customStyle="1" w:styleId="978">
    <w:name w:val="标题 #4 (2) + 11 pt"/>
    <w:qFormat/>
    <w:uiPriority w:val="0"/>
    <w:rPr>
      <w:rFonts w:ascii="Arial Unicode MS" w:eastAsia="Arial Unicode MS"/>
      <w:sz w:val="22"/>
      <w:szCs w:val="22"/>
      <w:shd w:val="clear" w:color="auto" w:fill="FFFFFF"/>
    </w:rPr>
  </w:style>
  <w:style w:type="character" w:customStyle="1" w:styleId="979">
    <w:name w:val="正文文本 + SimSun22"/>
    <w:qFormat/>
    <w:uiPriority w:val="0"/>
    <w:rPr>
      <w:rFonts w:ascii="宋体" w:hAnsi="宋体" w:eastAsia="Arial Unicode MS" w:cs="宋体"/>
      <w:sz w:val="20"/>
      <w:szCs w:val="20"/>
      <w:u w:val="none"/>
    </w:rPr>
  </w:style>
  <w:style w:type="character" w:customStyle="1" w:styleId="980">
    <w:name w:val="正文文本 + 18 pt"/>
    <w:qFormat/>
    <w:uiPriority w:val="0"/>
    <w:rPr>
      <w:rFonts w:ascii="Arial Unicode MS" w:eastAsia="Arial Unicode MS" w:cs="Arial Unicode MS"/>
      <w:i/>
      <w:iCs/>
      <w:spacing w:val="850"/>
      <w:kern w:val="2"/>
      <w:sz w:val="36"/>
      <w:szCs w:val="36"/>
      <w:u w:val="none"/>
      <w:lang w:val="en-US" w:eastAsia="zh-CN" w:bidi="ar-SA"/>
    </w:rPr>
  </w:style>
  <w:style w:type="character" w:customStyle="1" w:styleId="981">
    <w:name w:val="正文文本 (5) + Times New Roman2"/>
    <w:qFormat/>
    <w:uiPriority w:val="0"/>
    <w:rPr>
      <w:rFonts w:ascii="Times New Roman" w:hAnsi="Times New Roman" w:cs="Times New Roman"/>
      <w:b/>
      <w:bCs/>
      <w:spacing w:val="4"/>
      <w:sz w:val="22"/>
      <w:szCs w:val="22"/>
      <w:shd w:val="clear" w:color="auto" w:fill="FFFFFF"/>
      <w:lang w:val="en-US" w:eastAsia="zh-CN"/>
    </w:rPr>
  </w:style>
  <w:style w:type="character" w:customStyle="1" w:styleId="982">
    <w:name w:val="正文文本 + 5.5 pt6"/>
    <w:qFormat/>
    <w:uiPriority w:val="0"/>
    <w:rPr>
      <w:rFonts w:ascii="Arial Unicode MS" w:eastAsia="Arial Unicode MS" w:cs="Arial Unicode MS"/>
      <w:sz w:val="11"/>
      <w:szCs w:val="11"/>
      <w:u w:val="none"/>
    </w:rPr>
  </w:style>
  <w:style w:type="character" w:customStyle="1" w:styleId="983">
    <w:name w:val="正文文本 + 9.5 pt7"/>
    <w:qFormat/>
    <w:uiPriority w:val="0"/>
    <w:rPr>
      <w:rFonts w:ascii="Arial Unicode MS" w:eastAsia="Arial Unicode MS" w:cs="Arial Unicode MS"/>
      <w:b/>
      <w:bCs/>
      <w:sz w:val="19"/>
      <w:szCs w:val="19"/>
      <w:u w:val="none"/>
      <w:lang w:val="en-US" w:eastAsia="en-US"/>
    </w:rPr>
  </w:style>
  <w:style w:type="character" w:customStyle="1" w:styleId="984">
    <w:name w:val="图片标题 + 11 pt3"/>
    <w:qFormat/>
    <w:uiPriority w:val="0"/>
    <w:rPr>
      <w:rFonts w:ascii="Arial Unicode MS" w:eastAsia="Arial Unicode MS"/>
      <w:sz w:val="22"/>
      <w:szCs w:val="22"/>
      <w:shd w:val="clear" w:color="auto" w:fill="FFFFFF"/>
      <w:lang w:eastAsia="en-US"/>
    </w:rPr>
  </w:style>
  <w:style w:type="character" w:customStyle="1" w:styleId="985">
    <w:name w:val="正文文本 (6)_"/>
    <w:link w:val="986"/>
    <w:qFormat/>
    <w:uiPriority w:val="0"/>
    <w:rPr>
      <w:rFonts w:ascii="宋体" w:hAnsi="宋体"/>
      <w:sz w:val="29"/>
      <w:szCs w:val="29"/>
      <w:shd w:val="clear" w:color="auto" w:fill="FFFFFF"/>
    </w:rPr>
  </w:style>
  <w:style w:type="paragraph" w:customStyle="1" w:styleId="986">
    <w:name w:val="正文文本 (6)"/>
    <w:basedOn w:val="1"/>
    <w:link w:val="985"/>
    <w:qFormat/>
    <w:uiPriority w:val="0"/>
    <w:pPr>
      <w:shd w:val="clear" w:color="auto" w:fill="FFFFFF"/>
      <w:spacing w:before="300" w:after="240" w:line="240" w:lineRule="atLeast"/>
      <w:jc w:val="left"/>
    </w:pPr>
    <w:rPr>
      <w:rFonts w:ascii="宋体" w:hAnsi="宋体" w:eastAsiaTheme="minorEastAsia" w:cstheme="minorBidi"/>
      <w:kern w:val="0"/>
      <w:sz w:val="29"/>
      <w:szCs w:val="29"/>
    </w:rPr>
  </w:style>
  <w:style w:type="character" w:customStyle="1" w:styleId="987">
    <w:name w:val="标题 #3_"/>
    <w:link w:val="988"/>
    <w:qFormat/>
    <w:uiPriority w:val="0"/>
    <w:rPr>
      <w:rFonts w:ascii="宋体" w:hAnsi="宋体"/>
      <w:b/>
      <w:bCs/>
      <w:spacing w:val="-10"/>
      <w:sz w:val="25"/>
      <w:szCs w:val="25"/>
      <w:shd w:val="clear" w:color="auto" w:fill="FFFFFF"/>
    </w:rPr>
  </w:style>
  <w:style w:type="paragraph" w:customStyle="1" w:styleId="988">
    <w:name w:val="标题 #3"/>
    <w:basedOn w:val="1"/>
    <w:link w:val="987"/>
    <w:qFormat/>
    <w:uiPriority w:val="0"/>
    <w:pPr>
      <w:shd w:val="clear" w:color="auto" w:fill="FFFFFF"/>
      <w:spacing w:line="456" w:lineRule="exact"/>
      <w:ind w:hanging="480"/>
      <w:jc w:val="left"/>
      <w:outlineLvl w:val="2"/>
    </w:pPr>
    <w:rPr>
      <w:rFonts w:ascii="宋体" w:hAnsi="宋体" w:eastAsiaTheme="minorEastAsia" w:cstheme="minorBidi"/>
      <w:b/>
      <w:bCs/>
      <w:spacing w:val="-10"/>
      <w:kern w:val="0"/>
      <w:sz w:val="25"/>
      <w:szCs w:val="25"/>
    </w:rPr>
  </w:style>
  <w:style w:type="character" w:customStyle="1" w:styleId="989">
    <w:name w:val="标题 #3 + Arial Unicode MS1"/>
    <w:qFormat/>
    <w:uiPriority w:val="0"/>
    <w:rPr>
      <w:rFonts w:ascii="Arial Unicode MS" w:hAnsi="宋体" w:eastAsia="Arial Unicode MS" w:cs="Arial Unicode MS"/>
      <w:b/>
      <w:bCs/>
      <w:spacing w:val="0"/>
      <w:sz w:val="33"/>
      <w:szCs w:val="33"/>
      <w:u w:val="none"/>
      <w:shd w:val="clear" w:color="auto" w:fill="FFFFFF"/>
      <w:lang w:val="en-US" w:eastAsia="zh-CN"/>
    </w:rPr>
  </w:style>
  <w:style w:type="character" w:customStyle="1" w:styleId="990">
    <w:name w:val="正文文本 (6) Exact1"/>
    <w:qFormat/>
    <w:uiPriority w:val="0"/>
    <w:rPr>
      <w:rFonts w:ascii="宋体" w:hAnsi="宋体" w:cs="宋体"/>
      <w:spacing w:val="-7"/>
      <w:sz w:val="28"/>
      <w:szCs w:val="28"/>
      <w:u w:val="none"/>
      <w:shd w:val="clear" w:color="auto" w:fill="FFFFFF"/>
    </w:rPr>
  </w:style>
  <w:style w:type="character" w:customStyle="1" w:styleId="991">
    <w:name w:val="正文文本 (6) + Times New Roman4"/>
    <w:qFormat/>
    <w:uiPriority w:val="0"/>
    <w:rPr>
      <w:rFonts w:ascii="Times New Roman" w:hAnsi="Times New Roman" w:cs="Times New Roman"/>
      <w:b/>
      <w:bCs/>
      <w:spacing w:val="5"/>
      <w:sz w:val="25"/>
      <w:szCs w:val="25"/>
      <w:u w:val="none"/>
      <w:shd w:val="clear" w:color="auto" w:fill="FFFFFF"/>
      <w:lang w:val="en-US" w:eastAsia="en-US"/>
    </w:rPr>
  </w:style>
  <w:style w:type="character" w:customStyle="1" w:styleId="992">
    <w:name w:val="标题 #2_"/>
    <w:link w:val="993"/>
    <w:qFormat/>
    <w:uiPriority w:val="0"/>
    <w:rPr>
      <w:rFonts w:ascii="宋体" w:hAnsi="宋体"/>
      <w:sz w:val="29"/>
      <w:szCs w:val="29"/>
      <w:shd w:val="clear" w:color="auto" w:fill="FFFFFF"/>
    </w:rPr>
  </w:style>
  <w:style w:type="paragraph" w:customStyle="1" w:styleId="993">
    <w:name w:val="标题 #2"/>
    <w:basedOn w:val="1"/>
    <w:link w:val="992"/>
    <w:qFormat/>
    <w:uiPriority w:val="0"/>
    <w:pPr>
      <w:shd w:val="clear" w:color="auto" w:fill="FFFFFF"/>
      <w:spacing w:line="638" w:lineRule="exact"/>
      <w:ind w:hanging="280"/>
      <w:jc w:val="left"/>
      <w:outlineLvl w:val="1"/>
    </w:pPr>
    <w:rPr>
      <w:rFonts w:ascii="宋体" w:hAnsi="宋体" w:eastAsiaTheme="minorEastAsia" w:cstheme="minorBidi"/>
      <w:kern w:val="0"/>
      <w:sz w:val="29"/>
      <w:szCs w:val="29"/>
    </w:rPr>
  </w:style>
  <w:style w:type="character" w:customStyle="1" w:styleId="994">
    <w:name w:val="正文文本 (7)_"/>
    <w:link w:val="995"/>
    <w:qFormat/>
    <w:uiPriority w:val="0"/>
    <w:rPr>
      <w:rFonts w:ascii="Arial Unicode MS" w:eastAsia="Arial Unicode MS"/>
      <w:sz w:val="21"/>
      <w:szCs w:val="21"/>
      <w:shd w:val="clear" w:color="auto" w:fill="FFFFFF"/>
      <w:lang w:eastAsia="en-US"/>
    </w:rPr>
  </w:style>
  <w:style w:type="paragraph" w:customStyle="1" w:styleId="995">
    <w:name w:val="正文文本 (7)1"/>
    <w:basedOn w:val="1"/>
    <w:link w:val="994"/>
    <w:qFormat/>
    <w:uiPriority w:val="0"/>
    <w:pPr>
      <w:shd w:val="clear" w:color="auto" w:fill="FFFFFF"/>
      <w:spacing w:line="456" w:lineRule="exact"/>
      <w:jc w:val="left"/>
    </w:pPr>
    <w:rPr>
      <w:rFonts w:ascii="Arial Unicode MS" w:eastAsia="Arial Unicode MS" w:hAnsiTheme="minorHAnsi" w:cstheme="minorBidi"/>
      <w:kern w:val="0"/>
      <w:szCs w:val="21"/>
      <w:lang w:eastAsia="en-US"/>
    </w:rPr>
  </w:style>
  <w:style w:type="character" w:customStyle="1" w:styleId="996">
    <w:name w:val="标题 #2 + 间距 0 pt"/>
    <w:qFormat/>
    <w:uiPriority w:val="0"/>
    <w:rPr>
      <w:rFonts w:ascii="宋体" w:hAnsi="宋体"/>
      <w:spacing w:val="-10"/>
      <w:sz w:val="29"/>
      <w:szCs w:val="29"/>
      <w:shd w:val="clear" w:color="auto" w:fill="FFFFFF"/>
    </w:rPr>
  </w:style>
  <w:style w:type="character" w:customStyle="1" w:styleId="997">
    <w:name w:val="正文文本 (7) + 10.5 pt3"/>
    <w:basedOn w:val="994"/>
    <w:qFormat/>
    <w:uiPriority w:val="0"/>
    <w:rPr>
      <w:rFonts w:ascii="Arial Unicode MS" w:eastAsia="Arial Unicode MS"/>
      <w:sz w:val="21"/>
      <w:szCs w:val="21"/>
      <w:shd w:val="clear" w:color="auto" w:fill="FFFFFF"/>
      <w:lang w:eastAsia="en-US"/>
    </w:rPr>
  </w:style>
  <w:style w:type="character" w:customStyle="1" w:styleId="998">
    <w:name w:val="正文文本 (7) + SimSun1"/>
    <w:qFormat/>
    <w:uiPriority w:val="0"/>
    <w:rPr>
      <w:rFonts w:ascii="宋体" w:hAnsi="宋体" w:eastAsia="Arial Unicode MS" w:cs="宋体"/>
      <w:b/>
      <w:bCs/>
      <w:sz w:val="25"/>
      <w:szCs w:val="25"/>
      <w:shd w:val="clear" w:color="auto" w:fill="FFFFFF"/>
      <w:lang w:eastAsia="en-US"/>
    </w:rPr>
  </w:style>
  <w:style w:type="character" w:customStyle="1" w:styleId="999">
    <w:name w:val="目录 (3)_"/>
    <w:link w:val="1000"/>
    <w:qFormat/>
    <w:uiPriority w:val="0"/>
    <w:rPr>
      <w:rFonts w:ascii="宋体" w:hAnsi="宋体"/>
      <w:b/>
      <w:bCs/>
      <w:spacing w:val="-10"/>
      <w:shd w:val="clear" w:color="auto" w:fill="FFFFFF"/>
    </w:rPr>
  </w:style>
  <w:style w:type="paragraph" w:customStyle="1" w:styleId="1000">
    <w:name w:val="目录 (3)"/>
    <w:basedOn w:val="1"/>
    <w:link w:val="999"/>
    <w:qFormat/>
    <w:uiPriority w:val="0"/>
    <w:pPr>
      <w:shd w:val="clear" w:color="auto" w:fill="FFFFFF"/>
      <w:spacing w:before="120" w:after="180" w:line="240" w:lineRule="atLeast"/>
      <w:jc w:val="left"/>
    </w:pPr>
    <w:rPr>
      <w:rFonts w:ascii="宋体" w:hAnsi="宋体" w:eastAsiaTheme="minorEastAsia" w:cstheme="minorBidi"/>
      <w:b/>
      <w:bCs/>
      <w:spacing w:val="-10"/>
      <w:kern w:val="0"/>
      <w:sz w:val="20"/>
    </w:rPr>
  </w:style>
  <w:style w:type="character" w:customStyle="1" w:styleId="1001">
    <w:name w:val="正文文本 + 间距 3 pt"/>
    <w:qFormat/>
    <w:uiPriority w:val="0"/>
    <w:rPr>
      <w:rFonts w:ascii="Arial Unicode MS" w:eastAsia="Arial Unicode MS" w:cs="Arial Unicode MS"/>
      <w:spacing w:val="60"/>
      <w:sz w:val="22"/>
      <w:szCs w:val="22"/>
      <w:u w:val="none"/>
    </w:rPr>
  </w:style>
  <w:style w:type="character" w:customStyle="1" w:styleId="1002">
    <w:name w:val="正文文本 (2) + 间距 0 pt Exact2"/>
    <w:qFormat/>
    <w:uiPriority w:val="0"/>
    <w:rPr>
      <w:rFonts w:ascii="宋体" w:hAnsi="宋体"/>
      <w:strike/>
      <w:spacing w:val="5"/>
      <w:sz w:val="18"/>
      <w:szCs w:val="18"/>
      <w:shd w:val="clear" w:color="auto" w:fill="FFFFFF"/>
    </w:rPr>
  </w:style>
  <w:style w:type="character" w:customStyle="1" w:styleId="1003">
    <w:name w:val="Plain Text Char"/>
    <w:qFormat/>
    <w:uiPriority w:val="0"/>
    <w:rPr>
      <w:rFonts w:ascii="宋体" w:hAnsi="Courier New" w:eastAsia="宋体"/>
      <w:kern w:val="2"/>
      <w:sz w:val="21"/>
      <w:lang w:val="en-US" w:eastAsia="zh-CN"/>
    </w:rPr>
  </w:style>
  <w:style w:type="character" w:customStyle="1" w:styleId="1004">
    <w:name w:val="样式 君邦正文 + 蓝色1 Char"/>
    <w:link w:val="1005"/>
    <w:qFormat/>
    <w:uiPriority w:val="0"/>
    <w:rPr>
      <w:rFonts w:eastAsia="宋体"/>
      <w:bCs/>
      <w:snapToGrid w:val="0"/>
      <w:color w:val="0000FF"/>
      <w:sz w:val="24"/>
    </w:rPr>
  </w:style>
  <w:style w:type="paragraph" w:customStyle="1" w:styleId="1005">
    <w:name w:val="样式 君邦正文 + 蓝色1"/>
    <w:basedOn w:val="166"/>
    <w:link w:val="1004"/>
    <w:qFormat/>
    <w:uiPriority w:val="0"/>
    <w:rPr>
      <w:rFonts w:eastAsia="宋体"/>
      <w:color w:val="0000FF"/>
    </w:rPr>
  </w:style>
  <w:style w:type="character" w:customStyle="1" w:styleId="1006">
    <w:name w:val="表格 Char1"/>
    <w:qFormat/>
    <w:uiPriority w:val="0"/>
    <w:rPr>
      <w:kern w:val="2"/>
      <w:sz w:val="21"/>
      <w:szCs w:val="24"/>
      <w:lang w:val="en-US" w:eastAsia="zh-CN" w:bidi="ar-SA"/>
    </w:rPr>
  </w:style>
  <w:style w:type="character" w:customStyle="1" w:styleId="1007">
    <w:name w:val="7表格(治) Char"/>
    <w:link w:val="1008"/>
    <w:qFormat/>
    <w:uiPriority w:val="0"/>
    <w:rPr>
      <w:rFonts w:eastAsia="楷体_GB2312"/>
      <w:color w:val="000000"/>
      <w:sz w:val="21"/>
    </w:rPr>
  </w:style>
  <w:style w:type="paragraph" w:customStyle="1" w:styleId="1008">
    <w:name w:val="7表格(治)"/>
    <w:link w:val="1007"/>
    <w:qFormat/>
    <w:uiPriority w:val="0"/>
    <w:pPr>
      <w:jc w:val="center"/>
    </w:pPr>
    <w:rPr>
      <w:rFonts w:eastAsia="楷体_GB2312" w:asciiTheme="minorHAnsi" w:hAnsiTheme="minorHAnsi" w:cstheme="minorBidi"/>
      <w:color w:val="000000"/>
      <w:sz w:val="21"/>
      <w:lang w:val="en-US" w:eastAsia="zh-CN" w:bidi="ar-SA"/>
    </w:rPr>
  </w:style>
  <w:style w:type="character" w:customStyle="1" w:styleId="1009">
    <w:name w:val="6表(图)头(治) Char"/>
    <w:link w:val="1010"/>
    <w:qFormat/>
    <w:uiPriority w:val="0"/>
    <w:rPr>
      <w:rFonts w:eastAsia="黑体"/>
      <w:b/>
      <w:bCs/>
      <w:sz w:val="28"/>
    </w:rPr>
  </w:style>
  <w:style w:type="paragraph" w:customStyle="1" w:styleId="1010">
    <w:name w:val="6表(图)头(治)"/>
    <w:next w:val="1"/>
    <w:link w:val="1009"/>
    <w:qFormat/>
    <w:uiPriority w:val="0"/>
    <w:pPr>
      <w:widowControl w:val="0"/>
      <w:jc w:val="center"/>
    </w:pPr>
    <w:rPr>
      <w:rFonts w:eastAsia="黑体" w:asciiTheme="minorHAnsi" w:hAnsiTheme="minorHAnsi" w:cstheme="minorBidi"/>
      <w:b/>
      <w:bCs/>
      <w:sz w:val="28"/>
      <w:lang w:val="en-US" w:eastAsia="zh-CN" w:bidi="ar-SA"/>
    </w:rPr>
  </w:style>
  <w:style w:type="character" w:customStyle="1" w:styleId="1011">
    <w:name w:val="Char Char21"/>
    <w:qFormat/>
    <w:uiPriority w:val="0"/>
    <w:rPr>
      <w:rFonts w:eastAsia="宋体"/>
      <w:kern w:val="2"/>
      <w:sz w:val="24"/>
      <w:szCs w:val="22"/>
      <w:lang w:val="en-US" w:eastAsia="zh-CN" w:bidi="ar-SA"/>
    </w:rPr>
  </w:style>
  <w:style w:type="character" w:customStyle="1" w:styleId="1012">
    <w:name w:val="正文文本 (16) + 间距 0 pt Exact1"/>
    <w:qFormat/>
    <w:uiPriority w:val="0"/>
    <w:rPr>
      <w:rFonts w:ascii="宋体" w:hAnsi="宋体"/>
      <w:spacing w:val="7"/>
      <w:w w:val="66"/>
      <w:sz w:val="9"/>
      <w:szCs w:val="9"/>
      <w:shd w:val="clear" w:color="auto" w:fill="FFFFFF"/>
      <w:lang w:eastAsia="en-US"/>
    </w:rPr>
  </w:style>
  <w:style w:type="character" w:customStyle="1" w:styleId="1013">
    <w:name w:val="正文文本 + 10.5 pt"/>
    <w:qFormat/>
    <w:uiPriority w:val="0"/>
    <w:rPr>
      <w:rFonts w:ascii="Arial Unicode MS" w:eastAsia="Arial Unicode MS" w:cs="Arial Unicode MS"/>
      <w:sz w:val="21"/>
      <w:szCs w:val="21"/>
      <w:u w:val="none"/>
      <w:lang w:val="en-US" w:eastAsia="en-US"/>
    </w:rPr>
  </w:style>
  <w:style w:type="character" w:customStyle="1" w:styleId="1014">
    <w:name w:val="表格标题 (2) + 间距 0 pt Exact1"/>
    <w:qFormat/>
    <w:uiPriority w:val="0"/>
    <w:rPr>
      <w:rFonts w:ascii="Arial Unicode MS" w:eastAsia="Arial Unicode MS" w:cs="Arial Unicode MS"/>
      <w:spacing w:val="3"/>
      <w:sz w:val="20"/>
      <w:szCs w:val="20"/>
      <w:u w:val="none"/>
      <w:shd w:val="clear" w:color="auto" w:fill="FFFFFF"/>
      <w:lang w:eastAsia="en-US"/>
    </w:rPr>
  </w:style>
  <w:style w:type="character" w:customStyle="1" w:styleId="1015">
    <w:name w:val="正文文本 + 4.5 pt6"/>
    <w:qFormat/>
    <w:uiPriority w:val="0"/>
    <w:rPr>
      <w:rFonts w:ascii="Arial Unicode MS" w:eastAsia="Arial Unicode MS" w:cs="Arial Unicode MS"/>
      <w:i/>
      <w:iCs/>
      <w:kern w:val="2"/>
      <w:sz w:val="9"/>
      <w:szCs w:val="9"/>
      <w:u w:val="none"/>
      <w:lang w:val="en-US" w:eastAsia="en-US" w:bidi="ar-SA"/>
    </w:rPr>
  </w:style>
  <w:style w:type="character" w:customStyle="1" w:styleId="1016">
    <w:name w:val="图片标题 (15) + Arial Unicode MS"/>
    <w:qFormat/>
    <w:uiPriority w:val="0"/>
    <w:rPr>
      <w:rFonts w:ascii="Arial Unicode MS" w:hAnsi="宋体" w:eastAsia="Arial Unicode MS" w:cs="Arial Unicode MS"/>
      <w:sz w:val="18"/>
      <w:szCs w:val="18"/>
      <w:shd w:val="clear" w:color="auto" w:fill="FFFFFF"/>
      <w:lang w:val="en-US" w:eastAsia="zh-CN"/>
    </w:rPr>
  </w:style>
  <w:style w:type="character" w:customStyle="1" w:styleId="1017">
    <w:name w:val="正文文本 + Times New Roman"/>
    <w:qFormat/>
    <w:uiPriority w:val="0"/>
    <w:rPr>
      <w:rFonts w:ascii="Times New Roman" w:hAnsi="Times New Roman" w:eastAsia="Arial Unicode MS" w:cs="Times New Roman"/>
      <w:sz w:val="20"/>
      <w:szCs w:val="20"/>
      <w:u w:val="none"/>
      <w:lang w:val="en-US" w:eastAsia="en-US"/>
    </w:rPr>
  </w:style>
  <w:style w:type="character" w:customStyle="1" w:styleId="1018">
    <w:name w:val="Char Char9"/>
    <w:qFormat/>
    <w:uiPriority w:val="0"/>
    <w:rPr>
      <w:bCs/>
      <w:kern w:val="2"/>
      <w:lang w:eastAsia="zh-CN"/>
    </w:rPr>
  </w:style>
  <w:style w:type="character" w:customStyle="1" w:styleId="1019">
    <w:name w:val="正文文本 (45) + SimSun"/>
    <w:qFormat/>
    <w:uiPriority w:val="0"/>
    <w:rPr>
      <w:rFonts w:ascii="宋体" w:hAnsi="宋体" w:cs="宋体"/>
      <w:b/>
      <w:bCs/>
      <w:spacing w:val="5"/>
      <w:sz w:val="19"/>
      <w:szCs w:val="19"/>
      <w:shd w:val="clear" w:color="auto" w:fill="FFFFFF"/>
      <w:lang w:val="en-US" w:eastAsia="zh-CN"/>
    </w:rPr>
  </w:style>
  <w:style w:type="character" w:customStyle="1" w:styleId="1020">
    <w:name w:val="正文文本 + 10.5 pt26"/>
    <w:qFormat/>
    <w:uiPriority w:val="0"/>
    <w:rPr>
      <w:rFonts w:ascii="仿宋_GB2312" w:eastAsia="仿宋_GB2312"/>
      <w:kern w:val="2"/>
      <w:sz w:val="21"/>
      <w:szCs w:val="21"/>
      <w:lang w:val="en-US" w:eastAsia="en-US" w:bidi="ar-SA"/>
    </w:rPr>
  </w:style>
  <w:style w:type="character" w:customStyle="1" w:styleId="1021">
    <w:name w:val="正文文本 (2)3"/>
    <w:basedOn w:val="1022"/>
    <w:qFormat/>
    <w:uiPriority w:val="0"/>
    <w:rPr>
      <w:rFonts w:ascii="宋体" w:hAnsi="宋体"/>
      <w:shd w:val="clear" w:color="auto" w:fill="FFFFFF"/>
    </w:rPr>
  </w:style>
  <w:style w:type="character" w:customStyle="1" w:styleId="1022">
    <w:name w:val="正文文本 (2)_"/>
    <w:link w:val="1023"/>
    <w:qFormat/>
    <w:uiPriority w:val="0"/>
    <w:rPr>
      <w:rFonts w:ascii="宋体" w:hAnsi="宋体"/>
      <w:shd w:val="clear" w:color="auto" w:fill="FFFFFF"/>
    </w:rPr>
  </w:style>
  <w:style w:type="paragraph" w:customStyle="1" w:styleId="1023">
    <w:name w:val="正文文本 (2)1"/>
    <w:basedOn w:val="1"/>
    <w:link w:val="1022"/>
    <w:qFormat/>
    <w:uiPriority w:val="0"/>
    <w:pPr>
      <w:shd w:val="clear" w:color="auto" w:fill="FFFFFF"/>
      <w:spacing w:before="60" w:line="254" w:lineRule="exact"/>
      <w:jc w:val="left"/>
    </w:pPr>
    <w:rPr>
      <w:rFonts w:ascii="宋体" w:hAnsi="宋体" w:eastAsiaTheme="minorEastAsia" w:cstheme="minorBidi"/>
      <w:kern w:val="0"/>
      <w:sz w:val="20"/>
    </w:rPr>
  </w:style>
  <w:style w:type="character" w:customStyle="1" w:styleId="1024">
    <w:name w:val="表格标题 + 10.5 pt"/>
    <w:qFormat/>
    <w:uiPriority w:val="0"/>
    <w:rPr>
      <w:rFonts w:ascii="Arial Unicode MS" w:eastAsia="Arial Unicode MS" w:cs="Arial Unicode MS"/>
      <w:sz w:val="21"/>
      <w:szCs w:val="21"/>
      <w:u w:val="none"/>
      <w:lang w:val="en-US" w:eastAsia="en-US"/>
    </w:rPr>
  </w:style>
  <w:style w:type="character" w:customStyle="1" w:styleId="1025">
    <w:name w:val="目录 (3) + Times New Roman"/>
    <w:qFormat/>
    <w:uiPriority w:val="0"/>
    <w:rPr>
      <w:rFonts w:ascii="Times New Roman" w:hAnsi="Times New Roman" w:cs="Times New Roman"/>
      <w:b/>
      <w:bCs/>
      <w:spacing w:val="0"/>
      <w:sz w:val="19"/>
      <w:szCs w:val="19"/>
      <w:u w:val="none"/>
      <w:shd w:val="clear" w:color="auto" w:fill="FFFFFF"/>
    </w:rPr>
  </w:style>
  <w:style w:type="character" w:customStyle="1" w:styleId="1026">
    <w:name w:val="正文文本 (7) + 11 pt"/>
    <w:qFormat/>
    <w:uiPriority w:val="0"/>
    <w:rPr>
      <w:rFonts w:ascii="Arial Unicode MS" w:eastAsia="Arial Unicode MS" w:cs="Arial Unicode MS"/>
      <w:sz w:val="22"/>
      <w:szCs w:val="22"/>
      <w:u w:val="none"/>
      <w:shd w:val="clear" w:color="auto" w:fill="FFFFFF"/>
      <w:lang w:eastAsia="en-US"/>
    </w:rPr>
  </w:style>
  <w:style w:type="character" w:customStyle="1" w:styleId="1027">
    <w:name w:val="表格标题 (2) + 11 pt"/>
    <w:qFormat/>
    <w:uiPriority w:val="0"/>
    <w:rPr>
      <w:rFonts w:ascii="Arial Unicode MS" w:eastAsia="Arial Unicode MS"/>
      <w:sz w:val="22"/>
      <w:szCs w:val="22"/>
      <w:shd w:val="clear" w:color="auto" w:fill="FFFFFF"/>
      <w:lang w:eastAsia="en-US"/>
    </w:rPr>
  </w:style>
  <w:style w:type="character" w:customStyle="1" w:styleId="1028">
    <w:name w:val="表格标题 (2) + 11 pt4"/>
    <w:qFormat/>
    <w:uiPriority w:val="0"/>
    <w:rPr>
      <w:rFonts w:ascii="Arial Unicode MS" w:eastAsia="Arial Unicode MS"/>
      <w:sz w:val="22"/>
      <w:szCs w:val="22"/>
      <w:u w:val="single"/>
      <w:shd w:val="clear" w:color="auto" w:fill="FFFFFF"/>
      <w:lang w:eastAsia="en-US"/>
    </w:rPr>
  </w:style>
  <w:style w:type="character" w:customStyle="1" w:styleId="1029">
    <w:name w:val="正文文本 + 10.5 pt9"/>
    <w:qFormat/>
    <w:uiPriority w:val="0"/>
    <w:rPr>
      <w:rFonts w:ascii="Arial Unicode MS" w:eastAsia="Arial Unicode MS" w:cs="Arial Unicode MS"/>
      <w:kern w:val="2"/>
      <w:sz w:val="21"/>
      <w:szCs w:val="21"/>
      <w:u w:val="single"/>
      <w:lang w:val="en-US" w:eastAsia="en-US" w:bidi="ar-SA"/>
    </w:rPr>
  </w:style>
  <w:style w:type="character" w:customStyle="1" w:styleId="1030">
    <w:name w:val="正文文本 + SimSun7"/>
    <w:qFormat/>
    <w:uiPriority w:val="0"/>
    <w:rPr>
      <w:rFonts w:ascii="宋体" w:hAnsi="宋体" w:eastAsia="Arial Unicode MS" w:cs="宋体"/>
      <w:kern w:val="2"/>
      <w:sz w:val="20"/>
      <w:szCs w:val="20"/>
      <w:u w:val="none"/>
      <w:lang w:val="en-US" w:eastAsia="zh-CN" w:bidi="ar-SA"/>
    </w:rPr>
  </w:style>
  <w:style w:type="character" w:customStyle="1" w:styleId="1031">
    <w:name w:val="正文文本 + 10.5 pt11"/>
    <w:qFormat/>
    <w:uiPriority w:val="0"/>
    <w:rPr>
      <w:rFonts w:ascii="Arial Unicode MS" w:eastAsia="Arial Unicode MS" w:cs="Arial Unicode MS"/>
      <w:kern w:val="2"/>
      <w:sz w:val="21"/>
      <w:szCs w:val="21"/>
      <w:u w:val="none"/>
      <w:lang w:val="en-US" w:eastAsia="en-US" w:bidi="ar-SA"/>
    </w:rPr>
  </w:style>
  <w:style w:type="character" w:customStyle="1" w:styleId="1032">
    <w:name w:val="目录 (3) + Arial Unicode MS1"/>
    <w:qFormat/>
    <w:uiPriority w:val="0"/>
    <w:rPr>
      <w:rFonts w:ascii="Arial Unicode MS" w:hAnsi="宋体" w:eastAsia="Arial Unicode MS" w:cs="Arial Unicode MS"/>
      <w:b/>
      <w:bCs/>
      <w:spacing w:val="0"/>
      <w:sz w:val="18"/>
      <w:szCs w:val="18"/>
      <w:u w:val="none"/>
      <w:shd w:val="clear" w:color="auto" w:fill="FFFFFF"/>
      <w:lang w:val="en-US" w:eastAsia="zh-CN"/>
    </w:rPr>
  </w:style>
  <w:style w:type="character" w:customStyle="1" w:styleId="1033">
    <w:name w:val="表格标题 (9) + Times New Roman2"/>
    <w:qFormat/>
    <w:uiPriority w:val="0"/>
    <w:rPr>
      <w:rFonts w:ascii="Times New Roman" w:hAnsi="Times New Roman" w:cs="Times New Roman"/>
      <w:b/>
      <w:bCs/>
      <w:spacing w:val="0"/>
      <w:sz w:val="27"/>
      <w:szCs w:val="27"/>
      <w:u w:val="none"/>
      <w:lang w:val="en-US" w:eastAsia="en-US"/>
    </w:rPr>
  </w:style>
  <w:style w:type="character" w:customStyle="1" w:styleId="1034">
    <w:name w:val="目录 + SimSun"/>
    <w:qFormat/>
    <w:uiPriority w:val="0"/>
    <w:rPr>
      <w:rFonts w:ascii="宋体" w:hAnsi="宋体" w:cs="宋体"/>
      <w:i/>
      <w:iCs/>
      <w:spacing w:val="50"/>
      <w:sz w:val="20"/>
      <w:szCs w:val="20"/>
      <w:lang w:eastAsia="en-US" w:bidi="en-US"/>
    </w:rPr>
  </w:style>
  <w:style w:type="character" w:customStyle="1" w:styleId="1035">
    <w:name w:val="标题 #4 (3)_"/>
    <w:link w:val="1036"/>
    <w:qFormat/>
    <w:uiPriority w:val="0"/>
    <w:rPr>
      <w:rFonts w:ascii="宋体" w:hAnsi="宋体"/>
      <w:spacing w:val="-10"/>
      <w:sz w:val="29"/>
      <w:szCs w:val="29"/>
      <w:shd w:val="clear" w:color="auto" w:fill="FFFFFF"/>
    </w:rPr>
  </w:style>
  <w:style w:type="paragraph" w:customStyle="1" w:styleId="1036">
    <w:name w:val="标题 #4 (3)1"/>
    <w:basedOn w:val="1"/>
    <w:link w:val="1035"/>
    <w:qFormat/>
    <w:uiPriority w:val="0"/>
    <w:pPr>
      <w:shd w:val="clear" w:color="auto" w:fill="FFFFFF"/>
      <w:spacing w:before="60" w:after="360" w:line="240" w:lineRule="atLeast"/>
      <w:ind w:hanging="260"/>
      <w:jc w:val="distribute"/>
      <w:outlineLvl w:val="3"/>
    </w:pPr>
    <w:rPr>
      <w:rFonts w:ascii="宋体" w:hAnsi="宋体" w:eastAsiaTheme="minorEastAsia" w:cstheme="minorBidi"/>
      <w:spacing w:val="-10"/>
      <w:kern w:val="0"/>
      <w:sz w:val="29"/>
      <w:szCs w:val="29"/>
    </w:rPr>
  </w:style>
  <w:style w:type="character" w:customStyle="1" w:styleId="1037">
    <w:name w:val="表格A Char"/>
    <w:link w:val="1038"/>
    <w:qFormat/>
    <w:uiPriority w:val="0"/>
    <w:rPr>
      <w:kern w:val="2"/>
      <w:sz w:val="21"/>
    </w:rPr>
  </w:style>
  <w:style w:type="paragraph" w:customStyle="1" w:styleId="1038">
    <w:name w:val="表格A"/>
    <w:basedOn w:val="1"/>
    <w:link w:val="1037"/>
    <w:qFormat/>
    <w:uiPriority w:val="0"/>
    <w:pPr>
      <w:adjustRightInd w:val="0"/>
      <w:snapToGrid w:val="0"/>
      <w:spacing w:beforeLines="30" w:afterLines="30"/>
      <w:jc w:val="center"/>
    </w:pPr>
    <w:rPr>
      <w:rFonts w:asciiTheme="minorHAnsi" w:hAnsiTheme="minorHAnsi" w:eastAsiaTheme="minorEastAsia" w:cstheme="minorBidi"/>
    </w:rPr>
  </w:style>
  <w:style w:type="character" w:customStyle="1" w:styleId="1039">
    <w:name w:val="标题 #4 (3) + Times New Roman2"/>
    <w:qFormat/>
    <w:uiPriority w:val="0"/>
    <w:rPr>
      <w:rFonts w:ascii="Times New Roman" w:hAnsi="Times New Roman" w:cs="Times New Roman"/>
      <w:b/>
      <w:bCs/>
      <w:spacing w:val="0"/>
      <w:sz w:val="27"/>
      <w:szCs w:val="27"/>
      <w:shd w:val="clear" w:color="auto" w:fill="FFFFFF"/>
      <w:lang w:val="en-US" w:eastAsia="en-US"/>
    </w:rPr>
  </w:style>
  <w:style w:type="character" w:customStyle="1" w:styleId="1040">
    <w:name w:val="标题 #4 (3)"/>
    <w:basedOn w:val="1035"/>
    <w:qFormat/>
    <w:uiPriority w:val="0"/>
    <w:rPr>
      <w:rFonts w:ascii="宋体" w:hAnsi="宋体"/>
      <w:spacing w:val="-10"/>
      <w:sz w:val="29"/>
      <w:szCs w:val="29"/>
      <w:shd w:val="clear" w:color="auto" w:fill="FFFFFF"/>
    </w:rPr>
  </w:style>
  <w:style w:type="character" w:customStyle="1" w:styleId="1041">
    <w:name w:val="正文文本 (6) + 间距 0 pt1"/>
    <w:qFormat/>
    <w:uiPriority w:val="0"/>
    <w:rPr>
      <w:rFonts w:ascii="宋体" w:hAnsi="宋体" w:cs="宋体"/>
      <w:spacing w:val="-10"/>
      <w:sz w:val="29"/>
      <w:szCs w:val="29"/>
      <w:u w:val="none"/>
      <w:shd w:val="clear" w:color="auto" w:fill="FFFFFF"/>
    </w:rPr>
  </w:style>
  <w:style w:type="character" w:customStyle="1" w:styleId="1042">
    <w:name w:val="页眉或页脚 + Times New Roman"/>
    <w:qFormat/>
    <w:uiPriority w:val="0"/>
    <w:rPr>
      <w:rFonts w:ascii="Times New Roman" w:hAnsi="Times New Roman" w:cs="Times New Roman"/>
      <w:sz w:val="17"/>
      <w:szCs w:val="17"/>
      <w:shd w:val="clear" w:color="auto" w:fill="FFFFFF"/>
    </w:rPr>
  </w:style>
  <w:style w:type="character" w:customStyle="1" w:styleId="1043">
    <w:name w:val="目录 (2) + Arial Unicode MS"/>
    <w:qFormat/>
    <w:uiPriority w:val="0"/>
    <w:rPr>
      <w:rFonts w:ascii="Arial Unicode MS" w:hAnsi="Calibri" w:eastAsia="Arial Unicode MS" w:cs="Arial Unicode MS"/>
      <w:bCs/>
      <w:caps/>
      <w:sz w:val="19"/>
      <w:szCs w:val="19"/>
      <w:lang w:val="en-US" w:eastAsia="en-US" w:bidi="en-US"/>
    </w:rPr>
  </w:style>
  <w:style w:type="character" w:customStyle="1" w:styleId="1044">
    <w:name w:val="目录 (3) + Arial Unicode MS"/>
    <w:qFormat/>
    <w:uiPriority w:val="0"/>
    <w:rPr>
      <w:rFonts w:ascii="Arial Unicode MS" w:hAnsi="宋体" w:eastAsia="Arial Unicode MS" w:cs="Arial Unicode MS"/>
      <w:b/>
      <w:bCs/>
      <w:spacing w:val="0"/>
      <w:sz w:val="19"/>
      <w:szCs w:val="19"/>
      <w:u w:val="none"/>
      <w:shd w:val="clear" w:color="auto" w:fill="FFFFFF"/>
      <w:lang w:val="en-US" w:eastAsia="zh-CN"/>
    </w:rPr>
  </w:style>
  <w:style w:type="character" w:customStyle="1" w:styleId="1045">
    <w:name w:val="正文文本 (3)_"/>
    <w:link w:val="1046"/>
    <w:qFormat/>
    <w:uiPriority w:val="0"/>
    <w:rPr>
      <w:rFonts w:ascii="Arial Unicode MS" w:eastAsia="Arial Unicode MS"/>
      <w:b/>
      <w:bCs/>
      <w:sz w:val="19"/>
      <w:szCs w:val="19"/>
      <w:shd w:val="clear" w:color="auto" w:fill="FFFFFF"/>
    </w:rPr>
  </w:style>
  <w:style w:type="paragraph" w:customStyle="1" w:styleId="1046">
    <w:name w:val="正文文本 (3)1"/>
    <w:basedOn w:val="1"/>
    <w:link w:val="1045"/>
    <w:qFormat/>
    <w:uiPriority w:val="0"/>
    <w:pPr>
      <w:shd w:val="clear" w:color="auto" w:fill="FFFFFF"/>
      <w:spacing w:after="60" w:line="254" w:lineRule="exact"/>
      <w:jc w:val="left"/>
    </w:pPr>
    <w:rPr>
      <w:rFonts w:ascii="Arial Unicode MS" w:eastAsia="Arial Unicode MS" w:hAnsiTheme="minorHAnsi" w:cstheme="minorBidi"/>
      <w:b/>
      <w:bCs/>
      <w:kern w:val="0"/>
      <w:sz w:val="19"/>
      <w:szCs w:val="19"/>
    </w:rPr>
  </w:style>
  <w:style w:type="character" w:customStyle="1" w:styleId="1047">
    <w:name w:val="正文文本 (4) + Arial Unicode MS"/>
    <w:qFormat/>
    <w:uiPriority w:val="0"/>
    <w:rPr>
      <w:rFonts w:ascii="Arial Unicode MS" w:hAnsi="宋体" w:eastAsia="Arial Unicode MS" w:cs="Arial Unicode MS"/>
      <w:b/>
      <w:bCs/>
      <w:spacing w:val="0"/>
      <w:sz w:val="18"/>
      <w:szCs w:val="18"/>
      <w:shd w:val="clear" w:color="auto" w:fill="FFFFFF"/>
      <w:lang w:val="en-US" w:eastAsia="zh-CN"/>
    </w:rPr>
  </w:style>
  <w:style w:type="character" w:customStyle="1" w:styleId="1048">
    <w:name w:val="目录 (4)_"/>
    <w:link w:val="1049"/>
    <w:qFormat/>
    <w:uiPriority w:val="0"/>
    <w:rPr>
      <w:b/>
      <w:bCs/>
      <w:sz w:val="19"/>
      <w:szCs w:val="19"/>
      <w:shd w:val="clear" w:color="auto" w:fill="FFFFFF"/>
    </w:rPr>
  </w:style>
  <w:style w:type="paragraph" w:customStyle="1" w:styleId="1049">
    <w:name w:val="目录 (4)"/>
    <w:basedOn w:val="1"/>
    <w:link w:val="1048"/>
    <w:qFormat/>
    <w:uiPriority w:val="0"/>
    <w:pPr>
      <w:shd w:val="clear" w:color="auto" w:fill="FFFFFF"/>
      <w:spacing w:before="120" w:after="120" w:line="240" w:lineRule="atLeast"/>
      <w:jc w:val="left"/>
    </w:pPr>
    <w:rPr>
      <w:rFonts w:asciiTheme="minorHAnsi" w:hAnsiTheme="minorHAnsi" w:eastAsiaTheme="minorEastAsia" w:cstheme="minorBidi"/>
      <w:b/>
      <w:bCs/>
      <w:kern w:val="0"/>
      <w:sz w:val="19"/>
      <w:szCs w:val="19"/>
    </w:rPr>
  </w:style>
  <w:style w:type="character" w:customStyle="1" w:styleId="1050">
    <w:name w:val="目录 (4) + Arial Unicode MS"/>
    <w:qFormat/>
    <w:uiPriority w:val="0"/>
    <w:rPr>
      <w:rFonts w:ascii="Arial Unicode MS" w:eastAsia="Arial Unicode MS" w:cs="Arial Unicode MS"/>
      <w:b/>
      <w:bCs/>
      <w:sz w:val="18"/>
      <w:szCs w:val="18"/>
      <w:shd w:val="clear" w:color="auto" w:fill="FFFFFF"/>
      <w:lang w:val="en-US" w:eastAsia="zh-CN"/>
    </w:rPr>
  </w:style>
  <w:style w:type="character" w:customStyle="1" w:styleId="1051">
    <w:name w:val="正文文本 + SimSun"/>
    <w:qFormat/>
    <w:uiPriority w:val="0"/>
    <w:rPr>
      <w:rFonts w:ascii="宋体" w:hAnsi="宋体" w:eastAsia="Arial Unicode MS" w:cs="宋体"/>
      <w:b/>
      <w:bCs/>
      <w:spacing w:val="-10"/>
      <w:kern w:val="2"/>
      <w:sz w:val="25"/>
      <w:szCs w:val="25"/>
      <w:u w:val="none"/>
      <w:lang w:val="en-US" w:eastAsia="zh-CN" w:bidi="ar-SA"/>
    </w:rPr>
  </w:style>
  <w:style w:type="character" w:customStyle="1" w:styleId="1052">
    <w:name w:val="标题 #2 + Times New Roman"/>
    <w:qFormat/>
    <w:uiPriority w:val="0"/>
    <w:rPr>
      <w:rFonts w:ascii="Times New Roman" w:hAnsi="Times New Roman" w:cs="Times New Roman"/>
      <w:b/>
      <w:bCs/>
      <w:sz w:val="28"/>
      <w:szCs w:val="28"/>
      <w:u w:val="none"/>
      <w:shd w:val="clear" w:color="auto" w:fill="FFFFFF"/>
      <w:lang w:val="en-US" w:eastAsia="en-US"/>
    </w:rPr>
  </w:style>
  <w:style w:type="character" w:customStyle="1" w:styleId="1053">
    <w:name w:val="正文文本 (6) + Times New Roman"/>
    <w:qFormat/>
    <w:uiPriority w:val="0"/>
    <w:rPr>
      <w:rFonts w:ascii="Times New Roman" w:hAnsi="Times New Roman" w:cs="Times New Roman"/>
      <w:b/>
      <w:bCs/>
      <w:sz w:val="28"/>
      <w:szCs w:val="28"/>
      <w:u w:val="none"/>
      <w:shd w:val="clear" w:color="auto" w:fill="FFFFFF"/>
      <w:lang w:val="en-US" w:eastAsia="zh-CN"/>
    </w:rPr>
  </w:style>
  <w:style w:type="character" w:customStyle="1" w:styleId="1054">
    <w:name w:val="正文文本 (6) + Arial Unicode MS3"/>
    <w:qFormat/>
    <w:uiPriority w:val="0"/>
    <w:rPr>
      <w:rFonts w:ascii="Arial Unicode MS" w:hAnsi="宋体" w:eastAsia="Arial Unicode MS" w:cs="Arial Unicode MS"/>
      <w:sz w:val="21"/>
      <w:szCs w:val="21"/>
      <w:u w:val="none"/>
      <w:shd w:val="clear" w:color="auto" w:fill="FFFFFF"/>
      <w:lang w:val="en-US" w:eastAsia="en-US"/>
    </w:rPr>
  </w:style>
  <w:style w:type="character" w:customStyle="1" w:styleId="1055">
    <w:name w:val="正文文本 (6) + Arial Unicode MS"/>
    <w:qFormat/>
    <w:uiPriority w:val="0"/>
    <w:rPr>
      <w:rFonts w:ascii="Arial Unicode MS" w:hAnsi="宋体" w:eastAsia="Arial Unicode MS" w:cs="Arial Unicode MS"/>
      <w:sz w:val="37"/>
      <w:szCs w:val="37"/>
      <w:u w:val="none"/>
      <w:shd w:val="clear" w:color="auto" w:fill="FFFFFF"/>
      <w:lang w:val="en-US" w:eastAsia="zh-CN"/>
    </w:rPr>
  </w:style>
  <w:style w:type="character" w:customStyle="1" w:styleId="1056">
    <w:name w:val="正文文本 (5) + Arial Unicode MS"/>
    <w:qFormat/>
    <w:uiPriority w:val="0"/>
    <w:rPr>
      <w:rFonts w:ascii="Arial Unicode MS" w:hAnsi="宋体" w:eastAsia="Arial Unicode MS" w:cs="Arial Unicode MS"/>
      <w:b/>
      <w:bCs/>
      <w:spacing w:val="0"/>
      <w:sz w:val="33"/>
      <w:szCs w:val="33"/>
      <w:shd w:val="clear" w:color="auto" w:fill="FFFFFF"/>
      <w:lang w:val="en-US" w:eastAsia="zh-CN"/>
    </w:rPr>
  </w:style>
  <w:style w:type="character" w:customStyle="1" w:styleId="1057">
    <w:name w:val="正文文本 (34) + Times New Roman"/>
    <w:qFormat/>
    <w:uiPriority w:val="0"/>
    <w:rPr>
      <w:rFonts w:ascii="Times New Roman" w:hAnsi="Times New Roman" w:eastAsia="Arial Unicode MS" w:cs="Times New Roman"/>
      <w:spacing w:val="0"/>
      <w:sz w:val="8"/>
      <w:szCs w:val="8"/>
      <w:shd w:val="clear" w:color="auto" w:fill="FFFFFF"/>
      <w:lang w:eastAsia="en-US"/>
    </w:rPr>
  </w:style>
  <w:style w:type="character" w:customStyle="1" w:styleId="1058">
    <w:name w:val="正文文本 (7) + 间距 -1 pt"/>
    <w:qFormat/>
    <w:uiPriority w:val="0"/>
    <w:rPr>
      <w:rFonts w:ascii="Arial Unicode MS" w:eastAsia="Arial Unicode MS" w:cs="Arial Unicode MS"/>
      <w:spacing w:val="-30"/>
      <w:sz w:val="21"/>
      <w:szCs w:val="21"/>
      <w:u w:val="none"/>
      <w:shd w:val="clear" w:color="auto" w:fill="FFFFFF"/>
      <w:lang w:eastAsia="en-US"/>
    </w:rPr>
  </w:style>
  <w:style w:type="character" w:customStyle="1" w:styleId="1059">
    <w:name w:val="表格标题 (3) Exact1"/>
    <w:basedOn w:val="653"/>
    <w:qFormat/>
    <w:uiPriority w:val="0"/>
    <w:rPr>
      <w:rFonts w:ascii="宋体" w:hAnsi="宋体"/>
      <w:spacing w:val="2"/>
      <w:sz w:val="16"/>
      <w:szCs w:val="16"/>
      <w:shd w:val="clear" w:color="auto" w:fill="FFFFFF"/>
    </w:rPr>
  </w:style>
  <w:style w:type="character" w:customStyle="1" w:styleId="1060">
    <w:name w:val="正文文本 (7) + Times New Roman"/>
    <w:qFormat/>
    <w:uiPriority w:val="0"/>
    <w:rPr>
      <w:rFonts w:ascii="Times New Roman" w:hAnsi="Times New Roman" w:eastAsia="Arial Unicode MS" w:cs="Times New Roman"/>
      <w:sz w:val="20"/>
      <w:szCs w:val="20"/>
      <w:u w:val="none"/>
      <w:shd w:val="clear" w:color="auto" w:fill="FFFFFF"/>
      <w:lang w:val="en-US" w:eastAsia="zh-CN"/>
    </w:rPr>
  </w:style>
  <w:style w:type="character" w:customStyle="1" w:styleId="1061">
    <w:name w:val="正文文本 (13) + 10.5 pt3"/>
    <w:qFormat/>
    <w:uiPriority w:val="0"/>
    <w:rPr>
      <w:rFonts w:ascii="Arial Unicode MS" w:eastAsia="Arial Unicode MS"/>
      <w:i/>
      <w:iCs/>
      <w:spacing w:val="2"/>
      <w:sz w:val="21"/>
      <w:szCs w:val="21"/>
      <w:shd w:val="clear" w:color="auto" w:fill="FFFFFF"/>
      <w:lang w:eastAsia="en-US"/>
    </w:rPr>
  </w:style>
  <w:style w:type="character" w:customStyle="1" w:styleId="1062">
    <w:name w:val="图片标题 (3)_"/>
    <w:link w:val="1063"/>
    <w:qFormat/>
    <w:uiPriority w:val="0"/>
    <w:rPr>
      <w:rFonts w:ascii="宋体" w:hAnsi="宋体"/>
      <w:b/>
      <w:bCs/>
      <w:spacing w:val="-10"/>
      <w:sz w:val="25"/>
      <w:szCs w:val="25"/>
      <w:shd w:val="clear" w:color="auto" w:fill="FFFFFF"/>
    </w:rPr>
  </w:style>
  <w:style w:type="paragraph" w:customStyle="1" w:styleId="1063">
    <w:name w:val="图片标题 (3)1"/>
    <w:basedOn w:val="1"/>
    <w:link w:val="1062"/>
    <w:qFormat/>
    <w:uiPriority w:val="0"/>
    <w:pPr>
      <w:shd w:val="clear" w:color="auto" w:fill="FFFFFF"/>
      <w:spacing w:line="240" w:lineRule="atLeast"/>
      <w:jc w:val="left"/>
    </w:pPr>
    <w:rPr>
      <w:rFonts w:ascii="宋体" w:hAnsi="宋体" w:eastAsiaTheme="minorEastAsia" w:cstheme="minorBidi"/>
      <w:b/>
      <w:bCs/>
      <w:spacing w:val="-10"/>
      <w:kern w:val="0"/>
      <w:sz w:val="25"/>
      <w:szCs w:val="25"/>
    </w:rPr>
  </w:style>
  <w:style w:type="character" w:customStyle="1" w:styleId="1064">
    <w:name w:val="图片标题 (3)2"/>
    <w:basedOn w:val="1062"/>
    <w:qFormat/>
    <w:uiPriority w:val="0"/>
    <w:rPr>
      <w:rFonts w:ascii="宋体" w:hAnsi="宋体"/>
      <w:spacing w:val="-10"/>
      <w:sz w:val="25"/>
      <w:szCs w:val="25"/>
      <w:shd w:val="clear" w:color="auto" w:fill="FFFFFF"/>
    </w:rPr>
  </w:style>
  <w:style w:type="character" w:customStyle="1" w:styleId="1065">
    <w:name w:val="图片标题 (3) + 间距 -2 pt"/>
    <w:qFormat/>
    <w:uiPriority w:val="0"/>
    <w:rPr>
      <w:rFonts w:ascii="宋体" w:hAnsi="宋体"/>
      <w:b/>
      <w:bCs/>
      <w:spacing w:val="-40"/>
      <w:sz w:val="25"/>
      <w:szCs w:val="25"/>
      <w:shd w:val="clear" w:color="auto" w:fill="FFFFFF"/>
    </w:rPr>
  </w:style>
  <w:style w:type="character" w:customStyle="1" w:styleId="1066">
    <w:name w:val="正文文本 (7) + 10.5 pt1"/>
    <w:qFormat/>
    <w:uiPriority w:val="0"/>
    <w:rPr>
      <w:rFonts w:ascii="Arial Unicode MS" w:eastAsia="Arial Unicode MS" w:cs="Arial Unicode MS"/>
      <w:spacing w:val="3"/>
      <w:sz w:val="21"/>
      <w:szCs w:val="21"/>
      <w:u w:val="none"/>
      <w:shd w:val="clear" w:color="auto" w:fill="FFFFFF"/>
      <w:lang w:eastAsia="en-US"/>
    </w:rPr>
  </w:style>
  <w:style w:type="character" w:customStyle="1" w:styleId="1067">
    <w:name w:val="图片标题 (4)_"/>
    <w:link w:val="1068"/>
    <w:qFormat/>
    <w:uiPriority w:val="0"/>
    <w:rPr>
      <w:rFonts w:ascii="宋体" w:hAnsi="宋体"/>
      <w:w w:val="150"/>
      <w:sz w:val="10"/>
      <w:szCs w:val="10"/>
      <w:shd w:val="clear" w:color="auto" w:fill="FFFFFF"/>
    </w:rPr>
  </w:style>
  <w:style w:type="paragraph" w:customStyle="1" w:styleId="1068">
    <w:name w:val="图片标题 (4)1"/>
    <w:basedOn w:val="1"/>
    <w:link w:val="1067"/>
    <w:qFormat/>
    <w:uiPriority w:val="0"/>
    <w:pPr>
      <w:shd w:val="clear" w:color="auto" w:fill="FFFFFF"/>
      <w:spacing w:line="240" w:lineRule="atLeast"/>
      <w:jc w:val="left"/>
    </w:pPr>
    <w:rPr>
      <w:rFonts w:ascii="宋体" w:hAnsi="宋体" w:eastAsiaTheme="minorEastAsia" w:cstheme="minorBidi"/>
      <w:w w:val="150"/>
      <w:kern w:val="0"/>
      <w:sz w:val="10"/>
      <w:szCs w:val="10"/>
    </w:rPr>
  </w:style>
  <w:style w:type="character" w:customStyle="1" w:styleId="1069">
    <w:name w:val="图片标题 (4)"/>
    <w:basedOn w:val="1067"/>
    <w:qFormat/>
    <w:uiPriority w:val="0"/>
    <w:rPr>
      <w:rFonts w:ascii="宋体" w:hAnsi="宋体"/>
      <w:w w:val="150"/>
      <w:sz w:val="10"/>
      <w:szCs w:val="10"/>
      <w:shd w:val="clear" w:color="auto" w:fill="FFFFFF"/>
    </w:rPr>
  </w:style>
  <w:style w:type="character" w:customStyle="1" w:styleId="1070">
    <w:name w:val="正文文本 (13) + 间距 0 pt Exact1"/>
    <w:qFormat/>
    <w:uiPriority w:val="0"/>
    <w:rPr>
      <w:rFonts w:ascii="Arial Unicode MS" w:eastAsia="Arial Unicode MS"/>
      <w:i/>
      <w:iCs/>
      <w:spacing w:val="-3"/>
      <w:sz w:val="9"/>
      <w:szCs w:val="9"/>
      <w:shd w:val="clear" w:color="auto" w:fill="FFFFFF"/>
      <w:lang w:eastAsia="en-US"/>
    </w:rPr>
  </w:style>
  <w:style w:type="character" w:customStyle="1" w:styleId="1071">
    <w:name w:val="图片标题_"/>
    <w:link w:val="1072"/>
    <w:qFormat/>
    <w:uiPriority w:val="0"/>
    <w:rPr>
      <w:rFonts w:ascii="Arial Unicode MS" w:eastAsia="Arial Unicode MS"/>
      <w:sz w:val="21"/>
      <w:szCs w:val="21"/>
      <w:shd w:val="clear" w:color="auto" w:fill="FFFFFF"/>
      <w:lang w:eastAsia="en-US"/>
    </w:rPr>
  </w:style>
  <w:style w:type="paragraph" w:customStyle="1" w:styleId="1072">
    <w:name w:val="图片标题1"/>
    <w:basedOn w:val="1"/>
    <w:link w:val="1071"/>
    <w:qFormat/>
    <w:uiPriority w:val="0"/>
    <w:pPr>
      <w:shd w:val="clear" w:color="auto" w:fill="FFFFFF"/>
      <w:spacing w:line="240" w:lineRule="atLeast"/>
      <w:jc w:val="right"/>
    </w:pPr>
    <w:rPr>
      <w:rFonts w:ascii="Arial Unicode MS" w:eastAsia="Arial Unicode MS" w:hAnsiTheme="minorHAnsi" w:cstheme="minorBidi"/>
      <w:kern w:val="0"/>
      <w:szCs w:val="21"/>
      <w:lang w:eastAsia="en-US"/>
    </w:rPr>
  </w:style>
  <w:style w:type="character" w:customStyle="1" w:styleId="1073">
    <w:name w:val="图片标题"/>
    <w:basedOn w:val="1071"/>
    <w:qFormat/>
    <w:uiPriority w:val="0"/>
    <w:rPr>
      <w:rFonts w:ascii="Arial Unicode MS" w:eastAsia="Arial Unicode MS"/>
      <w:sz w:val="21"/>
      <w:szCs w:val="21"/>
      <w:shd w:val="clear" w:color="auto" w:fill="FFFFFF"/>
      <w:lang w:eastAsia="en-US"/>
    </w:rPr>
  </w:style>
  <w:style w:type="character" w:customStyle="1" w:styleId="1074">
    <w:name w:val="图片标题7"/>
    <w:basedOn w:val="1071"/>
    <w:qFormat/>
    <w:uiPriority w:val="0"/>
    <w:rPr>
      <w:rFonts w:ascii="Arial Unicode MS" w:eastAsia="Arial Unicode MS"/>
      <w:sz w:val="21"/>
      <w:szCs w:val="21"/>
      <w:shd w:val="clear" w:color="auto" w:fill="FFFFFF"/>
      <w:lang w:eastAsia="en-US"/>
    </w:rPr>
  </w:style>
  <w:style w:type="character" w:customStyle="1" w:styleId="1075">
    <w:name w:val="图片标题 (5)"/>
    <w:basedOn w:val="673"/>
    <w:qFormat/>
    <w:uiPriority w:val="0"/>
    <w:rPr>
      <w:rFonts w:ascii="Consolas" w:hAnsi="Consolas"/>
      <w:sz w:val="8"/>
      <w:szCs w:val="8"/>
      <w:shd w:val="clear" w:color="auto" w:fill="FFFFFF"/>
      <w:lang w:eastAsia="en-US"/>
    </w:rPr>
  </w:style>
  <w:style w:type="character" w:customStyle="1" w:styleId="1076">
    <w:name w:val="图片标题 (5)3"/>
    <w:basedOn w:val="673"/>
    <w:qFormat/>
    <w:uiPriority w:val="0"/>
    <w:rPr>
      <w:rFonts w:ascii="Consolas" w:hAnsi="Consolas"/>
      <w:sz w:val="8"/>
      <w:szCs w:val="8"/>
      <w:shd w:val="clear" w:color="auto" w:fill="FFFFFF"/>
      <w:lang w:eastAsia="en-US"/>
    </w:rPr>
  </w:style>
  <w:style w:type="character" w:customStyle="1" w:styleId="1077">
    <w:name w:val="图片标题 (5)2"/>
    <w:basedOn w:val="673"/>
    <w:qFormat/>
    <w:uiPriority w:val="0"/>
    <w:rPr>
      <w:rFonts w:ascii="Consolas" w:hAnsi="Consolas"/>
      <w:sz w:val="8"/>
      <w:szCs w:val="8"/>
      <w:shd w:val="clear" w:color="auto" w:fill="FFFFFF"/>
      <w:lang w:eastAsia="en-US"/>
    </w:rPr>
  </w:style>
  <w:style w:type="character" w:customStyle="1" w:styleId="1078">
    <w:name w:val="图片标题 (6)_"/>
    <w:link w:val="1079"/>
    <w:qFormat/>
    <w:uiPriority w:val="0"/>
    <w:rPr>
      <w:rFonts w:ascii="Arial Unicode MS" w:eastAsia="Arial Unicode MS"/>
      <w:spacing w:val="-10"/>
      <w:sz w:val="13"/>
      <w:szCs w:val="13"/>
      <w:shd w:val="clear" w:color="auto" w:fill="FFFFFF"/>
      <w:lang w:eastAsia="en-US"/>
    </w:rPr>
  </w:style>
  <w:style w:type="paragraph" w:customStyle="1" w:styleId="1079">
    <w:name w:val="图片标题 (6)1"/>
    <w:basedOn w:val="1"/>
    <w:link w:val="1078"/>
    <w:qFormat/>
    <w:uiPriority w:val="0"/>
    <w:pPr>
      <w:shd w:val="clear" w:color="auto" w:fill="FFFFFF"/>
      <w:spacing w:line="240" w:lineRule="atLeast"/>
      <w:jc w:val="right"/>
    </w:pPr>
    <w:rPr>
      <w:rFonts w:ascii="Arial Unicode MS" w:eastAsia="Arial Unicode MS" w:hAnsiTheme="minorHAnsi" w:cstheme="minorBidi"/>
      <w:spacing w:val="-10"/>
      <w:kern w:val="0"/>
      <w:sz w:val="13"/>
      <w:szCs w:val="13"/>
      <w:lang w:eastAsia="en-US"/>
    </w:rPr>
  </w:style>
  <w:style w:type="character" w:customStyle="1" w:styleId="1080">
    <w:name w:val="图片标题 (6)"/>
    <w:basedOn w:val="1078"/>
    <w:qFormat/>
    <w:uiPriority w:val="0"/>
    <w:rPr>
      <w:rFonts w:ascii="Arial Unicode MS" w:eastAsia="Arial Unicode MS"/>
      <w:spacing w:val="-10"/>
      <w:sz w:val="13"/>
      <w:szCs w:val="13"/>
      <w:shd w:val="clear" w:color="auto" w:fill="FFFFFF"/>
      <w:lang w:eastAsia="en-US"/>
    </w:rPr>
  </w:style>
  <w:style w:type="character" w:customStyle="1" w:styleId="1081">
    <w:name w:val="图片标题 (6)3"/>
    <w:basedOn w:val="1078"/>
    <w:qFormat/>
    <w:uiPriority w:val="0"/>
    <w:rPr>
      <w:rFonts w:ascii="Arial Unicode MS" w:eastAsia="Arial Unicode MS"/>
      <w:spacing w:val="-10"/>
      <w:sz w:val="13"/>
      <w:szCs w:val="13"/>
      <w:shd w:val="clear" w:color="auto" w:fill="FFFFFF"/>
      <w:lang w:eastAsia="en-US"/>
    </w:rPr>
  </w:style>
  <w:style w:type="character" w:customStyle="1" w:styleId="1082">
    <w:name w:val="zw1"/>
    <w:qFormat/>
    <w:uiPriority w:val="0"/>
    <w:rPr>
      <w:rFonts w:hint="eastAsia" w:ascii="宋体" w:hAnsi="宋体" w:eastAsia="宋体"/>
      <w:sz w:val="22"/>
      <w:szCs w:val="22"/>
    </w:rPr>
  </w:style>
  <w:style w:type="character" w:customStyle="1" w:styleId="1083">
    <w:name w:val="图片标题 + 4.5 pt"/>
    <w:qFormat/>
    <w:uiPriority w:val="0"/>
    <w:rPr>
      <w:rFonts w:ascii="Arial Unicode MS" w:eastAsia="Arial Unicode MS"/>
      <w:i/>
      <w:iCs/>
      <w:spacing w:val="-20"/>
      <w:sz w:val="9"/>
      <w:szCs w:val="9"/>
      <w:shd w:val="clear" w:color="auto" w:fill="FFFFFF"/>
      <w:lang w:eastAsia="en-US"/>
    </w:rPr>
  </w:style>
  <w:style w:type="character" w:customStyle="1" w:styleId="1084">
    <w:name w:val="图片标题6"/>
    <w:qFormat/>
    <w:uiPriority w:val="0"/>
    <w:rPr>
      <w:rFonts w:ascii="Arial Unicode MS" w:eastAsia="Arial Unicode MS"/>
      <w:sz w:val="21"/>
      <w:szCs w:val="21"/>
      <w:shd w:val="clear" w:color="auto" w:fill="FFFFFF"/>
      <w:lang w:val="en-US" w:eastAsia="zh-CN"/>
    </w:rPr>
  </w:style>
  <w:style w:type="character" w:customStyle="1" w:styleId="1085">
    <w:name w:val="图片标题5"/>
    <w:basedOn w:val="1071"/>
    <w:qFormat/>
    <w:uiPriority w:val="0"/>
    <w:rPr>
      <w:rFonts w:ascii="Arial Unicode MS" w:eastAsia="Arial Unicode MS"/>
      <w:sz w:val="21"/>
      <w:szCs w:val="21"/>
      <w:shd w:val="clear" w:color="auto" w:fill="FFFFFF"/>
      <w:lang w:eastAsia="en-US"/>
    </w:rPr>
  </w:style>
  <w:style w:type="character" w:customStyle="1" w:styleId="1086">
    <w:name w:val="图片标题4"/>
    <w:basedOn w:val="1071"/>
    <w:qFormat/>
    <w:uiPriority w:val="0"/>
    <w:rPr>
      <w:rFonts w:ascii="Arial Unicode MS" w:eastAsia="Arial Unicode MS"/>
      <w:sz w:val="21"/>
      <w:szCs w:val="21"/>
      <w:shd w:val="clear" w:color="auto" w:fill="FFFFFF"/>
      <w:lang w:eastAsia="en-US"/>
    </w:rPr>
  </w:style>
  <w:style w:type="character" w:customStyle="1" w:styleId="1087">
    <w:name w:val="图片标题 (7)_"/>
    <w:link w:val="1088"/>
    <w:qFormat/>
    <w:uiPriority w:val="0"/>
    <w:rPr>
      <w:rFonts w:ascii="Corbel" w:hAnsi="Corbel"/>
      <w:b/>
      <w:bCs/>
      <w:spacing w:val="90"/>
      <w:shd w:val="clear" w:color="auto" w:fill="FFFFFF"/>
      <w:lang w:eastAsia="en-US"/>
    </w:rPr>
  </w:style>
  <w:style w:type="paragraph" w:customStyle="1" w:styleId="1088">
    <w:name w:val="图片标题 (7)1"/>
    <w:basedOn w:val="1"/>
    <w:link w:val="1087"/>
    <w:qFormat/>
    <w:uiPriority w:val="0"/>
    <w:pPr>
      <w:shd w:val="clear" w:color="auto" w:fill="FFFFFF"/>
      <w:spacing w:line="115" w:lineRule="exact"/>
      <w:jc w:val="left"/>
    </w:pPr>
    <w:rPr>
      <w:rFonts w:ascii="Corbel" w:hAnsi="Corbel" w:eastAsiaTheme="minorEastAsia" w:cstheme="minorBidi"/>
      <w:b/>
      <w:bCs/>
      <w:spacing w:val="90"/>
      <w:kern w:val="0"/>
      <w:sz w:val="20"/>
      <w:lang w:eastAsia="en-US"/>
    </w:rPr>
  </w:style>
  <w:style w:type="character" w:customStyle="1" w:styleId="1089">
    <w:name w:val="正文文本 (46) + Arial Unicode MS2"/>
    <w:qFormat/>
    <w:uiPriority w:val="0"/>
    <w:rPr>
      <w:rFonts w:ascii="Arial Unicode MS" w:hAnsi="宋体" w:eastAsia="Arial Unicode MS" w:cs="Arial Unicode MS"/>
      <w:i/>
      <w:iCs/>
      <w:color w:val="000000"/>
      <w:spacing w:val="6"/>
      <w:w w:val="100"/>
      <w:position w:val="0"/>
      <w:sz w:val="14"/>
      <w:szCs w:val="14"/>
      <w:shd w:val="clear" w:color="auto" w:fill="FFFFFF"/>
      <w:lang w:val="en-US" w:eastAsia="en-US"/>
    </w:rPr>
  </w:style>
  <w:style w:type="character" w:customStyle="1" w:styleId="1090">
    <w:name w:val="图片标题 (7) + Times New Roman"/>
    <w:qFormat/>
    <w:uiPriority w:val="0"/>
    <w:rPr>
      <w:rFonts w:ascii="Times New Roman" w:hAnsi="Times New Roman" w:cs="Times New Roman"/>
      <w:b/>
      <w:bCs/>
      <w:i/>
      <w:iCs/>
      <w:spacing w:val="-10"/>
      <w:sz w:val="11"/>
      <w:szCs w:val="11"/>
      <w:shd w:val="clear" w:color="auto" w:fill="FFFFFF"/>
      <w:lang w:eastAsia="en-US"/>
    </w:rPr>
  </w:style>
  <w:style w:type="character" w:customStyle="1" w:styleId="1091">
    <w:name w:val="正文文本 (47) Exact1"/>
    <w:qFormat/>
    <w:uiPriority w:val="0"/>
    <w:rPr>
      <w:b/>
      <w:bCs/>
      <w:sz w:val="21"/>
      <w:szCs w:val="21"/>
      <w:shd w:val="clear" w:color="auto" w:fill="FFFFFF"/>
      <w:lang w:val="en-US" w:eastAsia="zh-CN"/>
    </w:rPr>
  </w:style>
  <w:style w:type="character" w:customStyle="1" w:styleId="1092">
    <w:name w:val="图片标题 (7)"/>
    <w:basedOn w:val="1087"/>
    <w:qFormat/>
    <w:uiPriority w:val="0"/>
    <w:rPr>
      <w:rFonts w:ascii="Corbel" w:hAnsi="Corbel"/>
      <w:spacing w:val="90"/>
      <w:shd w:val="clear" w:color="auto" w:fill="FFFFFF"/>
      <w:lang w:eastAsia="en-US"/>
    </w:rPr>
  </w:style>
  <w:style w:type="character" w:customStyle="1" w:styleId="1093">
    <w:name w:val="标题 #1 + Times New Roman"/>
    <w:qFormat/>
    <w:uiPriority w:val="0"/>
    <w:rPr>
      <w:rFonts w:ascii="Times New Roman" w:hAnsi="Times New Roman" w:cs="Times New Roman"/>
      <w:b/>
      <w:bCs/>
      <w:sz w:val="28"/>
      <w:szCs w:val="28"/>
      <w:shd w:val="clear" w:color="auto" w:fill="FFFFFF"/>
      <w:lang w:val="en-US" w:eastAsia="zh-CN"/>
    </w:rPr>
  </w:style>
  <w:style w:type="character" w:customStyle="1" w:styleId="1094">
    <w:name w:val="正文文本 (8) + Arial Unicode MS"/>
    <w:qFormat/>
    <w:uiPriority w:val="0"/>
    <w:rPr>
      <w:rFonts w:ascii="Arial Unicode MS" w:eastAsia="Arial Unicode MS" w:cs="Arial Unicode MS"/>
      <w:b/>
      <w:bCs/>
      <w:sz w:val="33"/>
      <w:szCs w:val="33"/>
      <w:shd w:val="clear" w:color="auto" w:fill="FFFFFF"/>
      <w:lang w:val="en-US" w:eastAsia="zh-CN"/>
    </w:rPr>
  </w:style>
  <w:style w:type="character" w:customStyle="1" w:styleId="1095">
    <w:name w:val="正文文本 (8) + SimSun"/>
    <w:qFormat/>
    <w:uiPriority w:val="0"/>
    <w:rPr>
      <w:rFonts w:ascii="宋体" w:hAnsi="宋体" w:cs="宋体"/>
      <w:b/>
      <w:bCs/>
      <w:spacing w:val="-10"/>
      <w:sz w:val="25"/>
      <w:szCs w:val="25"/>
      <w:shd w:val="clear" w:color="auto" w:fill="FFFFFF"/>
      <w:lang w:eastAsia="en-US"/>
    </w:rPr>
  </w:style>
  <w:style w:type="character" w:customStyle="1" w:styleId="1096">
    <w:name w:val="正文文本 Exact"/>
    <w:qFormat/>
    <w:uiPriority w:val="0"/>
    <w:rPr>
      <w:rFonts w:ascii="Arial Unicode MS" w:eastAsia="Arial Unicode MS" w:cs="Arial Unicode MS"/>
      <w:spacing w:val="2"/>
      <w:sz w:val="21"/>
      <w:szCs w:val="21"/>
      <w:u w:val="none"/>
    </w:rPr>
  </w:style>
  <w:style w:type="character" w:customStyle="1" w:styleId="1097">
    <w:name w:val="正文文本 + SimSun32"/>
    <w:qFormat/>
    <w:uiPriority w:val="0"/>
    <w:rPr>
      <w:rFonts w:ascii="宋体" w:hAnsi="宋体" w:eastAsia="Arial Unicode MS" w:cs="宋体"/>
      <w:spacing w:val="2"/>
      <w:kern w:val="2"/>
      <w:sz w:val="16"/>
      <w:szCs w:val="16"/>
      <w:u w:val="none"/>
      <w:lang w:val="en-US" w:eastAsia="zh-CN" w:bidi="ar-SA"/>
    </w:rPr>
  </w:style>
  <w:style w:type="character" w:customStyle="1" w:styleId="1098">
    <w:name w:val="正文文本 + SimSun31"/>
    <w:qFormat/>
    <w:uiPriority w:val="0"/>
    <w:rPr>
      <w:rFonts w:ascii="宋体" w:hAnsi="宋体" w:eastAsia="Arial Unicode MS" w:cs="宋体"/>
      <w:spacing w:val="2"/>
      <w:kern w:val="2"/>
      <w:sz w:val="16"/>
      <w:szCs w:val="16"/>
      <w:u w:val="none"/>
      <w:lang w:val="en-US" w:eastAsia="zh-CN" w:bidi="ar-SA"/>
    </w:rPr>
  </w:style>
  <w:style w:type="character" w:customStyle="1" w:styleId="1099">
    <w:name w:val="正文文本 + SimSun30"/>
    <w:qFormat/>
    <w:uiPriority w:val="0"/>
    <w:rPr>
      <w:rFonts w:ascii="宋体" w:hAnsi="宋体" w:eastAsia="Arial Unicode MS" w:cs="宋体"/>
      <w:spacing w:val="2"/>
      <w:kern w:val="2"/>
      <w:sz w:val="16"/>
      <w:szCs w:val="16"/>
      <w:u w:val="none"/>
      <w:lang w:val="en-US" w:eastAsia="zh-CN" w:bidi="ar-SA"/>
    </w:rPr>
  </w:style>
  <w:style w:type="character" w:customStyle="1" w:styleId="1100">
    <w:name w:val="表格标题 (4) + SimSun1"/>
    <w:qFormat/>
    <w:uiPriority w:val="0"/>
    <w:rPr>
      <w:rFonts w:ascii="宋体" w:hAnsi="宋体" w:cs="宋体"/>
      <w:spacing w:val="2"/>
      <w:sz w:val="16"/>
      <w:szCs w:val="16"/>
      <w:shd w:val="clear" w:color="auto" w:fill="FFFFFF"/>
      <w:lang w:val="en-US" w:eastAsia="zh-CN"/>
    </w:rPr>
  </w:style>
  <w:style w:type="character" w:customStyle="1" w:styleId="1101">
    <w:name w:val="表格标题 (2) Exact"/>
    <w:qFormat/>
    <w:uiPriority w:val="0"/>
    <w:rPr>
      <w:rFonts w:ascii="Arial Unicode MS" w:eastAsia="Arial Unicode MS" w:cs="Arial Unicode MS"/>
      <w:spacing w:val="2"/>
      <w:sz w:val="20"/>
      <w:szCs w:val="20"/>
      <w:u w:val="none"/>
      <w:lang w:val="en-US" w:eastAsia="en-US"/>
    </w:rPr>
  </w:style>
  <w:style w:type="character" w:customStyle="1" w:styleId="1102">
    <w:name w:val="表格标题 (2) Exact2"/>
    <w:qFormat/>
    <w:uiPriority w:val="0"/>
    <w:rPr>
      <w:rFonts w:ascii="Arial Unicode MS" w:eastAsia="Arial Unicode MS" w:cs="Arial Unicode MS"/>
      <w:spacing w:val="2"/>
      <w:sz w:val="20"/>
      <w:szCs w:val="20"/>
      <w:u w:val="none"/>
      <w:shd w:val="clear" w:color="auto" w:fill="FFFFFF"/>
      <w:lang w:eastAsia="en-US"/>
    </w:rPr>
  </w:style>
  <w:style w:type="character" w:customStyle="1" w:styleId="1103">
    <w:name w:val="表格标题 (2) Exact1"/>
    <w:qFormat/>
    <w:uiPriority w:val="0"/>
    <w:rPr>
      <w:rFonts w:ascii="Arial Unicode MS" w:eastAsia="Arial Unicode MS" w:cs="Arial Unicode MS"/>
      <w:spacing w:val="2"/>
      <w:sz w:val="20"/>
      <w:szCs w:val="20"/>
      <w:u w:val="none"/>
      <w:shd w:val="clear" w:color="auto" w:fill="FFFFFF"/>
      <w:lang w:eastAsia="en-US"/>
    </w:rPr>
  </w:style>
  <w:style w:type="character" w:customStyle="1" w:styleId="1104">
    <w:name w:val="表格标题 (3) + Times New Roman"/>
    <w:qFormat/>
    <w:uiPriority w:val="0"/>
    <w:rPr>
      <w:rFonts w:ascii="Times New Roman" w:hAnsi="Times New Roman" w:cs="Times New Roman"/>
      <w:spacing w:val="-7"/>
      <w:sz w:val="19"/>
      <w:szCs w:val="19"/>
      <w:shd w:val="clear" w:color="auto" w:fill="FFFFFF"/>
      <w:lang w:val="en-US" w:eastAsia="zh-CN"/>
    </w:rPr>
  </w:style>
  <w:style w:type="character" w:customStyle="1" w:styleId="1105">
    <w:name w:val="正文文本 + 9.5 pt6"/>
    <w:qFormat/>
    <w:uiPriority w:val="0"/>
    <w:rPr>
      <w:rFonts w:ascii="Arial Unicode MS" w:eastAsia="Arial Unicode MS" w:cs="Arial Unicode MS"/>
      <w:b/>
      <w:bCs/>
      <w:smallCaps/>
      <w:kern w:val="2"/>
      <w:sz w:val="19"/>
      <w:szCs w:val="19"/>
      <w:u w:val="none"/>
      <w:lang w:val="en-US" w:eastAsia="en-US" w:bidi="ar-SA"/>
    </w:rPr>
  </w:style>
  <w:style w:type="character" w:customStyle="1" w:styleId="1106">
    <w:name w:val="正文文本 (9) Exact"/>
    <w:link w:val="1107"/>
    <w:qFormat/>
    <w:uiPriority w:val="0"/>
    <w:rPr>
      <w:rFonts w:ascii="宋体" w:hAnsi="宋体"/>
      <w:spacing w:val="2"/>
      <w:sz w:val="16"/>
      <w:szCs w:val="16"/>
      <w:shd w:val="clear" w:color="auto" w:fill="FFFFFF"/>
    </w:rPr>
  </w:style>
  <w:style w:type="paragraph" w:customStyle="1" w:styleId="1107">
    <w:name w:val="正文文本 (9)"/>
    <w:basedOn w:val="1"/>
    <w:link w:val="1106"/>
    <w:qFormat/>
    <w:uiPriority w:val="0"/>
    <w:pPr>
      <w:shd w:val="clear" w:color="auto" w:fill="FFFFFF"/>
      <w:spacing w:line="240" w:lineRule="atLeast"/>
      <w:jc w:val="left"/>
    </w:pPr>
    <w:rPr>
      <w:rFonts w:ascii="宋体" w:hAnsi="宋体" w:eastAsiaTheme="minorEastAsia" w:cstheme="minorBidi"/>
      <w:spacing w:val="2"/>
      <w:kern w:val="0"/>
      <w:sz w:val="16"/>
      <w:szCs w:val="16"/>
    </w:rPr>
  </w:style>
  <w:style w:type="character" w:customStyle="1" w:styleId="1108">
    <w:name w:val="正文文本 (9) Exact2"/>
    <w:basedOn w:val="1106"/>
    <w:qFormat/>
    <w:uiPriority w:val="0"/>
    <w:rPr>
      <w:rFonts w:ascii="宋体" w:hAnsi="宋体"/>
      <w:spacing w:val="2"/>
      <w:sz w:val="16"/>
      <w:szCs w:val="16"/>
      <w:shd w:val="clear" w:color="auto" w:fill="FFFFFF"/>
    </w:rPr>
  </w:style>
  <w:style w:type="character" w:customStyle="1" w:styleId="1109">
    <w:name w:val="正文文本 (13)3"/>
    <w:basedOn w:val="542"/>
    <w:qFormat/>
    <w:uiPriority w:val="0"/>
    <w:rPr>
      <w:rFonts w:ascii="Arial Unicode MS" w:eastAsia="Arial Unicode MS"/>
      <w:spacing w:val="-20"/>
      <w:sz w:val="9"/>
      <w:szCs w:val="9"/>
      <w:shd w:val="clear" w:color="auto" w:fill="FFFFFF"/>
      <w:lang w:eastAsia="en-US"/>
    </w:rPr>
  </w:style>
  <w:style w:type="character" w:customStyle="1" w:styleId="1110">
    <w:name w:val="正文文本 (9) Exact1"/>
    <w:basedOn w:val="1106"/>
    <w:qFormat/>
    <w:uiPriority w:val="0"/>
    <w:rPr>
      <w:rFonts w:ascii="宋体" w:hAnsi="宋体"/>
      <w:spacing w:val="2"/>
      <w:sz w:val="16"/>
      <w:szCs w:val="16"/>
      <w:shd w:val="clear" w:color="auto" w:fill="FFFFFF"/>
    </w:rPr>
  </w:style>
  <w:style w:type="character" w:customStyle="1" w:styleId="1111">
    <w:name w:val="正文文本 (5) Exact"/>
    <w:qFormat/>
    <w:uiPriority w:val="0"/>
    <w:rPr>
      <w:rFonts w:ascii="宋体" w:hAnsi="宋体" w:cs="宋体"/>
      <w:b/>
      <w:bCs/>
      <w:spacing w:val="-7"/>
      <w:sz w:val="23"/>
      <w:szCs w:val="23"/>
      <w:u w:val="none"/>
    </w:rPr>
  </w:style>
  <w:style w:type="character" w:customStyle="1" w:styleId="1112">
    <w:name w:val="正文文本 (5) + Arial Unicode MS3"/>
    <w:qFormat/>
    <w:uiPriority w:val="0"/>
    <w:rPr>
      <w:rFonts w:ascii="Arial Unicode MS" w:hAnsi="宋体" w:eastAsia="Arial Unicode MS" w:cs="Arial Unicode MS"/>
      <w:b/>
      <w:bCs/>
      <w:spacing w:val="0"/>
      <w:sz w:val="30"/>
      <w:szCs w:val="30"/>
      <w:shd w:val="clear" w:color="auto" w:fill="FFFFFF"/>
      <w:lang w:val="en-US" w:eastAsia="zh-CN"/>
    </w:rPr>
  </w:style>
  <w:style w:type="character" w:customStyle="1" w:styleId="1113">
    <w:name w:val="正文文本 + SimSun29"/>
    <w:qFormat/>
    <w:uiPriority w:val="0"/>
    <w:rPr>
      <w:rFonts w:ascii="宋体" w:hAnsi="宋体" w:eastAsia="Arial Unicode MS" w:cs="宋体"/>
      <w:b/>
      <w:bCs/>
      <w:spacing w:val="-7"/>
      <w:kern w:val="2"/>
      <w:sz w:val="23"/>
      <w:szCs w:val="23"/>
      <w:u w:val="none"/>
      <w:lang w:val="en-US" w:eastAsia="zh-CN" w:bidi="ar-SA"/>
    </w:rPr>
  </w:style>
  <w:style w:type="character" w:customStyle="1" w:styleId="1114">
    <w:name w:val="正文文本 + Times New Roman17"/>
    <w:qFormat/>
    <w:uiPriority w:val="0"/>
    <w:rPr>
      <w:rFonts w:ascii="Times New Roman" w:hAnsi="Times New Roman" w:eastAsia="Arial Unicode MS" w:cs="Times New Roman"/>
      <w:b/>
      <w:bCs/>
      <w:spacing w:val="1"/>
      <w:kern w:val="2"/>
      <w:sz w:val="18"/>
      <w:szCs w:val="18"/>
      <w:u w:val="none"/>
      <w:lang w:val="en-US" w:eastAsia="zh-CN" w:bidi="ar-SA"/>
    </w:rPr>
  </w:style>
  <w:style w:type="character" w:customStyle="1" w:styleId="1115">
    <w:name w:val="正文文本 + 18.5 pt"/>
    <w:qFormat/>
    <w:uiPriority w:val="0"/>
    <w:rPr>
      <w:rFonts w:ascii="Arial Unicode MS" w:eastAsia="Arial Unicode MS" w:cs="Arial Unicode MS"/>
      <w:kern w:val="2"/>
      <w:sz w:val="37"/>
      <w:szCs w:val="37"/>
      <w:u w:val="none"/>
      <w:lang w:val="en-US" w:eastAsia="zh-CN" w:bidi="ar-SA"/>
    </w:rPr>
  </w:style>
  <w:style w:type="character" w:customStyle="1" w:styleId="1116">
    <w:name w:val="正文文本 + SimSun28"/>
    <w:qFormat/>
    <w:uiPriority w:val="0"/>
    <w:rPr>
      <w:rFonts w:ascii="宋体" w:hAnsi="宋体" w:eastAsia="Arial Unicode MS" w:cs="宋体"/>
      <w:kern w:val="2"/>
      <w:sz w:val="29"/>
      <w:szCs w:val="29"/>
      <w:u w:val="none"/>
      <w:lang w:val="en-US" w:eastAsia="zh-CN" w:bidi="ar-SA"/>
    </w:rPr>
  </w:style>
  <w:style w:type="character" w:customStyle="1" w:styleId="1117">
    <w:name w:val="目录 (5)_"/>
    <w:link w:val="1118"/>
    <w:qFormat/>
    <w:uiPriority w:val="0"/>
    <w:rPr>
      <w:rFonts w:ascii="Arial Unicode MS" w:eastAsia="Arial Unicode MS"/>
      <w:sz w:val="21"/>
      <w:szCs w:val="21"/>
      <w:shd w:val="clear" w:color="auto" w:fill="FFFFFF"/>
    </w:rPr>
  </w:style>
  <w:style w:type="paragraph" w:customStyle="1" w:styleId="1118">
    <w:name w:val="目录 (5)"/>
    <w:basedOn w:val="1"/>
    <w:link w:val="1117"/>
    <w:qFormat/>
    <w:uiPriority w:val="0"/>
    <w:pPr>
      <w:shd w:val="clear" w:color="auto" w:fill="FFFFFF"/>
      <w:spacing w:line="456" w:lineRule="exact"/>
      <w:ind w:firstLine="540"/>
      <w:jc w:val="distribute"/>
    </w:pPr>
    <w:rPr>
      <w:rFonts w:ascii="Arial Unicode MS" w:eastAsia="Arial Unicode MS" w:hAnsiTheme="minorHAnsi" w:cstheme="minorBidi"/>
      <w:kern w:val="0"/>
      <w:szCs w:val="21"/>
    </w:rPr>
  </w:style>
  <w:style w:type="character" w:customStyle="1" w:styleId="1119">
    <w:name w:val="目录 (5) + 11 pt"/>
    <w:qFormat/>
    <w:uiPriority w:val="0"/>
    <w:rPr>
      <w:rFonts w:ascii="Arial Unicode MS" w:eastAsia="Arial Unicode MS"/>
      <w:sz w:val="22"/>
      <w:szCs w:val="22"/>
      <w:shd w:val="clear" w:color="auto" w:fill="FFFFFF"/>
    </w:rPr>
  </w:style>
  <w:style w:type="character" w:customStyle="1" w:styleId="1120">
    <w:name w:val="目录 (6)_"/>
    <w:link w:val="1121"/>
    <w:qFormat/>
    <w:uiPriority w:val="0"/>
    <w:rPr>
      <w:rFonts w:ascii="Arial Unicode MS" w:eastAsia="Arial Unicode MS"/>
      <w:sz w:val="22"/>
      <w:szCs w:val="22"/>
      <w:shd w:val="clear" w:color="auto" w:fill="FFFFFF"/>
    </w:rPr>
  </w:style>
  <w:style w:type="paragraph" w:customStyle="1" w:styleId="1121">
    <w:name w:val="目录 (6)"/>
    <w:basedOn w:val="1"/>
    <w:link w:val="1120"/>
    <w:qFormat/>
    <w:uiPriority w:val="0"/>
    <w:pPr>
      <w:shd w:val="clear" w:color="auto" w:fill="FFFFFF"/>
      <w:spacing w:line="456" w:lineRule="exact"/>
      <w:jc w:val="distribute"/>
    </w:pPr>
    <w:rPr>
      <w:rFonts w:ascii="Arial Unicode MS" w:eastAsia="Arial Unicode MS" w:hAnsiTheme="minorHAnsi" w:cstheme="minorBidi"/>
      <w:kern w:val="0"/>
      <w:sz w:val="22"/>
      <w:szCs w:val="22"/>
    </w:rPr>
  </w:style>
  <w:style w:type="character" w:customStyle="1" w:styleId="1122">
    <w:name w:val="目录 (6) + 10.5 pt"/>
    <w:qFormat/>
    <w:uiPriority w:val="0"/>
    <w:rPr>
      <w:rFonts w:ascii="Arial Unicode MS" w:eastAsia="Arial Unicode MS"/>
      <w:sz w:val="21"/>
      <w:szCs w:val="21"/>
      <w:shd w:val="clear" w:color="auto" w:fill="FFFFFF"/>
      <w:lang w:val="en-US" w:eastAsia="en-US"/>
    </w:rPr>
  </w:style>
  <w:style w:type="character" w:customStyle="1" w:styleId="1123">
    <w:name w:val="正文文本 (10) Exact"/>
    <w:link w:val="1124"/>
    <w:qFormat/>
    <w:uiPriority w:val="0"/>
    <w:rPr>
      <w:rFonts w:ascii="Arial Unicode MS" w:eastAsia="Arial Unicode MS"/>
      <w:spacing w:val="2"/>
      <w:sz w:val="11"/>
      <w:szCs w:val="11"/>
      <w:shd w:val="clear" w:color="auto" w:fill="FFFFFF"/>
      <w:lang w:eastAsia="en-US"/>
    </w:rPr>
  </w:style>
  <w:style w:type="paragraph" w:customStyle="1" w:styleId="1124">
    <w:name w:val="正文文本 (10)"/>
    <w:basedOn w:val="1"/>
    <w:link w:val="1123"/>
    <w:qFormat/>
    <w:uiPriority w:val="0"/>
    <w:pPr>
      <w:shd w:val="clear" w:color="auto" w:fill="FFFFFF"/>
      <w:spacing w:line="240" w:lineRule="atLeast"/>
      <w:jc w:val="left"/>
    </w:pPr>
    <w:rPr>
      <w:rFonts w:ascii="Arial Unicode MS" w:eastAsia="Arial Unicode MS" w:hAnsiTheme="minorHAnsi" w:cstheme="minorBidi"/>
      <w:spacing w:val="2"/>
      <w:kern w:val="0"/>
      <w:sz w:val="11"/>
      <w:szCs w:val="11"/>
      <w:lang w:eastAsia="en-US"/>
    </w:rPr>
  </w:style>
  <w:style w:type="character" w:customStyle="1" w:styleId="1125">
    <w:name w:val="正文文本 (10) Exact1"/>
    <w:basedOn w:val="1123"/>
    <w:qFormat/>
    <w:uiPriority w:val="0"/>
    <w:rPr>
      <w:rFonts w:ascii="Arial Unicode MS" w:eastAsia="Arial Unicode MS"/>
      <w:spacing w:val="2"/>
      <w:sz w:val="11"/>
      <w:szCs w:val="11"/>
      <w:shd w:val="clear" w:color="auto" w:fill="FFFFFF"/>
      <w:lang w:eastAsia="en-US"/>
    </w:rPr>
  </w:style>
  <w:style w:type="character" w:customStyle="1" w:styleId="1126">
    <w:name w:val="标题 #2 (3) + Times New Roman1"/>
    <w:qFormat/>
    <w:uiPriority w:val="0"/>
    <w:rPr>
      <w:rFonts w:ascii="Times New Roman" w:hAnsi="Times New Roman" w:cs="Times New Roman"/>
      <w:b/>
      <w:bCs/>
      <w:spacing w:val="0"/>
      <w:sz w:val="32"/>
      <w:szCs w:val="32"/>
      <w:shd w:val="clear" w:color="auto" w:fill="FFFFFF"/>
    </w:rPr>
  </w:style>
  <w:style w:type="character" w:customStyle="1" w:styleId="1127">
    <w:name w:val="正文文本 (11) Exact1"/>
    <w:qFormat/>
    <w:uiPriority w:val="0"/>
    <w:rPr>
      <w:rFonts w:ascii="Arial Unicode MS" w:eastAsia="Arial Unicode MS"/>
      <w:color w:val="000000"/>
      <w:spacing w:val="-7"/>
      <w:w w:val="100"/>
      <w:position w:val="0"/>
      <w:sz w:val="12"/>
      <w:szCs w:val="12"/>
      <w:shd w:val="clear" w:color="auto" w:fill="FFFFFF"/>
      <w:lang w:eastAsia="en-US"/>
    </w:rPr>
  </w:style>
  <w:style w:type="character" w:customStyle="1" w:styleId="1128">
    <w:name w:val="正文文本 (7) + Consolas"/>
    <w:qFormat/>
    <w:uiPriority w:val="0"/>
    <w:rPr>
      <w:rFonts w:ascii="Consolas" w:hAnsi="Consolas" w:eastAsia="Arial Unicode MS" w:cs="Consolas"/>
      <w:sz w:val="8"/>
      <w:szCs w:val="8"/>
      <w:u w:val="none"/>
      <w:shd w:val="clear" w:color="auto" w:fill="FFFFFF"/>
      <w:lang w:eastAsia="en-US"/>
    </w:rPr>
  </w:style>
  <w:style w:type="character" w:customStyle="1" w:styleId="1129">
    <w:name w:val="正文文本 (7) Exact1"/>
    <w:qFormat/>
    <w:uiPriority w:val="0"/>
    <w:rPr>
      <w:rFonts w:ascii="Arial Unicode MS" w:eastAsia="Arial Unicode MS" w:cs="Arial Unicode MS"/>
      <w:spacing w:val="2"/>
      <w:sz w:val="20"/>
      <w:szCs w:val="20"/>
      <w:u w:val="none"/>
      <w:shd w:val="clear" w:color="auto" w:fill="FFFFFF"/>
      <w:lang w:eastAsia="en-US"/>
    </w:rPr>
  </w:style>
  <w:style w:type="character" w:customStyle="1" w:styleId="1130">
    <w:name w:val="正文文本 (16) Exact"/>
    <w:link w:val="1131"/>
    <w:qFormat/>
    <w:uiPriority w:val="0"/>
    <w:rPr>
      <w:rFonts w:ascii="宋体" w:hAnsi="宋体"/>
      <w:spacing w:val="-12"/>
      <w:w w:val="66"/>
      <w:sz w:val="9"/>
      <w:szCs w:val="9"/>
      <w:shd w:val="clear" w:color="auto" w:fill="FFFFFF"/>
      <w:lang w:eastAsia="en-US"/>
    </w:rPr>
  </w:style>
  <w:style w:type="paragraph" w:customStyle="1" w:styleId="1131">
    <w:name w:val="正文文本 (16)"/>
    <w:basedOn w:val="1"/>
    <w:link w:val="1130"/>
    <w:qFormat/>
    <w:uiPriority w:val="0"/>
    <w:pPr>
      <w:shd w:val="clear" w:color="auto" w:fill="FFFFFF"/>
      <w:spacing w:line="240" w:lineRule="atLeast"/>
      <w:jc w:val="left"/>
    </w:pPr>
    <w:rPr>
      <w:rFonts w:ascii="宋体" w:hAnsi="宋体" w:eastAsiaTheme="minorEastAsia" w:cstheme="minorBidi"/>
      <w:spacing w:val="-12"/>
      <w:w w:val="66"/>
      <w:kern w:val="0"/>
      <w:sz w:val="9"/>
      <w:szCs w:val="9"/>
      <w:lang w:eastAsia="en-US"/>
    </w:rPr>
  </w:style>
  <w:style w:type="character" w:customStyle="1" w:styleId="1132">
    <w:name w:val="图片标题 (9) + 小型大写 Exact"/>
    <w:qFormat/>
    <w:uiPriority w:val="0"/>
    <w:rPr>
      <w:rFonts w:ascii="宋体" w:hAnsi="宋体"/>
      <w:smallCaps/>
      <w:spacing w:val="-12"/>
      <w:w w:val="66"/>
      <w:sz w:val="9"/>
      <w:szCs w:val="9"/>
      <w:shd w:val="clear" w:color="auto" w:fill="FFFFFF"/>
      <w:lang w:eastAsia="en-US"/>
    </w:rPr>
  </w:style>
  <w:style w:type="character" w:customStyle="1" w:styleId="1133">
    <w:name w:val="图片标题 (2) Exact"/>
    <w:qFormat/>
    <w:uiPriority w:val="0"/>
    <w:rPr>
      <w:rFonts w:ascii="Arial Unicode MS" w:eastAsia="Arial Unicode MS" w:cs="Arial Unicode MS"/>
      <w:spacing w:val="2"/>
      <w:sz w:val="21"/>
      <w:szCs w:val="21"/>
      <w:u w:val="none"/>
    </w:rPr>
  </w:style>
  <w:style w:type="character" w:customStyle="1" w:styleId="1134">
    <w:name w:val="正文文本 + 11 pt1"/>
    <w:qFormat/>
    <w:uiPriority w:val="0"/>
    <w:rPr>
      <w:rFonts w:ascii="Arial Unicode MS" w:eastAsia="Arial Unicode MS" w:cs="Arial Unicode MS"/>
      <w:kern w:val="2"/>
      <w:sz w:val="22"/>
      <w:szCs w:val="22"/>
      <w:u w:val="none"/>
      <w:lang w:eastAsia="zh-CN"/>
    </w:rPr>
  </w:style>
  <w:style w:type="character" w:customStyle="1" w:styleId="1135">
    <w:name w:val="图片标题 Exact"/>
    <w:qFormat/>
    <w:uiPriority w:val="0"/>
    <w:rPr>
      <w:rFonts w:ascii="Arial Unicode MS" w:eastAsia="Arial Unicode MS" w:cs="Arial Unicode MS"/>
      <w:spacing w:val="2"/>
      <w:sz w:val="20"/>
      <w:szCs w:val="20"/>
      <w:u w:val="none"/>
      <w:lang w:val="en-US" w:eastAsia="en-US"/>
    </w:rPr>
  </w:style>
  <w:style w:type="character" w:customStyle="1" w:styleId="1136">
    <w:name w:val="图片标题 (9) Exact"/>
    <w:link w:val="1137"/>
    <w:qFormat/>
    <w:uiPriority w:val="0"/>
    <w:rPr>
      <w:rFonts w:ascii="宋体" w:hAnsi="宋体"/>
      <w:spacing w:val="-12"/>
      <w:w w:val="66"/>
      <w:sz w:val="9"/>
      <w:szCs w:val="9"/>
      <w:shd w:val="clear" w:color="auto" w:fill="FFFFFF"/>
      <w:lang w:eastAsia="en-US"/>
    </w:rPr>
  </w:style>
  <w:style w:type="paragraph" w:customStyle="1" w:styleId="1137">
    <w:name w:val="图片标题 (9)"/>
    <w:basedOn w:val="1"/>
    <w:link w:val="1136"/>
    <w:qFormat/>
    <w:uiPriority w:val="0"/>
    <w:pPr>
      <w:shd w:val="clear" w:color="auto" w:fill="FFFFFF"/>
      <w:spacing w:line="240" w:lineRule="atLeast"/>
      <w:jc w:val="left"/>
    </w:pPr>
    <w:rPr>
      <w:rFonts w:ascii="宋体" w:hAnsi="宋体" w:eastAsiaTheme="minorEastAsia" w:cstheme="minorBidi"/>
      <w:spacing w:val="-12"/>
      <w:w w:val="66"/>
      <w:kern w:val="0"/>
      <w:sz w:val="9"/>
      <w:szCs w:val="9"/>
      <w:lang w:eastAsia="en-US"/>
    </w:rPr>
  </w:style>
  <w:style w:type="character" w:customStyle="1" w:styleId="1138">
    <w:name w:val="图片标题 (9) + 间距 0 pt Exact"/>
    <w:qFormat/>
    <w:uiPriority w:val="0"/>
    <w:rPr>
      <w:rFonts w:ascii="宋体" w:hAnsi="宋体"/>
      <w:spacing w:val="7"/>
      <w:w w:val="66"/>
      <w:sz w:val="9"/>
      <w:szCs w:val="9"/>
      <w:shd w:val="clear" w:color="auto" w:fill="FFFFFF"/>
      <w:lang w:eastAsia="en-US"/>
    </w:rPr>
  </w:style>
  <w:style w:type="character" w:customStyle="1" w:styleId="1139">
    <w:name w:val="图片标题 (9) + 间距 0 pt Exact1"/>
    <w:qFormat/>
    <w:uiPriority w:val="0"/>
    <w:rPr>
      <w:rFonts w:ascii="宋体" w:hAnsi="宋体"/>
      <w:spacing w:val="7"/>
      <w:w w:val="66"/>
      <w:sz w:val="9"/>
      <w:szCs w:val="9"/>
      <w:shd w:val="clear" w:color="auto" w:fill="FFFFFF"/>
      <w:lang w:eastAsia="en-US"/>
    </w:rPr>
  </w:style>
  <w:style w:type="character" w:customStyle="1" w:styleId="1140">
    <w:name w:val="图片标题 (9) + 小型大写 Exact1"/>
    <w:qFormat/>
    <w:uiPriority w:val="0"/>
    <w:rPr>
      <w:rFonts w:ascii="宋体" w:hAnsi="宋体"/>
      <w:smallCaps/>
      <w:spacing w:val="-12"/>
      <w:w w:val="66"/>
      <w:sz w:val="9"/>
      <w:szCs w:val="9"/>
      <w:shd w:val="clear" w:color="auto" w:fill="FFFFFF"/>
      <w:lang w:val="en-US" w:eastAsia="zh-CN"/>
    </w:rPr>
  </w:style>
  <w:style w:type="character" w:customStyle="1" w:styleId="1141">
    <w:name w:val="图片标题 (9) Exact2"/>
    <w:basedOn w:val="1136"/>
    <w:qFormat/>
    <w:uiPriority w:val="0"/>
    <w:rPr>
      <w:rFonts w:ascii="宋体" w:hAnsi="宋体"/>
      <w:spacing w:val="-12"/>
      <w:w w:val="66"/>
      <w:sz w:val="9"/>
      <w:szCs w:val="9"/>
      <w:shd w:val="clear" w:color="auto" w:fill="FFFFFF"/>
      <w:lang w:eastAsia="en-US"/>
    </w:rPr>
  </w:style>
  <w:style w:type="character" w:customStyle="1" w:styleId="1142">
    <w:name w:val="正文文本 (11)"/>
    <w:basedOn w:val="562"/>
    <w:qFormat/>
    <w:uiPriority w:val="0"/>
    <w:rPr>
      <w:rFonts w:ascii="Arial Unicode MS" w:eastAsia="Arial Unicode MS"/>
      <w:spacing w:val="-10"/>
      <w:sz w:val="13"/>
      <w:szCs w:val="13"/>
      <w:shd w:val="clear" w:color="auto" w:fill="FFFFFF"/>
      <w:lang w:eastAsia="en-US"/>
    </w:rPr>
  </w:style>
  <w:style w:type="character" w:customStyle="1" w:styleId="1143">
    <w:name w:val="正文文本 (7) + 4.5 pt3"/>
    <w:qFormat/>
    <w:uiPriority w:val="0"/>
    <w:rPr>
      <w:rFonts w:ascii="Arial Unicode MS" w:eastAsia="Arial Unicode MS" w:cs="Arial Unicode MS"/>
      <w:i/>
      <w:iCs/>
      <w:sz w:val="9"/>
      <w:szCs w:val="9"/>
      <w:u w:val="none"/>
      <w:shd w:val="clear" w:color="auto" w:fill="FFFFFF"/>
      <w:lang w:eastAsia="en-US"/>
    </w:rPr>
  </w:style>
  <w:style w:type="character" w:customStyle="1" w:styleId="1144">
    <w:name w:val="正文文本 (7)"/>
    <w:qFormat/>
    <w:uiPriority w:val="0"/>
    <w:rPr>
      <w:rFonts w:ascii="Arial Unicode MS" w:eastAsia="Arial Unicode MS" w:cs="Arial Unicode MS"/>
      <w:sz w:val="21"/>
      <w:szCs w:val="21"/>
      <w:u w:val="none"/>
      <w:shd w:val="clear" w:color="auto" w:fill="FFFFFF"/>
      <w:lang w:val="en-US" w:eastAsia="zh-CN"/>
    </w:rPr>
  </w:style>
  <w:style w:type="character" w:customStyle="1" w:styleId="1145">
    <w:name w:val="正文文本 (14) + Corbel"/>
    <w:qFormat/>
    <w:uiPriority w:val="0"/>
    <w:rPr>
      <w:rFonts w:ascii="Corbel" w:hAnsi="Corbel" w:eastAsia="Arial Unicode MS" w:cs="Corbel"/>
      <w:spacing w:val="0"/>
      <w:sz w:val="9"/>
      <w:szCs w:val="9"/>
      <w:shd w:val="clear" w:color="auto" w:fill="FFFFFF"/>
      <w:lang w:val="en-US" w:eastAsia="zh-CN"/>
    </w:rPr>
  </w:style>
  <w:style w:type="character" w:customStyle="1" w:styleId="1146">
    <w:name w:val="正文文本 (14)"/>
    <w:qFormat/>
    <w:uiPriority w:val="0"/>
    <w:rPr>
      <w:rFonts w:ascii="Arial Unicode MS" w:eastAsia="Arial Unicode MS"/>
      <w:spacing w:val="-20"/>
      <w:sz w:val="8"/>
      <w:szCs w:val="8"/>
      <w:shd w:val="clear" w:color="auto" w:fill="FFFFFF"/>
      <w:lang w:val="en-US" w:eastAsia="zh-CN"/>
    </w:rPr>
  </w:style>
  <w:style w:type="character" w:customStyle="1" w:styleId="1147">
    <w:name w:val="正文文本 (11)3"/>
    <w:basedOn w:val="562"/>
    <w:qFormat/>
    <w:uiPriority w:val="0"/>
    <w:rPr>
      <w:rFonts w:ascii="Arial Unicode MS" w:eastAsia="Arial Unicode MS"/>
      <w:spacing w:val="-10"/>
      <w:sz w:val="13"/>
      <w:szCs w:val="13"/>
      <w:shd w:val="clear" w:color="auto" w:fill="FFFFFF"/>
      <w:lang w:eastAsia="en-US"/>
    </w:rPr>
  </w:style>
  <w:style w:type="character" w:customStyle="1" w:styleId="1148">
    <w:name w:val="正文文本 (11) + SimSun"/>
    <w:qFormat/>
    <w:uiPriority w:val="0"/>
    <w:rPr>
      <w:rFonts w:ascii="宋体" w:hAnsi="宋体" w:eastAsia="Arial Unicode MS" w:cs="宋体"/>
      <w:spacing w:val="0"/>
      <w:sz w:val="10"/>
      <w:szCs w:val="10"/>
      <w:shd w:val="clear" w:color="auto" w:fill="FFFFFF"/>
      <w:lang w:eastAsia="en-US"/>
    </w:rPr>
  </w:style>
  <w:style w:type="character" w:customStyle="1" w:styleId="1149">
    <w:name w:val="正文文本 + SimSun27"/>
    <w:qFormat/>
    <w:uiPriority w:val="0"/>
    <w:rPr>
      <w:rFonts w:ascii="宋体" w:hAnsi="宋体" w:eastAsia="Arial Unicode MS" w:cs="宋体"/>
      <w:kern w:val="2"/>
      <w:sz w:val="20"/>
      <w:szCs w:val="20"/>
      <w:u w:val="none"/>
      <w:lang w:val="en-US" w:eastAsia="zh-CN" w:bidi="ar-SA"/>
    </w:rPr>
  </w:style>
  <w:style w:type="character" w:customStyle="1" w:styleId="1150">
    <w:name w:val="正文文本 + 9.5 pt"/>
    <w:qFormat/>
    <w:uiPriority w:val="0"/>
    <w:rPr>
      <w:rFonts w:ascii="Arial Unicode MS" w:eastAsia="Arial Unicode MS" w:cs="Arial Unicode MS"/>
      <w:b/>
      <w:bCs/>
      <w:kern w:val="2"/>
      <w:sz w:val="19"/>
      <w:szCs w:val="19"/>
      <w:u w:val="none"/>
      <w:lang w:val="en-US" w:eastAsia="en-US" w:bidi="ar-SA"/>
    </w:rPr>
  </w:style>
  <w:style w:type="character" w:customStyle="1" w:styleId="1151">
    <w:name w:val="图片标题 (15)2"/>
    <w:qFormat/>
    <w:uiPriority w:val="0"/>
    <w:rPr>
      <w:rFonts w:ascii="宋体" w:hAnsi="宋体"/>
      <w:sz w:val="19"/>
      <w:szCs w:val="19"/>
      <w:shd w:val="clear" w:color="auto" w:fill="FFFFFF"/>
      <w:lang w:val="en-US" w:eastAsia="en-US"/>
    </w:rPr>
  </w:style>
  <w:style w:type="character" w:customStyle="1" w:styleId="1152">
    <w:name w:val="正文文本 + 5.5 pt"/>
    <w:qFormat/>
    <w:uiPriority w:val="0"/>
    <w:rPr>
      <w:rFonts w:ascii="Arial Unicode MS" w:eastAsia="Arial Unicode MS" w:cs="Arial Unicode MS"/>
      <w:kern w:val="2"/>
      <w:sz w:val="11"/>
      <w:szCs w:val="11"/>
      <w:u w:val="none"/>
      <w:lang w:val="en-US" w:eastAsia="zh-CN" w:bidi="ar-SA"/>
    </w:rPr>
  </w:style>
  <w:style w:type="character" w:customStyle="1" w:styleId="1153">
    <w:name w:val="正文文本 + 间距 -1 pt2"/>
    <w:qFormat/>
    <w:uiPriority w:val="0"/>
    <w:rPr>
      <w:rFonts w:ascii="Arial Unicode MS" w:eastAsia="Arial Unicode MS" w:cs="Arial Unicode MS"/>
      <w:spacing w:val="-30"/>
      <w:kern w:val="2"/>
      <w:sz w:val="22"/>
      <w:szCs w:val="22"/>
      <w:u w:val="none"/>
      <w:lang w:val="en-US" w:eastAsia="zh-CN" w:bidi="ar-SA"/>
    </w:rPr>
  </w:style>
  <w:style w:type="character" w:customStyle="1" w:styleId="1154">
    <w:name w:val="正文文本 + 间距 1 pt Exact1"/>
    <w:qFormat/>
    <w:uiPriority w:val="0"/>
    <w:rPr>
      <w:rFonts w:ascii="Arial Unicode MS" w:eastAsia="Arial Unicode MS" w:cs="Arial Unicode MS"/>
      <w:spacing w:val="26"/>
      <w:kern w:val="2"/>
      <w:sz w:val="21"/>
      <w:szCs w:val="21"/>
      <w:u w:val="none"/>
      <w:lang w:val="en-US" w:eastAsia="zh-CN" w:bidi="ar-SA"/>
    </w:rPr>
  </w:style>
  <w:style w:type="character" w:customStyle="1" w:styleId="1155">
    <w:name w:val="正文文本 (7) + 间距 0 pt Exact"/>
    <w:qFormat/>
    <w:uiPriority w:val="0"/>
    <w:rPr>
      <w:rFonts w:ascii="Arial Unicode MS" w:eastAsia="Arial Unicode MS" w:cs="Arial Unicode MS"/>
      <w:sz w:val="20"/>
      <w:szCs w:val="20"/>
      <w:u w:val="none"/>
      <w:shd w:val="clear" w:color="auto" w:fill="FFFFFF"/>
      <w:lang w:eastAsia="en-US"/>
    </w:rPr>
  </w:style>
  <w:style w:type="character" w:customStyle="1" w:styleId="1156">
    <w:name w:val="正文文本 + 间距 0 pt Exact"/>
    <w:qFormat/>
    <w:uiPriority w:val="0"/>
    <w:rPr>
      <w:rFonts w:ascii="Arial Unicode MS" w:eastAsia="Arial Unicode MS" w:cs="Arial Unicode MS"/>
      <w:spacing w:val="1"/>
      <w:kern w:val="2"/>
      <w:sz w:val="21"/>
      <w:szCs w:val="21"/>
      <w:u w:val="none"/>
      <w:lang w:val="en-US" w:eastAsia="zh-CN" w:bidi="ar-SA"/>
    </w:rPr>
  </w:style>
  <w:style w:type="character" w:customStyle="1" w:styleId="1157">
    <w:name w:val="标题 #2 + Times New Roman3"/>
    <w:qFormat/>
    <w:uiPriority w:val="0"/>
    <w:rPr>
      <w:rFonts w:ascii="Times New Roman" w:hAnsi="Times New Roman" w:cs="Times New Roman"/>
      <w:b/>
      <w:bCs/>
      <w:sz w:val="27"/>
      <w:szCs w:val="27"/>
      <w:u w:val="none"/>
      <w:shd w:val="clear" w:color="auto" w:fill="FFFFFF"/>
      <w:lang w:val="en-US" w:eastAsia="en-US"/>
    </w:rPr>
  </w:style>
  <w:style w:type="character" w:customStyle="1" w:styleId="1158">
    <w:name w:val="页眉或页脚 (2)"/>
    <w:qFormat/>
    <w:uiPriority w:val="0"/>
    <w:rPr>
      <w:rFonts w:ascii="Times New Roman" w:hAnsi="Times New Roman" w:cs="Times New Roman"/>
      <w:sz w:val="17"/>
      <w:szCs w:val="17"/>
      <w:u w:val="none"/>
    </w:rPr>
  </w:style>
  <w:style w:type="character" w:customStyle="1" w:styleId="1159">
    <w:name w:val="正文文本 (5) + Arial Unicode MS2"/>
    <w:qFormat/>
    <w:uiPriority w:val="0"/>
    <w:rPr>
      <w:rFonts w:ascii="Arial Unicode MS" w:hAnsi="宋体" w:eastAsia="Arial Unicode MS" w:cs="Arial Unicode MS"/>
      <w:b/>
      <w:bCs/>
      <w:spacing w:val="0"/>
      <w:sz w:val="21"/>
      <w:szCs w:val="21"/>
      <w:shd w:val="clear" w:color="auto" w:fill="FFFFFF"/>
      <w:lang w:val="en-US" w:eastAsia="en-US"/>
    </w:rPr>
  </w:style>
  <w:style w:type="character" w:customStyle="1" w:styleId="1160">
    <w:name w:val="正文文本 (7) + 11 pt9"/>
    <w:qFormat/>
    <w:uiPriority w:val="0"/>
    <w:rPr>
      <w:rFonts w:ascii="Arial Unicode MS" w:eastAsia="Arial Unicode MS" w:cs="Arial Unicode MS"/>
      <w:sz w:val="22"/>
      <w:szCs w:val="22"/>
      <w:u w:val="none"/>
      <w:shd w:val="clear" w:color="auto" w:fill="FFFFFF"/>
      <w:lang w:eastAsia="en-US"/>
    </w:rPr>
  </w:style>
  <w:style w:type="character" w:customStyle="1" w:styleId="1161">
    <w:name w:val="正文文本 (7)10"/>
    <w:qFormat/>
    <w:uiPriority w:val="0"/>
    <w:rPr>
      <w:rFonts w:ascii="Arial Unicode MS" w:eastAsia="Arial Unicode MS" w:cs="Arial Unicode MS"/>
      <w:sz w:val="21"/>
      <w:szCs w:val="21"/>
      <w:u w:val="none"/>
      <w:shd w:val="clear" w:color="auto" w:fill="FFFFFF"/>
      <w:lang w:eastAsia="en-US"/>
    </w:rPr>
  </w:style>
  <w:style w:type="character" w:customStyle="1" w:styleId="1162">
    <w:name w:val="正文文本 + 间距 10 pt"/>
    <w:qFormat/>
    <w:uiPriority w:val="0"/>
    <w:rPr>
      <w:rFonts w:ascii="Arial Unicode MS" w:eastAsia="Arial Unicode MS" w:cs="Arial Unicode MS"/>
      <w:spacing w:val="210"/>
      <w:kern w:val="2"/>
      <w:sz w:val="22"/>
      <w:szCs w:val="22"/>
      <w:u w:val="none"/>
      <w:lang w:val="en-US" w:eastAsia="zh-CN" w:bidi="ar-SA"/>
    </w:rPr>
  </w:style>
  <w:style w:type="character" w:customStyle="1" w:styleId="1163">
    <w:name w:val="正文文本 + 10.5 pt19"/>
    <w:qFormat/>
    <w:uiPriority w:val="0"/>
    <w:rPr>
      <w:rFonts w:ascii="Arial Unicode MS" w:eastAsia="Arial Unicode MS" w:cs="Arial Unicode MS"/>
      <w:kern w:val="2"/>
      <w:sz w:val="21"/>
      <w:szCs w:val="21"/>
      <w:u w:val="single"/>
      <w:lang w:val="en-US" w:eastAsia="zh-CN" w:bidi="ar-SA"/>
    </w:rPr>
  </w:style>
  <w:style w:type="character" w:customStyle="1" w:styleId="1164">
    <w:name w:val="正文文本 (7) + SimSun"/>
    <w:qFormat/>
    <w:uiPriority w:val="0"/>
    <w:rPr>
      <w:rFonts w:ascii="宋体" w:hAnsi="宋体" w:eastAsia="Arial Unicode MS" w:cs="宋体"/>
      <w:b/>
      <w:bCs/>
      <w:spacing w:val="-10"/>
      <w:sz w:val="25"/>
      <w:szCs w:val="25"/>
      <w:u w:val="none"/>
      <w:shd w:val="clear" w:color="auto" w:fill="FFFFFF"/>
      <w:lang w:eastAsia="en-US"/>
    </w:rPr>
  </w:style>
  <w:style w:type="character" w:customStyle="1" w:styleId="1165">
    <w:name w:val="图片标题 (11) Exact"/>
    <w:link w:val="1166"/>
    <w:qFormat/>
    <w:uiPriority w:val="0"/>
    <w:rPr>
      <w:rFonts w:ascii="宋体" w:hAnsi="宋体"/>
      <w:sz w:val="16"/>
      <w:szCs w:val="16"/>
      <w:shd w:val="clear" w:color="auto" w:fill="FFFFFF"/>
    </w:rPr>
  </w:style>
  <w:style w:type="paragraph" w:customStyle="1" w:styleId="1166">
    <w:name w:val="图片标题 (11)"/>
    <w:basedOn w:val="1"/>
    <w:link w:val="1165"/>
    <w:qFormat/>
    <w:uiPriority w:val="0"/>
    <w:pPr>
      <w:shd w:val="clear" w:color="auto" w:fill="FFFFFF"/>
      <w:spacing w:line="264" w:lineRule="exact"/>
      <w:jc w:val="distribute"/>
    </w:pPr>
    <w:rPr>
      <w:rFonts w:ascii="宋体" w:hAnsi="宋体" w:eastAsiaTheme="minorEastAsia" w:cstheme="minorBidi"/>
      <w:kern w:val="0"/>
      <w:sz w:val="16"/>
      <w:szCs w:val="16"/>
    </w:rPr>
  </w:style>
  <w:style w:type="character" w:customStyle="1" w:styleId="1167">
    <w:name w:val="图片标题 (11) Exact1"/>
    <w:basedOn w:val="1165"/>
    <w:qFormat/>
    <w:uiPriority w:val="0"/>
    <w:rPr>
      <w:rFonts w:ascii="宋体" w:hAnsi="宋体"/>
      <w:sz w:val="16"/>
      <w:szCs w:val="16"/>
      <w:shd w:val="clear" w:color="auto" w:fill="FFFFFF"/>
    </w:rPr>
  </w:style>
  <w:style w:type="character" w:customStyle="1" w:styleId="1168">
    <w:name w:val="标题 #2 (3) + Times New Roman"/>
    <w:qFormat/>
    <w:uiPriority w:val="0"/>
    <w:rPr>
      <w:rFonts w:ascii="Times New Roman" w:hAnsi="Times New Roman" w:cs="Times New Roman"/>
      <w:b/>
      <w:bCs/>
      <w:spacing w:val="0"/>
      <w:sz w:val="32"/>
      <w:szCs w:val="32"/>
      <w:shd w:val="clear" w:color="auto" w:fill="FFFFFF"/>
    </w:rPr>
  </w:style>
  <w:style w:type="character" w:customStyle="1" w:styleId="1169">
    <w:name w:val="图片标题 (12) Exact"/>
    <w:link w:val="1170"/>
    <w:qFormat/>
    <w:uiPriority w:val="0"/>
    <w:rPr>
      <w:rFonts w:ascii="宋体" w:hAnsi="宋体"/>
      <w:spacing w:val="-7"/>
      <w:shd w:val="clear" w:color="auto" w:fill="FFFFFF"/>
    </w:rPr>
  </w:style>
  <w:style w:type="paragraph" w:customStyle="1" w:styleId="1170">
    <w:name w:val="图片标题 (12)"/>
    <w:basedOn w:val="1"/>
    <w:link w:val="1169"/>
    <w:qFormat/>
    <w:uiPriority w:val="0"/>
    <w:pPr>
      <w:shd w:val="clear" w:color="auto" w:fill="FFFFFF"/>
      <w:spacing w:line="216" w:lineRule="exact"/>
      <w:jc w:val="left"/>
    </w:pPr>
    <w:rPr>
      <w:rFonts w:ascii="宋体" w:hAnsi="宋体" w:eastAsiaTheme="minorEastAsia" w:cstheme="minorBidi"/>
      <w:spacing w:val="-7"/>
      <w:kern w:val="0"/>
      <w:sz w:val="20"/>
    </w:rPr>
  </w:style>
  <w:style w:type="character" w:customStyle="1" w:styleId="1171">
    <w:name w:val="图片标题 (12) + 6 pt"/>
    <w:qFormat/>
    <w:uiPriority w:val="0"/>
    <w:rPr>
      <w:rFonts w:ascii="宋体" w:hAnsi="宋体"/>
      <w:spacing w:val="10"/>
      <w:sz w:val="12"/>
      <w:szCs w:val="12"/>
      <w:shd w:val="clear" w:color="auto" w:fill="FFFFFF"/>
    </w:rPr>
  </w:style>
  <w:style w:type="character" w:customStyle="1" w:styleId="1172">
    <w:name w:val="图片标题 (12) + 6 pt2"/>
    <w:qFormat/>
    <w:uiPriority w:val="0"/>
    <w:rPr>
      <w:rFonts w:ascii="宋体" w:hAnsi="宋体"/>
      <w:spacing w:val="10"/>
      <w:sz w:val="12"/>
      <w:szCs w:val="12"/>
      <w:shd w:val="clear" w:color="auto" w:fill="FFFFFF"/>
    </w:rPr>
  </w:style>
  <w:style w:type="character" w:customStyle="1" w:styleId="1173">
    <w:name w:val="表格标题2"/>
    <w:qFormat/>
    <w:uiPriority w:val="0"/>
    <w:rPr>
      <w:rFonts w:ascii="Arial Unicode MS" w:eastAsia="Arial Unicode MS" w:cs="Arial Unicode MS"/>
      <w:sz w:val="22"/>
      <w:szCs w:val="22"/>
      <w:u w:val="single"/>
    </w:rPr>
  </w:style>
  <w:style w:type="character" w:customStyle="1" w:styleId="1174">
    <w:name w:val="图片标题 (12) + 6 pt1"/>
    <w:qFormat/>
    <w:uiPriority w:val="0"/>
    <w:rPr>
      <w:rFonts w:ascii="宋体" w:hAnsi="宋体"/>
      <w:spacing w:val="10"/>
      <w:sz w:val="12"/>
      <w:szCs w:val="12"/>
      <w:shd w:val="clear" w:color="auto" w:fill="FFFFFF"/>
    </w:rPr>
  </w:style>
  <w:style w:type="character" w:customStyle="1" w:styleId="1175">
    <w:name w:val="图片标题 (12) + Arial Unicode MS1"/>
    <w:qFormat/>
    <w:uiPriority w:val="0"/>
    <w:rPr>
      <w:rFonts w:ascii="Arial Unicode MS" w:hAnsi="宋体" w:eastAsia="Arial Unicode MS" w:cs="Arial Unicode MS"/>
      <w:spacing w:val="0"/>
      <w:sz w:val="11"/>
      <w:szCs w:val="11"/>
      <w:shd w:val="clear" w:color="auto" w:fill="FFFFFF"/>
      <w:lang w:val="en-US" w:eastAsia="zh-CN"/>
    </w:rPr>
  </w:style>
  <w:style w:type="character" w:customStyle="1" w:styleId="1176">
    <w:name w:val="图片标题 (12) + 8 pt"/>
    <w:qFormat/>
    <w:uiPriority w:val="0"/>
    <w:rPr>
      <w:rFonts w:ascii="宋体" w:hAnsi="宋体"/>
      <w:spacing w:val="-7"/>
      <w:sz w:val="16"/>
      <w:szCs w:val="16"/>
      <w:shd w:val="clear" w:color="auto" w:fill="FFFFFF"/>
    </w:rPr>
  </w:style>
  <w:style w:type="character" w:customStyle="1" w:styleId="1177">
    <w:name w:val="图片标题 (12) + Times New Roman"/>
    <w:qFormat/>
    <w:uiPriority w:val="0"/>
    <w:rPr>
      <w:rFonts w:ascii="Times New Roman" w:hAnsi="Times New Roman" w:cs="Times New Roman"/>
      <w:spacing w:val="-3"/>
      <w:sz w:val="19"/>
      <w:szCs w:val="19"/>
      <w:shd w:val="clear" w:color="auto" w:fill="FFFFFF"/>
      <w:lang w:val="en-US" w:eastAsia="zh-CN"/>
    </w:rPr>
  </w:style>
  <w:style w:type="character" w:customStyle="1" w:styleId="1178">
    <w:name w:val="图片标题 (12) + Times New Roman1"/>
    <w:qFormat/>
    <w:uiPriority w:val="0"/>
    <w:rPr>
      <w:rFonts w:ascii="Times New Roman" w:hAnsi="Times New Roman" w:cs="Times New Roman"/>
      <w:spacing w:val="-3"/>
      <w:sz w:val="19"/>
      <w:szCs w:val="19"/>
      <w:shd w:val="clear" w:color="auto" w:fill="FFFFFF"/>
      <w:lang w:val="en-US" w:eastAsia="en-US"/>
    </w:rPr>
  </w:style>
  <w:style w:type="character" w:customStyle="1" w:styleId="1179">
    <w:name w:val="图片标题 (13) Exact"/>
    <w:link w:val="1180"/>
    <w:qFormat/>
    <w:uiPriority w:val="0"/>
    <w:rPr>
      <w:rFonts w:ascii="宋体" w:hAnsi="宋体"/>
      <w:spacing w:val="89"/>
      <w:sz w:val="16"/>
      <w:szCs w:val="16"/>
      <w:shd w:val="clear" w:color="auto" w:fill="FFFFFF"/>
    </w:rPr>
  </w:style>
  <w:style w:type="paragraph" w:customStyle="1" w:styleId="1180">
    <w:name w:val="图片标题 (13)"/>
    <w:basedOn w:val="1"/>
    <w:link w:val="1179"/>
    <w:qFormat/>
    <w:uiPriority w:val="0"/>
    <w:pPr>
      <w:shd w:val="clear" w:color="auto" w:fill="FFFFFF"/>
      <w:spacing w:line="216" w:lineRule="exact"/>
      <w:jc w:val="left"/>
    </w:pPr>
    <w:rPr>
      <w:rFonts w:ascii="宋体" w:hAnsi="宋体" w:eastAsiaTheme="minorEastAsia" w:cstheme="minorBidi"/>
      <w:spacing w:val="89"/>
      <w:kern w:val="0"/>
      <w:sz w:val="16"/>
      <w:szCs w:val="16"/>
    </w:rPr>
  </w:style>
  <w:style w:type="character" w:customStyle="1" w:styleId="1181">
    <w:name w:val="图片标题 (13) Exact2"/>
    <w:basedOn w:val="1179"/>
    <w:qFormat/>
    <w:uiPriority w:val="0"/>
    <w:rPr>
      <w:rFonts w:ascii="宋体" w:hAnsi="宋体"/>
      <w:spacing w:val="89"/>
      <w:sz w:val="16"/>
      <w:szCs w:val="16"/>
      <w:shd w:val="clear" w:color="auto" w:fill="FFFFFF"/>
    </w:rPr>
  </w:style>
  <w:style w:type="character" w:customStyle="1" w:styleId="1182">
    <w:name w:val="图片标题 (13) Exact1"/>
    <w:basedOn w:val="1179"/>
    <w:qFormat/>
    <w:uiPriority w:val="0"/>
    <w:rPr>
      <w:rFonts w:ascii="宋体" w:hAnsi="宋体"/>
      <w:spacing w:val="89"/>
      <w:sz w:val="16"/>
      <w:szCs w:val="16"/>
      <w:shd w:val="clear" w:color="auto" w:fill="FFFFFF"/>
    </w:rPr>
  </w:style>
  <w:style w:type="character" w:customStyle="1" w:styleId="1183">
    <w:name w:val="正文文本 + 间距 -2 pt"/>
    <w:qFormat/>
    <w:uiPriority w:val="0"/>
    <w:rPr>
      <w:rFonts w:ascii="Arial Unicode MS" w:eastAsia="Arial Unicode MS" w:cs="Arial Unicode MS"/>
      <w:spacing w:val="-40"/>
      <w:kern w:val="2"/>
      <w:sz w:val="22"/>
      <w:szCs w:val="22"/>
      <w:u w:val="none"/>
      <w:lang w:val="en-US" w:eastAsia="zh-CN" w:bidi="ar-SA"/>
    </w:rPr>
  </w:style>
  <w:style w:type="character" w:customStyle="1" w:styleId="1184">
    <w:name w:val="图片标题 (13) + 4 pt"/>
    <w:qFormat/>
    <w:uiPriority w:val="0"/>
    <w:rPr>
      <w:rFonts w:ascii="宋体" w:hAnsi="宋体"/>
      <w:spacing w:val="-16"/>
      <w:sz w:val="8"/>
      <w:szCs w:val="8"/>
      <w:shd w:val="clear" w:color="auto" w:fill="FFFFFF"/>
      <w:lang w:val="en-US" w:eastAsia="zh-CN"/>
    </w:rPr>
  </w:style>
  <w:style w:type="character" w:customStyle="1" w:styleId="1185">
    <w:name w:val="标题 #4 (3) + Times New Roman"/>
    <w:qFormat/>
    <w:uiPriority w:val="0"/>
    <w:rPr>
      <w:rFonts w:ascii="Times New Roman" w:hAnsi="Times New Roman" w:cs="Times New Roman"/>
      <w:b/>
      <w:bCs/>
      <w:spacing w:val="0"/>
      <w:sz w:val="27"/>
      <w:szCs w:val="27"/>
      <w:u w:val="none"/>
      <w:shd w:val="clear" w:color="auto" w:fill="FFFFFF"/>
      <w:lang w:val="en-US" w:eastAsia="en-US"/>
    </w:rPr>
  </w:style>
  <w:style w:type="character" w:customStyle="1" w:styleId="1186">
    <w:name w:val="正文文本 (17) Exact"/>
    <w:link w:val="1187"/>
    <w:qFormat/>
    <w:uiPriority w:val="0"/>
    <w:rPr>
      <w:rFonts w:ascii="宋体" w:hAnsi="宋体"/>
      <w:spacing w:val="89"/>
      <w:sz w:val="16"/>
      <w:szCs w:val="16"/>
      <w:shd w:val="clear" w:color="auto" w:fill="FFFFFF"/>
    </w:rPr>
  </w:style>
  <w:style w:type="paragraph" w:customStyle="1" w:styleId="1187">
    <w:name w:val="正文文本 (17)"/>
    <w:basedOn w:val="1"/>
    <w:link w:val="1186"/>
    <w:qFormat/>
    <w:uiPriority w:val="0"/>
    <w:pPr>
      <w:shd w:val="clear" w:color="auto" w:fill="FFFFFF"/>
      <w:spacing w:line="240" w:lineRule="atLeast"/>
      <w:jc w:val="left"/>
    </w:pPr>
    <w:rPr>
      <w:rFonts w:ascii="宋体" w:hAnsi="宋体" w:eastAsiaTheme="minorEastAsia" w:cstheme="minorBidi"/>
      <w:spacing w:val="89"/>
      <w:kern w:val="0"/>
      <w:sz w:val="16"/>
      <w:szCs w:val="16"/>
    </w:rPr>
  </w:style>
  <w:style w:type="character" w:customStyle="1" w:styleId="1188">
    <w:name w:val="正文文本 (17) + 4 pt"/>
    <w:qFormat/>
    <w:uiPriority w:val="0"/>
    <w:rPr>
      <w:rFonts w:ascii="宋体" w:hAnsi="宋体"/>
      <w:spacing w:val="-16"/>
      <w:sz w:val="8"/>
      <w:szCs w:val="8"/>
      <w:shd w:val="clear" w:color="auto" w:fill="FFFFFF"/>
      <w:lang w:val="en-US" w:eastAsia="en-US"/>
    </w:rPr>
  </w:style>
  <w:style w:type="character" w:customStyle="1" w:styleId="1189">
    <w:name w:val="正文文本 (17) + 间距 0 pt Exact"/>
    <w:qFormat/>
    <w:uiPriority w:val="0"/>
    <w:rPr>
      <w:rFonts w:ascii="宋体" w:hAnsi="宋体"/>
      <w:spacing w:val="4"/>
      <w:sz w:val="16"/>
      <w:szCs w:val="16"/>
      <w:shd w:val="clear" w:color="auto" w:fill="FFFFFF"/>
    </w:rPr>
  </w:style>
  <w:style w:type="character" w:customStyle="1" w:styleId="1190">
    <w:name w:val="图片标题 (14) Exact"/>
    <w:link w:val="1191"/>
    <w:qFormat/>
    <w:uiPriority w:val="0"/>
    <w:rPr>
      <w:rFonts w:ascii="宋体" w:hAnsi="宋体"/>
      <w:spacing w:val="89"/>
      <w:sz w:val="16"/>
      <w:szCs w:val="16"/>
      <w:shd w:val="clear" w:color="auto" w:fill="FFFFFF"/>
    </w:rPr>
  </w:style>
  <w:style w:type="paragraph" w:customStyle="1" w:styleId="1191">
    <w:name w:val="图片标题 (14)"/>
    <w:basedOn w:val="1"/>
    <w:link w:val="1190"/>
    <w:qFormat/>
    <w:uiPriority w:val="0"/>
    <w:pPr>
      <w:shd w:val="clear" w:color="auto" w:fill="FFFFFF"/>
      <w:spacing w:line="240" w:lineRule="atLeast"/>
      <w:jc w:val="left"/>
    </w:pPr>
    <w:rPr>
      <w:rFonts w:ascii="宋体" w:hAnsi="宋体" w:eastAsiaTheme="minorEastAsia" w:cstheme="minorBidi"/>
      <w:spacing w:val="89"/>
      <w:kern w:val="0"/>
      <w:sz w:val="16"/>
      <w:szCs w:val="16"/>
    </w:rPr>
  </w:style>
  <w:style w:type="character" w:customStyle="1" w:styleId="1192">
    <w:name w:val="图片标题 (14) Exact1"/>
    <w:basedOn w:val="1190"/>
    <w:qFormat/>
    <w:uiPriority w:val="0"/>
    <w:rPr>
      <w:rFonts w:ascii="宋体" w:hAnsi="宋体"/>
      <w:spacing w:val="89"/>
      <w:sz w:val="16"/>
      <w:szCs w:val="16"/>
      <w:shd w:val="clear" w:color="auto" w:fill="FFFFFF"/>
    </w:rPr>
  </w:style>
  <w:style w:type="character" w:customStyle="1" w:styleId="1193">
    <w:name w:val="图片标题 (14) + 4 pt"/>
    <w:qFormat/>
    <w:uiPriority w:val="0"/>
    <w:rPr>
      <w:rFonts w:ascii="宋体" w:hAnsi="宋体"/>
      <w:spacing w:val="-16"/>
      <w:sz w:val="8"/>
      <w:szCs w:val="8"/>
      <w:shd w:val="clear" w:color="auto" w:fill="FFFFFF"/>
    </w:rPr>
  </w:style>
  <w:style w:type="character" w:customStyle="1" w:styleId="1194">
    <w:name w:val="图片标题 (15)_"/>
    <w:link w:val="1195"/>
    <w:qFormat/>
    <w:uiPriority w:val="0"/>
    <w:rPr>
      <w:rFonts w:ascii="宋体" w:hAnsi="宋体"/>
      <w:sz w:val="19"/>
      <w:szCs w:val="19"/>
      <w:shd w:val="clear" w:color="auto" w:fill="FFFFFF"/>
    </w:rPr>
  </w:style>
  <w:style w:type="paragraph" w:customStyle="1" w:styleId="1195">
    <w:name w:val="图片标题 (15)1"/>
    <w:basedOn w:val="1"/>
    <w:link w:val="1194"/>
    <w:qFormat/>
    <w:uiPriority w:val="0"/>
    <w:pPr>
      <w:shd w:val="clear" w:color="auto" w:fill="FFFFFF"/>
      <w:spacing w:line="240" w:lineRule="atLeast"/>
      <w:jc w:val="left"/>
    </w:pPr>
    <w:rPr>
      <w:rFonts w:ascii="宋体" w:hAnsi="宋体" w:eastAsiaTheme="minorEastAsia" w:cstheme="minorBidi"/>
      <w:kern w:val="0"/>
      <w:sz w:val="19"/>
      <w:szCs w:val="19"/>
    </w:rPr>
  </w:style>
  <w:style w:type="character" w:customStyle="1" w:styleId="1196">
    <w:name w:val="图片标题 (15)"/>
    <w:qFormat/>
    <w:uiPriority w:val="0"/>
    <w:rPr>
      <w:rFonts w:ascii="宋体" w:hAnsi="宋体"/>
      <w:sz w:val="19"/>
      <w:szCs w:val="19"/>
      <w:shd w:val="clear" w:color="auto" w:fill="FFFFFF"/>
      <w:lang w:val="en-US" w:eastAsia="zh-CN"/>
    </w:rPr>
  </w:style>
  <w:style w:type="character" w:customStyle="1" w:styleId="1197">
    <w:name w:val="图片标题 (15)3"/>
    <w:basedOn w:val="1194"/>
    <w:qFormat/>
    <w:uiPriority w:val="0"/>
    <w:rPr>
      <w:rFonts w:ascii="宋体" w:hAnsi="宋体"/>
      <w:sz w:val="19"/>
      <w:szCs w:val="19"/>
      <w:shd w:val="clear" w:color="auto" w:fill="FFFFFF"/>
    </w:rPr>
  </w:style>
  <w:style w:type="character" w:customStyle="1" w:styleId="1198">
    <w:name w:val="表格标题 (9)_"/>
    <w:link w:val="1199"/>
    <w:qFormat/>
    <w:uiPriority w:val="0"/>
    <w:rPr>
      <w:rFonts w:ascii="宋体" w:hAnsi="宋体"/>
      <w:spacing w:val="-10"/>
      <w:sz w:val="29"/>
      <w:szCs w:val="29"/>
      <w:shd w:val="clear" w:color="auto" w:fill="FFFFFF"/>
    </w:rPr>
  </w:style>
  <w:style w:type="paragraph" w:customStyle="1" w:styleId="1199">
    <w:name w:val="表格标题 (9)1"/>
    <w:basedOn w:val="1"/>
    <w:link w:val="1198"/>
    <w:qFormat/>
    <w:uiPriority w:val="0"/>
    <w:pPr>
      <w:shd w:val="clear" w:color="auto" w:fill="FFFFFF"/>
      <w:spacing w:line="240" w:lineRule="atLeast"/>
      <w:jc w:val="left"/>
    </w:pPr>
    <w:rPr>
      <w:rFonts w:ascii="宋体" w:hAnsi="宋体" w:eastAsiaTheme="minorEastAsia" w:cstheme="minorBidi"/>
      <w:spacing w:val="-10"/>
      <w:kern w:val="0"/>
      <w:sz w:val="29"/>
      <w:szCs w:val="29"/>
    </w:rPr>
  </w:style>
  <w:style w:type="character" w:customStyle="1" w:styleId="1200">
    <w:name w:val="图片标题 (16)"/>
    <w:basedOn w:val="457"/>
    <w:qFormat/>
    <w:uiPriority w:val="0"/>
    <w:rPr>
      <w:rFonts w:ascii="宋体" w:hAnsi="宋体"/>
      <w:shd w:val="clear" w:color="auto" w:fill="FFFFFF"/>
    </w:rPr>
  </w:style>
  <w:style w:type="character" w:customStyle="1" w:styleId="1201">
    <w:name w:val="图片标题 (16) + Arial Unicode MS"/>
    <w:qFormat/>
    <w:uiPriority w:val="0"/>
    <w:rPr>
      <w:rFonts w:ascii="Arial Unicode MS" w:hAnsi="宋体" w:eastAsia="Arial Unicode MS" w:cs="Arial Unicode MS"/>
      <w:b/>
      <w:bCs/>
      <w:sz w:val="18"/>
      <w:szCs w:val="18"/>
      <w:shd w:val="clear" w:color="auto" w:fill="FFFFFF"/>
      <w:lang w:val="en-US" w:eastAsia="zh-CN"/>
    </w:rPr>
  </w:style>
  <w:style w:type="character" w:customStyle="1" w:styleId="1202">
    <w:name w:val="图片标题 (16)2"/>
    <w:basedOn w:val="457"/>
    <w:qFormat/>
    <w:uiPriority w:val="0"/>
    <w:rPr>
      <w:rFonts w:ascii="宋体" w:hAnsi="宋体"/>
      <w:shd w:val="clear" w:color="auto" w:fill="FFFFFF"/>
    </w:rPr>
  </w:style>
  <w:style w:type="character" w:customStyle="1" w:styleId="1203">
    <w:name w:val="正文文本 + 间距 2 pt1"/>
    <w:qFormat/>
    <w:uiPriority w:val="0"/>
    <w:rPr>
      <w:rFonts w:ascii="Arial Unicode MS" w:eastAsia="Arial Unicode MS" w:cs="Arial Unicode MS"/>
      <w:spacing w:val="40"/>
      <w:kern w:val="2"/>
      <w:sz w:val="22"/>
      <w:szCs w:val="22"/>
      <w:u w:val="none"/>
      <w:lang w:val="en-US" w:eastAsia="zh-CN" w:bidi="ar-SA"/>
    </w:rPr>
  </w:style>
  <w:style w:type="character" w:customStyle="1" w:styleId="1204">
    <w:name w:val="正文文本 + SimSun26"/>
    <w:qFormat/>
    <w:uiPriority w:val="0"/>
    <w:rPr>
      <w:rFonts w:ascii="宋体" w:hAnsi="宋体" w:eastAsia="Arial Unicode MS" w:cs="宋体"/>
      <w:kern w:val="2"/>
      <w:sz w:val="19"/>
      <w:szCs w:val="19"/>
      <w:u w:val="none"/>
      <w:lang w:val="en-US" w:eastAsia="zh-CN" w:bidi="ar-SA"/>
    </w:rPr>
  </w:style>
  <w:style w:type="character" w:customStyle="1" w:styleId="1205">
    <w:name w:val="正文文本 + SimSun25"/>
    <w:qFormat/>
    <w:uiPriority w:val="0"/>
    <w:rPr>
      <w:rFonts w:ascii="宋体" w:hAnsi="宋体" w:eastAsia="Arial Unicode MS" w:cs="宋体"/>
      <w:kern w:val="2"/>
      <w:sz w:val="19"/>
      <w:szCs w:val="19"/>
      <w:u w:val="none"/>
      <w:lang w:val="en-US" w:eastAsia="zh-CN" w:bidi="ar-SA"/>
    </w:rPr>
  </w:style>
  <w:style w:type="character" w:customStyle="1" w:styleId="1206">
    <w:name w:val="表格标题 (5)_"/>
    <w:link w:val="1207"/>
    <w:qFormat/>
    <w:uiPriority w:val="0"/>
    <w:rPr>
      <w:rFonts w:ascii="宋体" w:hAnsi="宋体"/>
      <w:sz w:val="19"/>
      <w:szCs w:val="19"/>
      <w:shd w:val="clear" w:color="auto" w:fill="FFFFFF"/>
    </w:rPr>
  </w:style>
  <w:style w:type="paragraph" w:customStyle="1" w:styleId="1207">
    <w:name w:val="表格标题 (5)1"/>
    <w:basedOn w:val="1"/>
    <w:link w:val="1206"/>
    <w:qFormat/>
    <w:uiPriority w:val="0"/>
    <w:pPr>
      <w:shd w:val="clear" w:color="auto" w:fill="FFFFFF"/>
      <w:spacing w:line="240" w:lineRule="atLeast"/>
      <w:jc w:val="left"/>
    </w:pPr>
    <w:rPr>
      <w:rFonts w:ascii="宋体" w:hAnsi="宋体" w:eastAsiaTheme="minorEastAsia" w:cstheme="minorBidi"/>
      <w:kern w:val="0"/>
      <w:sz w:val="19"/>
      <w:szCs w:val="19"/>
    </w:rPr>
  </w:style>
  <w:style w:type="character" w:customStyle="1" w:styleId="1208">
    <w:name w:val="表格标题 (5)"/>
    <w:basedOn w:val="1206"/>
    <w:qFormat/>
    <w:uiPriority w:val="0"/>
    <w:rPr>
      <w:rFonts w:ascii="宋体" w:hAnsi="宋体"/>
      <w:sz w:val="19"/>
      <w:szCs w:val="19"/>
      <w:shd w:val="clear" w:color="auto" w:fill="FFFFFF"/>
    </w:rPr>
  </w:style>
  <w:style w:type="character" w:customStyle="1" w:styleId="1209">
    <w:name w:val="正文文本 (30)_"/>
    <w:link w:val="1210"/>
    <w:qFormat/>
    <w:uiPriority w:val="0"/>
    <w:rPr>
      <w:rFonts w:ascii="宋体" w:hAnsi="宋体"/>
      <w:sz w:val="19"/>
      <w:szCs w:val="19"/>
      <w:shd w:val="clear" w:color="auto" w:fill="FFFFFF"/>
    </w:rPr>
  </w:style>
  <w:style w:type="paragraph" w:customStyle="1" w:styleId="1210">
    <w:name w:val="正文文本 (30)"/>
    <w:basedOn w:val="1"/>
    <w:link w:val="1209"/>
    <w:qFormat/>
    <w:uiPriority w:val="0"/>
    <w:pPr>
      <w:shd w:val="clear" w:color="auto" w:fill="FFFFFF"/>
      <w:spacing w:line="240" w:lineRule="atLeast"/>
      <w:jc w:val="left"/>
    </w:pPr>
    <w:rPr>
      <w:rFonts w:ascii="宋体" w:hAnsi="宋体" w:eastAsiaTheme="minorEastAsia" w:cstheme="minorBidi"/>
      <w:kern w:val="0"/>
      <w:sz w:val="19"/>
      <w:szCs w:val="19"/>
    </w:rPr>
  </w:style>
  <w:style w:type="character" w:customStyle="1" w:styleId="1211">
    <w:name w:val="正文文本 + SimSun24"/>
    <w:qFormat/>
    <w:uiPriority w:val="0"/>
    <w:rPr>
      <w:rFonts w:ascii="宋体" w:hAnsi="宋体" w:eastAsia="Arial Unicode MS" w:cs="宋体"/>
      <w:b/>
      <w:bCs/>
      <w:spacing w:val="-10"/>
      <w:kern w:val="2"/>
      <w:sz w:val="25"/>
      <w:szCs w:val="25"/>
      <w:u w:val="none"/>
      <w:lang w:val="en-US" w:eastAsia="zh-CN" w:bidi="ar-SA"/>
    </w:rPr>
  </w:style>
  <w:style w:type="character" w:customStyle="1" w:styleId="1212">
    <w:name w:val="标题 #3 + Arial Unicode MS"/>
    <w:qFormat/>
    <w:uiPriority w:val="0"/>
    <w:rPr>
      <w:rFonts w:ascii="Arial Unicode MS" w:hAnsi="宋体" w:eastAsia="Arial Unicode MS" w:cs="Arial Unicode MS"/>
      <w:b/>
      <w:bCs/>
      <w:spacing w:val="0"/>
      <w:sz w:val="21"/>
      <w:szCs w:val="21"/>
      <w:u w:val="none"/>
      <w:shd w:val="clear" w:color="auto" w:fill="FFFFFF"/>
      <w:lang w:val="en-US" w:eastAsia="en-US"/>
    </w:rPr>
  </w:style>
  <w:style w:type="character" w:customStyle="1" w:styleId="1213">
    <w:name w:val="表格标题 (10) Exact"/>
    <w:link w:val="1214"/>
    <w:qFormat/>
    <w:uiPriority w:val="0"/>
    <w:rPr>
      <w:rFonts w:ascii="Arial Unicode MS" w:eastAsia="Arial Unicode MS"/>
      <w:i/>
      <w:iCs/>
      <w:spacing w:val="-3"/>
      <w:sz w:val="9"/>
      <w:szCs w:val="9"/>
      <w:shd w:val="clear" w:color="auto" w:fill="FFFFFF"/>
      <w:lang w:eastAsia="en-US"/>
    </w:rPr>
  </w:style>
  <w:style w:type="paragraph" w:customStyle="1" w:styleId="1214">
    <w:name w:val="表格标题 (10)"/>
    <w:basedOn w:val="1"/>
    <w:link w:val="1213"/>
    <w:qFormat/>
    <w:uiPriority w:val="0"/>
    <w:pPr>
      <w:shd w:val="clear" w:color="auto" w:fill="FFFFFF"/>
      <w:spacing w:line="240" w:lineRule="atLeast"/>
      <w:jc w:val="left"/>
    </w:pPr>
    <w:rPr>
      <w:rFonts w:ascii="Arial Unicode MS" w:eastAsia="Arial Unicode MS" w:hAnsiTheme="minorHAnsi" w:cstheme="minorBidi"/>
      <w:i/>
      <w:iCs/>
      <w:spacing w:val="-3"/>
      <w:kern w:val="0"/>
      <w:sz w:val="9"/>
      <w:szCs w:val="9"/>
      <w:lang w:eastAsia="en-US"/>
    </w:rPr>
  </w:style>
  <w:style w:type="character" w:customStyle="1" w:styleId="1215">
    <w:name w:val="正文文本 (18)_"/>
    <w:link w:val="1216"/>
    <w:qFormat/>
    <w:uiPriority w:val="0"/>
    <w:rPr>
      <w:b/>
      <w:bCs/>
      <w:sz w:val="19"/>
      <w:szCs w:val="19"/>
      <w:shd w:val="clear" w:color="auto" w:fill="FFFFFF"/>
    </w:rPr>
  </w:style>
  <w:style w:type="paragraph" w:customStyle="1" w:styleId="1216">
    <w:name w:val="正文文本 (18)"/>
    <w:basedOn w:val="1"/>
    <w:link w:val="1215"/>
    <w:qFormat/>
    <w:uiPriority w:val="0"/>
    <w:pPr>
      <w:shd w:val="clear" w:color="auto" w:fill="FFFFFF"/>
      <w:spacing w:line="456" w:lineRule="exact"/>
      <w:jc w:val="left"/>
    </w:pPr>
    <w:rPr>
      <w:rFonts w:asciiTheme="minorHAnsi" w:hAnsiTheme="minorHAnsi" w:eastAsiaTheme="minorEastAsia" w:cstheme="minorBidi"/>
      <w:b/>
      <w:bCs/>
      <w:kern w:val="0"/>
      <w:sz w:val="19"/>
      <w:szCs w:val="19"/>
    </w:rPr>
  </w:style>
  <w:style w:type="character" w:customStyle="1" w:styleId="1217">
    <w:name w:val="正文文本 (18) + Arial Unicode MS1"/>
    <w:qFormat/>
    <w:uiPriority w:val="0"/>
    <w:rPr>
      <w:rFonts w:ascii="Arial Unicode MS" w:eastAsia="Arial Unicode MS" w:cs="Arial Unicode MS"/>
      <w:b/>
      <w:bCs/>
      <w:sz w:val="22"/>
      <w:szCs w:val="22"/>
      <w:shd w:val="clear" w:color="auto" w:fill="FFFFFF"/>
    </w:rPr>
  </w:style>
  <w:style w:type="character" w:customStyle="1" w:styleId="1218">
    <w:name w:val="正文文本 + 9 pt"/>
    <w:qFormat/>
    <w:uiPriority w:val="0"/>
    <w:rPr>
      <w:rFonts w:ascii="Arial Unicode MS" w:eastAsia="Arial Unicode MS" w:cs="Arial Unicode MS"/>
      <w:kern w:val="2"/>
      <w:sz w:val="18"/>
      <w:szCs w:val="18"/>
      <w:u w:val="none"/>
      <w:lang w:val="en-US" w:eastAsia="zh-CN" w:bidi="ar-SA"/>
    </w:rPr>
  </w:style>
  <w:style w:type="character" w:customStyle="1" w:styleId="1219">
    <w:name w:val="标题 #3 + Times New Roman"/>
    <w:qFormat/>
    <w:uiPriority w:val="0"/>
    <w:rPr>
      <w:rFonts w:ascii="Times New Roman" w:hAnsi="Times New Roman" w:cs="Times New Roman"/>
      <w:b/>
      <w:bCs/>
      <w:spacing w:val="0"/>
      <w:sz w:val="19"/>
      <w:szCs w:val="19"/>
      <w:u w:val="none"/>
      <w:shd w:val="clear" w:color="auto" w:fill="FFFFFF"/>
    </w:rPr>
  </w:style>
  <w:style w:type="character" w:customStyle="1" w:styleId="1220">
    <w:name w:val="标题 #3 + Arial Unicode MS3"/>
    <w:qFormat/>
    <w:uiPriority w:val="0"/>
    <w:rPr>
      <w:rFonts w:ascii="Arial Unicode MS" w:hAnsi="宋体" w:eastAsia="Arial Unicode MS" w:cs="Arial Unicode MS"/>
      <w:b/>
      <w:bCs/>
      <w:spacing w:val="0"/>
      <w:sz w:val="18"/>
      <w:szCs w:val="18"/>
      <w:u w:val="none"/>
      <w:shd w:val="clear" w:color="auto" w:fill="FFFFFF"/>
      <w:lang w:val="en-US" w:eastAsia="zh-CN"/>
    </w:rPr>
  </w:style>
  <w:style w:type="character" w:customStyle="1" w:styleId="1221">
    <w:name w:val="表格标题 (2)"/>
    <w:qFormat/>
    <w:uiPriority w:val="0"/>
    <w:rPr>
      <w:rFonts w:ascii="Arial Unicode MS" w:eastAsia="Arial Unicode MS" w:cs="Arial Unicode MS"/>
      <w:sz w:val="21"/>
      <w:szCs w:val="21"/>
      <w:u w:val="none"/>
      <w:shd w:val="clear" w:color="auto" w:fill="FFFFFF"/>
      <w:lang w:eastAsia="en-US"/>
    </w:rPr>
  </w:style>
  <w:style w:type="character" w:customStyle="1" w:styleId="1222">
    <w:name w:val="表格标题 (2) + SimSun"/>
    <w:qFormat/>
    <w:uiPriority w:val="0"/>
    <w:rPr>
      <w:rFonts w:ascii="宋体" w:hAnsi="宋体" w:eastAsia="Arial Unicode MS" w:cs="宋体"/>
      <w:b/>
      <w:bCs/>
      <w:spacing w:val="-10"/>
      <w:sz w:val="25"/>
      <w:szCs w:val="25"/>
      <w:u w:val="none"/>
      <w:shd w:val="clear" w:color="auto" w:fill="FFFFFF"/>
      <w:lang w:eastAsia="en-US"/>
    </w:rPr>
  </w:style>
  <w:style w:type="character" w:customStyle="1" w:styleId="1223">
    <w:name w:val="标题 #2 (2)_"/>
    <w:link w:val="1224"/>
    <w:qFormat/>
    <w:uiPriority w:val="0"/>
    <w:rPr>
      <w:b/>
      <w:bCs/>
      <w:sz w:val="27"/>
      <w:szCs w:val="27"/>
      <w:shd w:val="clear" w:color="auto" w:fill="FFFFFF"/>
      <w:lang w:eastAsia="en-US"/>
    </w:rPr>
  </w:style>
  <w:style w:type="paragraph" w:customStyle="1" w:styleId="1224">
    <w:name w:val="标题 #2 (2)"/>
    <w:basedOn w:val="1"/>
    <w:link w:val="1223"/>
    <w:qFormat/>
    <w:uiPriority w:val="0"/>
    <w:pPr>
      <w:shd w:val="clear" w:color="auto" w:fill="FFFFFF"/>
      <w:spacing w:line="456" w:lineRule="exact"/>
      <w:ind w:firstLine="380"/>
      <w:jc w:val="distribute"/>
      <w:outlineLvl w:val="1"/>
    </w:pPr>
    <w:rPr>
      <w:rFonts w:asciiTheme="minorHAnsi" w:hAnsiTheme="minorHAnsi" w:eastAsiaTheme="minorEastAsia" w:cstheme="minorBidi"/>
      <w:b/>
      <w:bCs/>
      <w:kern w:val="0"/>
      <w:sz w:val="27"/>
      <w:szCs w:val="27"/>
      <w:lang w:eastAsia="en-US"/>
    </w:rPr>
  </w:style>
  <w:style w:type="character" w:customStyle="1" w:styleId="1225">
    <w:name w:val="标题 #2 (2) + SimSun"/>
    <w:qFormat/>
    <w:uiPriority w:val="0"/>
    <w:rPr>
      <w:rFonts w:ascii="宋体" w:hAnsi="宋体" w:cs="宋体"/>
      <w:b/>
      <w:bCs/>
      <w:spacing w:val="-10"/>
      <w:sz w:val="29"/>
      <w:szCs w:val="29"/>
      <w:shd w:val="clear" w:color="auto" w:fill="FFFFFF"/>
      <w:lang w:eastAsia="en-US"/>
    </w:rPr>
  </w:style>
  <w:style w:type="character" w:customStyle="1" w:styleId="1226">
    <w:name w:val="正文文本 + 间距 6 pt"/>
    <w:qFormat/>
    <w:uiPriority w:val="0"/>
    <w:rPr>
      <w:rFonts w:ascii="Arial Unicode MS" w:eastAsia="Arial Unicode MS" w:cs="Arial Unicode MS"/>
      <w:spacing w:val="130"/>
      <w:kern w:val="2"/>
      <w:sz w:val="22"/>
      <w:szCs w:val="22"/>
      <w:u w:val="none"/>
      <w:lang w:val="en-US" w:eastAsia="zh-CN" w:bidi="ar-SA"/>
    </w:rPr>
  </w:style>
  <w:style w:type="character" w:customStyle="1" w:styleId="1227">
    <w:name w:val="表格标题 (6)_"/>
    <w:link w:val="1228"/>
    <w:qFormat/>
    <w:uiPriority w:val="0"/>
    <w:rPr>
      <w:rFonts w:ascii="宋体" w:hAnsi="宋体"/>
      <w:shd w:val="clear" w:color="auto" w:fill="FFFFFF"/>
    </w:rPr>
  </w:style>
  <w:style w:type="paragraph" w:customStyle="1" w:styleId="1228">
    <w:name w:val="表格标题 (6)1"/>
    <w:basedOn w:val="1"/>
    <w:link w:val="1227"/>
    <w:qFormat/>
    <w:uiPriority w:val="0"/>
    <w:pPr>
      <w:shd w:val="clear" w:color="auto" w:fill="FFFFFF"/>
      <w:spacing w:line="240" w:lineRule="atLeast"/>
      <w:jc w:val="left"/>
    </w:pPr>
    <w:rPr>
      <w:rFonts w:ascii="宋体" w:hAnsi="宋体" w:eastAsiaTheme="minorEastAsia" w:cstheme="minorBidi"/>
      <w:kern w:val="0"/>
      <w:sz w:val="20"/>
    </w:rPr>
  </w:style>
  <w:style w:type="character" w:customStyle="1" w:styleId="1229">
    <w:name w:val="表格标题 (6)"/>
    <w:basedOn w:val="1227"/>
    <w:qFormat/>
    <w:uiPriority w:val="0"/>
    <w:rPr>
      <w:rFonts w:ascii="宋体" w:hAnsi="宋体"/>
      <w:shd w:val="clear" w:color="auto" w:fill="FFFFFF"/>
    </w:rPr>
  </w:style>
  <w:style w:type="character" w:customStyle="1" w:styleId="1230">
    <w:name w:val="正文文本 + SimSun23"/>
    <w:qFormat/>
    <w:uiPriority w:val="0"/>
    <w:rPr>
      <w:rFonts w:ascii="宋体" w:hAnsi="宋体" w:eastAsia="Arial Unicode MS" w:cs="宋体"/>
      <w:kern w:val="2"/>
      <w:sz w:val="17"/>
      <w:szCs w:val="17"/>
      <w:u w:val="none"/>
      <w:lang w:val="en-US" w:eastAsia="zh-CN" w:bidi="ar-SA"/>
    </w:rPr>
  </w:style>
  <w:style w:type="character" w:customStyle="1" w:styleId="1231">
    <w:name w:val="图片标题 (2)"/>
    <w:basedOn w:val="507"/>
    <w:qFormat/>
    <w:uiPriority w:val="0"/>
    <w:rPr>
      <w:rFonts w:ascii="Arial Unicode MS" w:eastAsia="Arial Unicode MS"/>
      <w:sz w:val="22"/>
      <w:szCs w:val="22"/>
      <w:shd w:val="clear" w:color="auto" w:fill="FFFFFF"/>
    </w:rPr>
  </w:style>
  <w:style w:type="character" w:customStyle="1" w:styleId="1232">
    <w:name w:val="正文文本 + 4.5 pt8"/>
    <w:qFormat/>
    <w:uiPriority w:val="0"/>
    <w:rPr>
      <w:rFonts w:ascii="Arial Unicode MS" w:eastAsia="Arial Unicode MS" w:cs="Arial Unicode MS"/>
      <w:i/>
      <w:iCs/>
      <w:kern w:val="2"/>
      <w:sz w:val="9"/>
      <w:szCs w:val="9"/>
      <w:u w:val="none"/>
      <w:lang w:val="en-US" w:eastAsia="zh-CN" w:bidi="ar-SA"/>
    </w:rPr>
  </w:style>
  <w:style w:type="character" w:customStyle="1" w:styleId="1233">
    <w:name w:val="标题 #1 + Times New Roman2"/>
    <w:qFormat/>
    <w:uiPriority w:val="0"/>
    <w:rPr>
      <w:rFonts w:ascii="Times New Roman" w:hAnsi="Times New Roman" w:cs="Times New Roman"/>
      <w:b/>
      <w:bCs/>
      <w:sz w:val="27"/>
      <w:szCs w:val="27"/>
      <w:shd w:val="clear" w:color="auto" w:fill="FFFFFF"/>
      <w:lang w:val="en-US" w:eastAsia="zh-CN"/>
    </w:rPr>
  </w:style>
  <w:style w:type="character" w:customStyle="1" w:styleId="1234">
    <w:name w:val="标题 #1 + 间距 0 pt"/>
    <w:qFormat/>
    <w:uiPriority w:val="0"/>
    <w:rPr>
      <w:rFonts w:ascii="宋体" w:hAnsi="宋体"/>
      <w:spacing w:val="-10"/>
      <w:sz w:val="29"/>
      <w:szCs w:val="29"/>
      <w:shd w:val="clear" w:color="auto" w:fill="FFFFFF"/>
    </w:rPr>
  </w:style>
  <w:style w:type="character" w:customStyle="1" w:styleId="1235">
    <w:name w:val="图片标题3"/>
    <w:basedOn w:val="1071"/>
    <w:qFormat/>
    <w:uiPriority w:val="0"/>
    <w:rPr>
      <w:rFonts w:ascii="Arial Unicode MS" w:eastAsia="Arial Unicode MS"/>
      <w:sz w:val="21"/>
      <w:szCs w:val="21"/>
      <w:shd w:val="clear" w:color="auto" w:fill="FFFFFF"/>
      <w:lang w:eastAsia="en-US"/>
    </w:rPr>
  </w:style>
  <w:style w:type="character" w:customStyle="1" w:styleId="1236">
    <w:name w:val="正文文本 + 10.5 pt2"/>
    <w:qFormat/>
    <w:uiPriority w:val="0"/>
    <w:rPr>
      <w:rFonts w:ascii="Arial Unicode MS" w:eastAsia="Arial Unicode MS" w:cs="Arial Unicode MS"/>
      <w:kern w:val="2"/>
      <w:sz w:val="21"/>
      <w:szCs w:val="21"/>
      <w:u w:val="none"/>
      <w:lang w:val="en-US" w:eastAsia="en-US" w:bidi="ar-SA"/>
    </w:rPr>
  </w:style>
  <w:style w:type="character" w:customStyle="1" w:styleId="1237">
    <w:name w:val="图片标题 (2) + 10.5 pt3"/>
    <w:qFormat/>
    <w:uiPriority w:val="0"/>
    <w:rPr>
      <w:rFonts w:ascii="Arial Unicode MS" w:eastAsia="Arial Unicode MS"/>
      <w:spacing w:val="40"/>
      <w:sz w:val="21"/>
      <w:szCs w:val="21"/>
      <w:shd w:val="clear" w:color="auto" w:fill="FFFFFF"/>
      <w:lang w:val="en-US" w:eastAsia="en-US"/>
    </w:rPr>
  </w:style>
  <w:style w:type="character" w:customStyle="1" w:styleId="1238">
    <w:name w:val="正文文本 (7)9"/>
    <w:qFormat/>
    <w:uiPriority w:val="0"/>
    <w:rPr>
      <w:rFonts w:ascii="Arial Unicode MS" w:eastAsia="Arial Unicode MS" w:cs="Arial Unicode MS"/>
      <w:strike/>
      <w:sz w:val="21"/>
      <w:szCs w:val="21"/>
      <w:u w:val="none"/>
      <w:shd w:val="clear" w:color="auto" w:fill="FFFFFF"/>
      <w:lang w:eastAsia="en-US"/>
    </w:rPr>
  </w:style>
  <w:style w:type="character" w:customStyle="1" w:styleId="1239">
    <w:name w:val="正文文本 (7) + 11 pt8"/>
    <w:qFormat/>
    <w:uiPriority w:val="0"/>
    <w:rPr>
      <w:rFonts w:ascii="Arial Unicode MS" w:eastAsia="Arial Unicode MS" w:cs="Arial Unicode MS"/>
      <w:spacing w:val="30"/>
      <w:sz w:val="22"/>
      <w:szCs w:val="22"/>
      <w:u w:val="none"/>
      <w:shd w:val="clear" w:color="auto" w:fill="FFFFFF"/>
      <w:lang w:eastAsia="en-US"/>
    </w:rPr>
  </w:style>
  <w:style w:type="character" w:customStyle="1" w:styleId="1240">
    <w:name w:val="正文文本 (7) + 10.5 pt"/>
    <w:qFormat/>
    <w:uiPriority w:val="0"/>
    <w:rPr>
      <w:rFonts w:ascii="Arial Unicode MS" w:eastAsia="Arial Unicode MS" w:cs="Arial Unicode MS"/>
      <w:spacing w:val="1"/>
      <w:sz w:val="21"/>
      <w:szCs w:val="21"/>
      <w:u w:val="none"/>
      <w:shd w:val="clear" w:color="auto" w:fill="FFFFFF"/>
      <w:lang w:eastAsia="en-US"/>
    </w:rPr>
  </w:style>
  <w:style w:type="character" w:customStyle="1" w:styleId="1241">
    <w:name w:val="正文文本 (7) + 10.5 pt4"/>
    <w:qFormat/>
    <w:uiPriority w:val="0"/>
    <w:rPr>
      <w:rFonts w:ascii="Arial Unicode MS" w:eastAsia="Arial Unicode MS" w:cs="Arial Unicode MS"/>
      <w:spacing w:val="26"/>
      <w:sz w:val="21"/>
      <w:szCs w:val="21"/>
      <w:u w:val="none"/>
      <w:shd w:val="clear" w:color="auto" w:fill="FFFFFF"/>
      <w:lang w:eastAsia="en-US"/>
    </w:rPr>
  </w:style>
  <w:style w:type="character" w:customStyle="1" w:styleId="1242">
    <w:name w:val="图片标题 + 10.5 pt"/>
    <w:qFormat/>
    <w:uiPriority w:val="0"/>
    <w:rPr>
      <w:rFonts w:ascii="Arial Unicode MS" w:eastAsia="Arial Unicode MS"/>
      <w:spacing w:val="1"/>
      <w:sz w:val="21"/>
      <w:szCs w:val="21"/>
      <w:shd w:val="clear" w:color="auto" w:fill="FFFFFF"/>
      <w:lang w:eastAsia="en-US"/>
    </w:rPr>
  </w:style>
  <w:style w:type="character" w:customStyle="1" w:styleId="1243">
    <w:name w:val="正文文本 + 10 pt"/>
    <w:qFormat/>
    <w:uiPriority w:val="0"/>
    <w:rPr>
      <w:rFonts w:ascii="Arial Unicode MS" w:eastAsia="Arial Unicode MS" w:cs="Arial Unicode MS"/>
      <w:kern w:val="2"/>
      <w:sz w:val="20"/>
      <w:szCs w:val="20"/>
      <w:u w:val="none"/>
      <w:lang w:val="en-US" w:eastAsia="zh-CN" w:bidi="ar-SA"/>
    </w:rPr>
  </w:style>
  <w:style w:type="character" w:customStyle="1" w:styleId="1244">
    <w:name w:val="正文文本 (2) + Arial Unicode MS6"/>
    <w:qFormat/>
    <w:uiPriority w:val="0"/>
    <w:rPr>
      <w:rFonts w:ascii="Arial Unicode MS" w:hAnsi="宋体" w:eastAsia="Arial Unicode MS" w:cs="Arial Unicode MS"/>
      <w:b/>
      <w:bCs/>
      <w:spacing w:val="4"/>
      <w:sz w:val="15"/>
      <w:szCs w:val="15"/>
      <w:shd w:val="clear" w:color="auto" w:fill="FFFFFF"/>
      <w:lang w:val="en-US" w:eastAsia="en-US"/>
    </w:rPr>
  </w:style>
  <w:style w:type="character" w:customStyle="1" w:styleId="1245">
    <w:name w:val="图片标题 + 11 pt1"/>
    <w:qFormat/>
    <w:uiPriority w:val="0"/>
    <w:rPr>
      <w:rFonts w:ascii="Arial Unicode MS" w:eastAsia="Arial Unicode MS"/>
      <w:spacing w:val="-30"/>
      <w:sz w:val="22"/>
      <w:szCs w:val="22"/>
      <w:shd w:val="clear" w:color="auto" w:fill="FFFFFF"/>
      <w:lang w:eastAsia="en-US"/>
    </w:rPr>
  </w:style>
  <w:style w:type="character" w:customStyle="1" w:styleId="1246">
    <w:name w:val="正文文本 (19) + 间距 3 pt Exact"/>
    <w:qFormat/>
    <w:uiPriority w:val="0"/>
    <w:rPr>
      <w:rFonts w:ascii="宋体" w:hAnsi="宋体"/>
      <w:spacing w:val="76"/>
      <w:sz w:val="19"/>
      <w:szCs w:val="19"/>
      <w:shd w:val="clear" w:color="auto" w:fill="FFFFFF"/>
    </w:rPr>
  </w:style>
  <w:style w:type="character" w:customStyle="1" w:styleId="1247">
    <w:name w:val="正文文本 (20) Exact"/>
    <w:link w:val="1248"/>
    <w:qFormat/>
    <w:uiPriority w:val="0"/>
    <w:rPr>
      <w:rFonts w:ascii="宋体" w:hAnsi="宋体"/>
      <w:sz w:val="25"/>
      <w:szCs w:val="25"/>
      <w:shd w:val="clear" w:color="auto" w:fill="FFFFFF"/>
    </w:rPr>
  </w:style>
  <w:style w:type="paragraph" w:customStyle="1" w:styleId="1248">
    <w:name w:val="正文文本 (20)"/>
    <w:basedOn w:val="1"/>
    <w:link w:val="1247"/>
    <w:qFormat/>
    <w:uiPriority w:val="0"/>
    <w:pPr>
      <w:shd w:val="clear" w:color="auto" w:fill="FFFFFF"/>
      <w:spacing w:line="274" w:lineRule="exact"/>
      <w:jc w:val="distribute"/>
    </w:pPr>
    <w:rPr>
      <w:rFonts w:ascii="宋体" w:hAnsi="宋体" w:eastAsiaTheme="minorEastAsia" w:cstheme="minorBidi"/>
      <w:kern w:val="0"/>
      <w:sz w:val="25"/>
      <w:szCs w:val="25"/>
    </w:rPr>
  </w:style>
  <w:style w:type="character" w:customStyle="1" w:styleId="1249">
    <w:name w:val="正文文本 (19) + 8 pt"/>
    <w:qFormat/>
    <w:uiPriority w:val="0"/>
    <w:rPr>
      <w:rFonts w:ascii="宋体" w:hAnsi="宋体"/>
      <w:spacing w:val="0"/>
      <w:sz w:val="16"/>
      <w:szCs w:val="16"/>
      <w:shd w:val="clear" w:color="auto" w:fill="FFFFFF"/>
      <w:lang w:val="en-US" w:eastAsia="en-US"/>
    </w:rPr>
  </w:style>
  <w:style w:type="character" w:customStyle="1" w:styleId="1250">
    <w:name w:val="正文文本 + 间距 0 pt Exact3"/>
    <w:qFormat/>
    <w:uiPriority w:val="0"/>
    <w:rPr>
      <w:rFonts w:ascii="Arial Unicode MS" w:eastAsia="Arial Unicode MS" w:cs="Arial Unicode MS"/>
      <w:spacing w:val="1"/>
      <w:kern w:val="2"/>
      <w:sz w:val="21"/>
      <w:szCs w:val="21"/>
      <w:u w:val="single"/>
      <w:lang w:val="en-US" w:eastAsia="zh-CN" w:bidi="ar-SA"/>
    </w:rPr>
  </w:style>
  <w:style w:type="character" w:customStyle="1" w:styleId="1251">
    <w:name w:val="标题 #3 (2)_"/>
    <w:link w:val="1252"/>
    <w:qFormat/>
    <w:uiPriority w:val="0"/>
    <w:rPr>
      <w:rFonts w:ascii="Arial Unicode MS" w:eastAsia="Arial Unicode MS"/>
      <w:sz w:val="22"/>
      <w:szCs w:val="22"/>
      <w:shd w:val="clear" w:color="auto" w:fill="FFFFFF"/>
    </w:rPr>
  </w:style>
  <w:style w:type="paragraph" w:customStyle="1" w:styleId="1252">
    <w:name w:val="标题 #3 (2)"/>
    <w:basedOn w:val="1"/>
    <w:link w:val="1251"/>
    <w:qFormat/>
    <w:uiPriority w:val="0"/>
    <w:pPr>
      <w:shd w:val="clear" w:color="auto" w:fill="FFFFFF"/>
      <w:spacing w:before="360" w:line="456" w:lineRule="exact"/>
      <w:ind w:firstLine="580"/>
      <w:jc w:val="distribute"/>
      <w:outlineLvl w:val="2"/>
    </w:pPr>
    <w:rPr>
      <w:rFonts w:ascii="Arial Unicode MS" w:eastAsia="Arial Unicode MS" w:hAnsiTheme="minorHAnsi" w:cstheme="minorBidi"/>
      <w:kern w:val="0"/>
      <w:sz w:val="22"/>
      <w:szCs w:val="22"/>
    </w:rPr>
  </w:style>
  <w:style w:type="character" w:customStyle="1" w:styleId="1253">
    <w:name w:val="正文文本 + SimSun13"/>
    <w:qFormat/>
    <w:uiPriority w:val="0"/>
    <w:rPr>
      <w:rFonts w:ascii="宋体" w:hAnsi="宋体" w:eastAsia="Arial Unicode MS" w:cs="宋体"/>
      <w:i/>
      <w:iCs/>
      <w:spacing w:val="-80"/>
      <w:kern w:val="2"/>
      <w:sz w:val="38"/>
      <w:szCs w:val="38"/>
      <w:u w:val="none"/>
      <w:lang w:val="en-US" w:eastAsia="zh-CN" w:bidi="ar-SA"/>
    </w:rPr>
  </w:style>
  <w:style w:type="character" w:customStyle="1" w:styleId="1254">
    <w:name w:val="标题 #3 (2) + 10.5 pt"/>
    <w:qFormat/>
    <w:uiPriority w:val="0"/>
    <w:rPr>
      <w:rFonts w:ascii="Arial Unicode MS" w:eastAsia="Arial Unicode MS"/>
      <w:sz w:val="21"/>
      <w:szCs w:val="21"/>
      <w:shd w:val="clear" w:color="auto" w:fill="FFFFFF"/>
      <w:lang w:val="en-US" w:eastAsia="en-US"/>
    </w:rPr>
  </w:style>
  <w:style w:type="character" w:customStyle="1" w:styleId="1255">
    <w:name w:val="正文文本 (19) + 4.5 pt"/>
    <w:qFormat/>
    <w:uiPriority w:val="0"/>
    <w:rPr>
      <w:rFonts w:ascii="宋体" w:hAnsi="宋体"/>
      <w:spacing w:val="45"/>
      <w:w w:val="66"/>
      <w:sz w:val="9"/>
      <w:szCs w:val="9"/>
      <w:shd w:val="clear" w:color="auto" w:fill="FFFFFF"/>
      <w:lang w:val="en-US" w:eastAsia="en-US"/>
    </w:rPr>
  </w:style>
  <w:style w:type="character" w:customStyle="1" w:styleId="1256">
    <w:name w:val="正文文本 (16) + 间距 2 pt Exact"/>
    <w:qFormat/>
    <w:uiPriority w:val="0"/>
    <w:rPr>
      <w:rFonts w:ascii="宋体" w:hAnsi="宋体"/>
      <w:spacing w:val="45"/>
      <w:w w:val="66"/>
      <w:sz w:val="9"/>
      <w:szCs w:val="9"/>
      <w:shd w:val="clear" w:color="auto" w:fill="FFFFFF"/>
      <w:lang w:eastAsia="en-US"/>
    </w:rPr>
  </w:style>
  <w:style w:type="character" w:customStyle="1" w:styleId="1257">
    <w:name w:val="正文文本 (22) Exact"/>
    <w:link w:val="1258"/>
    <w:qFormat/>
    <w:uiPriority w:val="0"/>
    <w:rPr>
      <w:rFonts w:ascii="宋体" w:hAnsi="宋体"/>
      <w:sz w:val="16"/>
      <w:szCs w:val="16"/>
      <w:shd w:val="clear" w:color="auto" w:fill="FFFFFF"/>
    </w:rPr>
  </w:style>
  <w:style w:type="paragraph" w:customStyle="1" w:styleId="1258">
    <w:name w:val="正文文本 (22)"/>
    <w:basedOn w:val="1"/>
    <w:link w:val="1257"/>
    <w:qFormat/>
    <w:uiPriority w:val="0"/>
    <w:pPr>
      <w:shd w:val="clear" w:color="auto" w:fill="FFFFFF"/>
      <w:spacing w:line="240" w:lineRule="atLeast"/>
      <w:jc w:val="left"/>
    </w:pPr>
    <w:rPr>
      <w:rFonts w:ascii="宋体" w:hAnsi="宋体" w:eastAsiaTheme="minorEastAsia" w:cstheme="minorBidi"/>
      <w:kern w:val="0"/>
      <w:sz w:val="16"/>
      <w:szCs w:val="16"/>
    </w:rPr>
  </w:style>
  <w:style w:type="character" w:customStyle="1" w:styleId="1259">
    <w:name w:val="图片标题 (20) Exact"/>
    <w:link w:val="1260"/>
    <w:qFormat/>
    <w:uiPriority w:val="0"/>
    <w:rPr>
      <w:rFonts w:ascii="Arial Unicode MS" w:eastAsia="Arial Unicode MS"/>
      <w:spacing w:val="2"/>
      <w:sz w:val="15"/>
      <w:szCs w:val="15"/>
      <w:shd w:val="clear" w:color="auto" w:fill="FFFFFF"/>
    </w:rPr>
  </w:style>
  <w:style w:type="paragraph" w:customStyle="1" w:styleId="1260">
    <w:name w:val="图片标题 (20)"/>
    <w:basedOn w:val="1"/>
    <w:link w:val="1259"/>
    <w:qFormat/>
    <w:uiPriority w:val="0"/>
    <w:pPr>
      <w:shd w:val="clear" w:color="auto" w:fill="FFFFFF"/>
      <w:spacing w:before="60" w:line="240" w:lineRule="atLeast"/>
      <w:jc w:val="left"/>
    </w:pPr>
    <w:rPr>
      <w:rFonts w:ascii="Arial Unicode MS" w:eastAsia="Arial Unicode MS" w:hAnsiTheme="minorHAnsi" w:cstheme="minorBidi"/>
      <w:spacing w:val="2"/>
      <w:kern w:val="0"/>
      <w:sz w:val="15"/>
      <w:szCs w:val="15"/>
    </w:rPr>
  </w:style>
  <w:style w:type="character" w:customStyle="1" w:styleId="1261">
    <w:name w:val="正文文本 (7) + Times New Roman4"/>
    <w:qFormat/>
    <w:uiPriority w:val="0"/>
    <w:rPr>
      <w:rFonts w:ascii="Times New Roman" w:hAnsi="Times New Roman" w:eastAsia="Arial Unicode MS" w:cs="Times New Roman"/>
      <w:spacing w:val="4"/>
      <w:sz w:val="19"/>
      <w:szCs w:val="19"/>
      <w:u w:val="none"/>
      <w:shd w:val="clear" w:color="auto" w:fill="FFFFFF"/>
      <w:lang w:eastAsia="en-US"/>
    </w:rPr>
  </w:style>
  <w:style w:type="character" w:customStyle="1" w:styleId="1262">
    <w:name w:val="表格标题 (2) + 间距 0 pt Exact"/>
    <w:qFormat/>
    <w:uiPriority w:val="0"/>
    <w:rPr>
      <w:rFonts w:ascii="Arial Unicode MS" w:eastAsia="Arial Unicode MS" w:cs="Arial Unicode MS"/>
      <w:sz w:val="20"/>
      <w:szCs w:val="20"/>
      <w:u w:val="none"/>
      <w:shd w:val="clear" w:color="auto" w:fill="FFFFFF"/>
      <w:lang w:eastAsia="en-US"/>
    </w:rPr>
  </w:style>
  <w:style w:type="character" w:customStyle="1" w:styleId="1263">
    <w:name w:val="标题 #3 + Arial Unicode MS2"/>
    <w:qFormat/>
    <w:uiPriority w:val="0"/>
    <w:rPr>
      <w:rFonts w:ascii="Arial Unicode MS" w:hAnsi="宋体" w:eastAsia="Arial Unicode MS" w:cs="Arial Unicode MS"/>
      <w:b/>
      <w:bCs/>
      <w:spacing w:val="0"/>
      <w:sz w:val="21"/>
      <w:szCs w:val="21"/>
      <w:u w:val="none"/>
      <w:shd w:val="clear" w:color="auto" w:fill="FFFFFF"/>
      <w:lang w:val="en-US" w:eastAsia="en-US"/>
    </w:rPr>
  </w:style>
  <w:style w:type="character" w:customStyle="1" w:styleId="1264">
    <w:name w:val="正文文本 (7)7"/>
    <w:qFormat/>
    <w:uiPriority w:val="0"/>
    <w:rPr>
      <w:rFonts w:ascii="Arial Unicode MS" w:eastAsia="Arial Unicode MS" w:cs="Arial Unicode MS"/>
      <w:strike/>
      <w:sz w:val="21"/>
      <w:szCs w:val="21"/>
      <w:u w:val="none"/>
      <w:shd w:val="clear" w:color="auto" w:fill="FFFFFF"/>
      <w:lang w:eastAsia="en-US"/>
    </w:rPr>
  </w:style>
  <w:style w:type="character" w:customStyle="1" w:styleId="1265">
    <w:name w:val="正文文本 (7) + 11 pt7"/>
    <w:qFormat/>
    <w:uiPriority w:val="0"/>
    <w:rPr>
      <w:rFonts w:ascii="Arial Unicode MS" w:eastAsia="Arial Unicode MS" w:cs="Arial Unicode MS"/>
      <w:sz w:val="22"/>
      <w:szCs w:val="22"/>
      <w:u w:val="none"/>
      <w:shd w:val="clear" w:color="auto" w:fill="FFFFFF"/>
      <w:lang w:eastAsia="en-US"/>
    </w:rPr>
  </w:style>
  <w:style w:type="character" w:customStyle="1" w:styleId="1266">
    <w:name w:val="图片标题 + 11 pt2"/>
    <w:qFormat/>
    <w:uiPriority w:val="0"/>
    <w:rPr>
      <w:rFonts w:ascii="Arial Unicode MS" w:eastAsia="Arial Unicode MS"/>
      <w:sz w:val="22"/>
      <w:szCs w:val="22"/>
      <w:shd w:val="clear" w:color="auto" w:fill="FFFFFF"/>
      <w:lang w:eastAsia="en-US"/>
    </w:rPr>
  </w:style>
  <w:style w:type="character" w:customStyle="1" w:styleId="1267">
    <w:name w:val="正文文本 (23) Exact"/>
    <w:qFormat/>
    <w:uiPriority w:val="0"/>
    <w:rPr>
      <w:rFonts w:ascii="Arial Unicode MS" w:eastAsia="Arial Unicode MS" w:cs="Arial Unicode MS"/>
      <w:i/>
      <w:iCs/>
      <w:spacing w:val="-4"/>
      <w:sz w:val="20"/>
      <w:szCs w:val="20"/>
      <w:u w:val="none"/>
      <w:lang w:val="en-US" w:eastAsia="en-US"/>
    </w:rPr>
  </w:style>
  <w:style w:type="character" w:customStyle="1" w:styleId="1268">
    <w:name w:val="正文文本 (23)_"/>
    <w:link w:val="1269"/>
    <w:qFormat/>
    <w:uiPriority w:val="0"/>
    <w:rPr>
      <w:rFonts w:ascii="Arial Unicode MS" w:eastAsia="Arial Unicode MS"/>
      <w:i/>
      <w:iCs/>
      <w:shd w:val="clear" w:color="auto" w:fill="FFFFFF"/>
      <w:lang w:eastAsia="en-US"/>
    </w:rPr>
  </w:style>
  <w:style w:type="paragraph" w:customStyle="1" w:styleId="1269">
    <w:name w:val="正文文本 (23)"/>
    <w:basedOn w:val="1"/>
    <w:link w:val="1268"/>
    <w:qFormat/>
    <w:uiPriority w:val="0"/>
    <w:pPr>
      <w:shd w:val="clear" w:color="auto" w:fill="FFFFFF"/>
      <w:spacing w:before="360" w:line="240" w:lineRule="atLeast"/>
      <w:jc w:val="left"/>
    </w:pPr>
    <w:rPr>
      <w:rFonts w:ascii="Arial Unicode MS" w:eastAsia="Arial Unicode MS" w:hAnsiTheme="minorHAnsi" w:cstheme="minorBidi"/>
      <w:i/>
      <w:iCs/>
      <w:kern w:val="0"/>
      <w:sz w:val="20"/>
      <w:lang w:eastAsia="en-US"/>
    </w:rPr>
  </w:style>
  <w:style w:type="character" w:customStyle="1" w:styleId="1270">
    <w:name w:val="正文文本 (23) + 11 pt"/>
    <w:qFormat/>
    <w:uiPriority w:val="0"/>
    <w:rPr>
      <w:rFonts w:ascii="Arial Unicode MS" w:eastAsia="Arial Unicode MS"/>
      <w:i/>
      <w:iCs/>
      <w:sz w:val="22"/>
      <w:szCs w:val="22"/>
      <w:shd w:val="clear" w:color="auto" w:fill="FFFFFF"/>
      <w:lang w:val="en-US" w:eastAsia="zh-CN"/>
    </w:rPr>
  </w:style>
  <w:style w:type="character" w:customStyle="1" w:styleId="1271">
    <w:name w:val="正文文本 (19) + 间距 4 pt Exact"/>
    <w:qFormat/>
    <w:uiPriority w:val="0"/>
    <w:rPr>
      <w:rFonts w:ascii="宋体" w:hAnsi="宋体"/>
      <w:spacing w:val="84"/>
      <w:sz w:val="19"/>
      <w:szCs w:val="19"/>
      <w:shd w:val="clear" w:color="auto" w:fill="FFFFFF"/>
    </w:rPr>
  </w:style>
  <w:style w:type="character" w:customStyle="1" w:styleId="1272">
    <w:name w:val="正文文本 + 间距 0 pt Exact2"/>
    <w:qFormat/>
    <w:uiPriority w:val="0"/>
    <w:rPr>
      <w:rFonts w:ascii="Arial Unicode MS" w:eastAsia="Arial Unicode MS" w:cs="Arial Unicode MS"/>
      <w:kern w:val="2"/>
      <w:sz w:val="21"/>
      <w:szCs w:val="21"/>
      <w:u w:val="none"/>
      <w:lang w:val="en-US" w:eastAsia="zh-CN" w:bidi="ar-SA"/>
    </w:rPr>
  </w:style>
  <w:style w:type="character" w:customStyle="1" w:styleId="1273">
    <w:name w:val="正文文本 (7) + 10.5 pt2"/>
    <w:qFormat/>
    <w:uiPriority w:val="0"/>
    <w:rPr>
      <w:rFonts w:ascii="Arial Unicode MS" w:eastAsia="Arial Unicode MS" w:cs="Arial Unicode MS"/>
      <w:spacing w:val="57"/>
      <w:sz w:val="21"/>
      <w:szCs w:val="21"/>
      <w:u w:val="none"/>
      <w:shd w:val="clear" w:color="auto" w:fill="FFFFFF"/>
      <w:lang w:eastAsia="en-US"/>
    </w:rPr>
  </w:style>
  <w:style w:type="character" w:customStyle="1" w:styleId="1274">
    <w:name w:val="正文文本 + 间距 2 pt Exact1"/>
    <w:qFormat/>
    <w:uiPriority w:val="0"/>
    <w:rPr>
      <w:rFonts w:ascii="Arial Unicode MS" w:eastAsia="Arial Unicode MS" w:cs="Arial Unicode MS"/>
      <w:spacing w:val="57"/>
      <w:kern w:val="2"/>
      <w:sz w:val="21"/>
      <w:szCs w:val="21"/>
      <w:u w:val="none"/>
      <w:lang w:val="en-US" w:eastAsia="zh-CN" w:bidi="ar-SA"/>
    </w:rPr>
  </w:style>
  <w:style w:type="character" w:customStyle="1" w:styleId="1275">
    <w:name w:val="正文文本 + Times New Roman10"/>
    <w:qFormat/>
    <w:uiPriority w:val="0"/>
    <w:rPr>
      <w:rFonts w:ascii="Times New Roman" w:hAnsi="Times New Roman" w:eastAsia="Arial Unicode MS" w:cs="Times New Roman"/>
      <w:b/>
      <w:bCs/>
      <w:spacing w:val="-4"/>
      <w:kern w:val="2"/>
      <w:sz w:val="17"/>
      <w:szCs w:val="17"/>
      <w:u w:val="none"/>
      <w:lang w:val="en-US" w:eastAsia="en-US" w:bidi="ar-SA"/>
    </w:rPr>
  </w:style>
  <w:style w:type="character" w:customStyle="1" w:styleId="1276">
    <w:name w:val="标题 #3 (3) + SimSun"/>
    <w:qFormat/>
    <w:uiPriority w:val="0"/>
    <w:rPr>
      <w:rFonts w:ascii="宋体" w:hAnsi="宋体" w:eastAsia="Arial Unicode MS" w:cs="宋体"/>
      <w:b/>
      <w:bCs/>
      <w:sz w:val="25"/>
      <w:szCs w:val="25"/>
      <w:shd w:val="clear" w:color="auto" w:fill="FFFFFF"/>
      <w:lang w:eastAsia="en-US"/>
    </w:rPr>
  </w:style>
  <w:style w:type="character" w:customStyle="1" w:styleId="1277">
    <w:name w:val="标题 #4 + Times New Roman"/>
    <w:qFormat/>
    <w:uiPriority w:val="0"/>
    <w:rPr>
      <w:rFonts w:ascii="Times New Roman" w:hAnsi="Times New Roman" w:eastAsia="Arial Unicode MS" w:cs="Times New Roman"/>
      <w:sz w:val="20"/>
      <w:szCs w:val="20"/>
      <w:u w:val="none"/>
      <w:shd w:val="clear" w:color="auto" w:fill="FFFFFF"/>
      <w:lang w:val="en-US" w:eastAsia="zh-CN"/>
    </w:rPr>
  </w:style>
  <w:style w:type="character" w:customStyle="1" w:styleId="1278">
    <w:name w:val="正文文本 (13) + 间距 0 pt"/>
    <w:qFormat/>
    <w:uiPriority w:val="0"/>
    <w:rPr>
      <w:rFonts w:ascii="Arial Unicode MS" w:eastAsia="Arial Unicode MS"/>
      <w:i/>
      <w:iCs/>
      <w:spacing w:val="0"/>
      <w:sz w:val="9"/>
      <w:szCs w:val="9"/>
      <w:shd w:val="clear" w:color="auto" w:fill="FFFFFF"/>
      <w:lang w:eastAsia="en-US"/>
    </w:rPr>
  </w:style>
  <w:style w:type="character" w:customStyle="1" w:styleId="1279">
    <w:name w:val="正文文本 (13) + 10.5 pt"/>
    <w:qFormat/>
    <w:uiPriority w:val="0"/>
    <w:rPr>
      <w:rFonts w:ascii="Arial Unicode MS" w:eastAsia="Arial Unicode MS"/>
      <w:i/>
      <w:iCs/>
      <w:spacing w:val="0"/>
      <w:sz w:val="21"/>
      <w:szCs w:val="21"/>
      <w:shd w:val="clear" w:color="auto" w:fill="FFFFFF"/>
      <w:lang w:eastAsia="en-US"/>
    </w:rPr>
  </w:style>
  <w:style w:type="character" w:customStyle="1" w:styleId="1280">
    <w:name w:val="正文文本 (5) + Times New Roman1"/>
    <w:qFormat/>
    <w:uiPriority w:val="0"/>
    <w:rPr>
      <w:rFonts w:ascii="Times New Roman" w:hAnsi="Times New Roman" w:cs="Times New Roman"/>
      <w:b/>
      <w:bCs/>
      <w:spacing w:val="0"/>
      <w:sz w:val="24"/>
      <w:szCs w:val="24"/>
      <w:shd w:val="clear" w:color="auto" w:fill="FFFFFF"/>
      <w:lang w:val="en-US" w:eastAsia="zh-CN"/>
    </w:rPr>
  </w:style>
  <w:style w:type="character" w:customStyle="1" w:styleId="1281">
    <w:name w:val="正文文本 + 9.5 pt4"/>
    <w:qFormat/>
    <w:uiPriority w:val="0"/>
    <w:rPr>
      <w:rFonts w:ascii="Arial Unicode MS" w:eastAsia="Arial Unicode MS" w:cs="Arial Unicode MS"/>
      <w:b/>
      <w:bCs/>
      <w:smallCaps/>
      <w:kern w:val="2"/>
      <w:sz w:val="19"/>
      <w:szCs w:val="19"/>
      <w:u w:val="none"/>
      <w:lang w:val="en-US" w:eastAsia="en-US" w:bidi="ar-SA"/>
    </w:rPr>
  </w:style>
  <w:style w:type="character" w:customStyle="1" w:styleId="1282">
    <w:name w:val="正文文本 (6) + Arial Unicode MS4"/>
    <w:qFormat/>
    <w:uiPriority w:val="0"/>
    <w:rPr>
      <w:rFonts w:ascii="Arial Unicode MS" w:hAnsi="宋体" w:eastAsia="Arial Unicode MS" w:cs="Arial Unicode MS"/>
      <w:sz w:val="21"/>
      <w:szCs w:val="21"/>
      <w:u w:val="none"/>
      <w:shd w:val="clear" w:color="auto" w:fill="FFFFFF"/>
      <w:lang w:val="en-US" w:eastAsia="en-US"/>
    </w:rPr>
  </w:style>
  <w:style w:type="character" w:customStyle="1" w:styleId="1283">
    <w:name w:val="图片标题 (17)_"/>
    <w:link w:val="1284"/>
    <w:qFormat/>
    <w:uiPriority w:val="0"/>
    <w:rPr>
      <w:rFonts w:ascii="宋体" w:hAnsi="宋体"/>
      <w:spacing w:val="20"/>
      <w:sz w:val="19"/>
      <w:szCs w:val="19"/>
      <w:shd w:val="clear" w:color="auto" w:fill="FFFFFF"/>
    </w:rPr>
  </w:style>
  <w:style w:type="paragraph" w:customStyle="1" w:styleId="1284">
    <w:name w:val="图片标题 (17)"/>
    <w:basedOn w:val="1"/>
    <w:link w:val="1283"/>
    <w:qFormat/>
    <w:uiPriority w:val="0"/>
    <w:pPr>
      <w:shd w:val="clear" w:color="auto" w:fill="FFFFFF"/>
      <w:spacing w:line="180" w:lineRule="exact"/>
      <w:jc w:val="distribute"/>
    </w:pPr>
    <w:rPr>
      <w:rFonts w:ascii="宋体" w:hAnsi="宋体" w:eastAsiaTheme="minorEastAsia" w:cstheme="minorBidi"/>
      <w:spacing w:val="20"/>
      <w:kern w:val="0"/>
      <w:sz w:val="19"/>
      <w:szCs w:val="19"/>
    </w:rPr>
  </w:style>
  <w:style w:type="character" w:customStyle="1" w:styleId="1285">
    <w:name w:val="图片标题 (17) + Times New Roman"/>
    <w:qFormat/>
    <w:uiPriority w:val="0"/>
    <w:rPr>
      <w:rFonts w:ascii="Times New Roman" w:hAnsi="Times New Roman" w:cs="Times New Roman"/>
      <w:b/>
      <w:bCs/>
      <w:spacing w:val="0"/>
      <w:sz w:val="18"/>
      <w:szCs w:val="18"/>
      <w:shd w:val="clear" w:color="auto" w:fill="FFFFFF"/>
      <w:lang w:val="en-US" w:eastAsia="en-US"/>
    </w:rPr>
  </w:style>
  <w:style w:type="character" w:customStyle="1" w:styleId="1286">
    <w:name w:val="图片标题 (18) + SimSun"/>
    <w:qFormat/>
    <w:uiPriority w:val="0"/>
    <w:rPr>
      <w:rFonts w:ascii="宋体" w:hAnsi="宋体" w:cs="宋体"/>
      <w:b/>
      <w:bCs/>
      <w:sz w:val="19"/>
      <w:szCs w:val="19"/>
      <w:shd w:val="clear" w:color="auto" w:fill="FFFFFF"/>
      <w:lang w:eastAsia="en-US"/>
    </w:rPr>
  </w:style>
  <w:style w:type="character" w:customStyle="1" w:styleId="1287">
    <w:name w:val="图片标题 (2)4"/>
    <w:basedOn w:val="507"/>
    <w:qFormat/>
    <w:uiPriority w:val="0"/>
    <w:rPr>
      <w:rFonts w:ascii="Arial Unicode MS" w:eastAsia="Arial Unicode MS"/>
      <w:sz w:val="22"/>
      <w:szCs w:val="22"/>
      <w:shd w:val="clear" w:color="auto" w:fill="FFFFFF"/>
    </w:rPr>
  </w:style>
  <w:style w:type="character" w:customStyle="1" w:styleId="1288">
    <w:name w:val="图片标题 (15) Exact"/>
    <w:qFormat/>
    <w:uiPriority w:val="0"/>
    <w:rPr>
      <w:rFonts w:ascii="宋体" w:hAnsi="宋体" w:cs="宋体"/>
      <w:spacing w:val="3"/>
      <w:sz w:val="18"/>
      <w:szCs w:val="18"/>
      <w:u w:val="none"/>
    </w:rPr>
  </w:style>
  <w:style w:type="character" w:customStyle="1" w:styleId="1289">
    <w:name w:val="图片标题 (15) + 间距 0 pt Exact"/>
    <w:qFormat/>
    <w:uiPriority w:val="0"/>
    <w:rPr>
      <w:rFonts w:ascii="宋体" w:hAnsi="宋体"/>
      <w:spacing w:val="1"/>
      <w:sz w:val="18"/>
      <w:szCs w:val="18"/>
      <w:shd w:val="clear" w:color="auto" w:fill="FFFFFF"/>
    </w:rPr>
  </w:style>
  <w:style w:type="character" w:customStyle="1" w:styleId="1290">
    <w:name w:val="图片标题 (15) + Arial Unicode MS1"/>
    <w:qFormat/>
    <w:uiPriority w:val="0"/>
    <w:rPr>
      <w:rFonts w:ascii="Arial Unicode MS" w:hAnsi="宋体" w:eastAsia="Arial Unicode MS" w:cs="Arial Unicode MS"/>
      <w:sz w:val="20"/>
      <w:szCs w:val="20"/>
      <w:shd w:val="clear" w:color="auto" w:fill="FFFFFF"/>
      <w:lang w:val="en-US" w:eastAsia="en-US"/>
    </w:rPr>
  </w:style>
  <w:style w:type="character" w:customStyle="1" w:styleId="1291">
    <w:name w:val="图片标题 (19) Exact"/>
    <w:link w:val="1292"/>
    <w:qFormat/>
    <w:uiPriority w:val="0"/>
    <w:rPr>
      <w:rFonts w:ascii="Arial Unicode MS" w:eastAsia="Arial Unicode MS"/>
      <w:spacing w:val="3"/>
      <w:sz w:val="11"/>
      <w:szCs w:val="11"/>
      <w:shd w:val="clear" w:color="auto" w:fill="FFFFFF"/>
    </w:rPr>
  </w:style>
  <w:style w:type="paragraph" w:customStyle="1" w:styleId="1292">
    <w:name w:val="图片标题 (19)"/>
    <w:basedOn w:val="1"/>
    <w:link w:val="1291"/>
    <w:qFormat/>
    <w:uiPriority w:val="0"/>
    <w:pPr>
      <w:shd w:val="clear" w:color="auto" w:fill="FFFFFF"/>
      <w:spacing w:before="60" w:line="240" w:lineRule="atLeast"/>
      <w:jc w:val="left"/>
    </w:pPr>
    <w:rPr>
      <w:rFonts w:ascii="Arial Unicode MS" w:eastAsia="Arial Unicode MS" w:hAnsiTheme="minorHAnsi" w:cstheme="minorBidi"/>
      <w:spacing w:val="3"/>
      <w:kern w:val="0"/>
      <w:sz w:val="11"/>
      <w:szCs w:val="11"/>
    </w:rPr>
  </w:style>
  <w:style w:type="character" w:customStyle="1" w:styleId="1293">
    <w:name w:val="图片标题 + SimSun"/>
    <w:qFormat/>
    <w:uiPriority w:val="0"/>
    <w:rPr>
      <w:rFonts w:ascii="宋体" w:hAnsi="宋体" w:eastAsia="Arial Unicode MS" w:cs="宋体"/>
      <w:spacing w:val="1"/>
      <w:sz w:val="18"/>
      <w:szCs w:val="18"/>
      <w:shd w:val="clear" w:color="auto" w:fill="FFFFFF"/>
      <w:lang w:eastAsia="en-US"/>
    </w:rPr>
  </w:style>
  <w:style w:type="character" w:customStyle="1" w:styleId="1294">
    <w:name w:val="正文文本 (7) + SimSun2"/>
    <w:qFormat/>
    <w:uiPriority w:val="0"/>
    <w:rPr>
      <w:rFonts w:ascii="宋体" w:hAnsi="宋体" w:eastAsia="Arial Unicode MS" w:cs="宋体"/>
      <w:spacing w:val="1"/>
      <w:sz w:val="18"/>
      <w:szCs w:val="18"/>
      <w:u w:val="none"/>
      <w:shd w:val="clear" w:color="auto" w:fill="FFFFFF"/>
      <w:lang w:eastAsia="en-US"/>
    </w:rPr>
  </w:style>
  <w:style w:type="character" w:customStyle="1" w:styleId="1295">
    <w:name w:val="txtcontent11"/>
    <w:qFormat/>
    <w:uiPriority w:val="0"/>
    <w:rPr>
      <w:rFonts w:hint="default" w:ascii="ˎ̥" w:hAnsi="ˎ̥"/>
      <w:color w:val="000000"/>
      <w:sz w:val="21"/>
    </w:rPr>
  </w:style>
  <w:style w:type="character" w:customStyle="1" w:styleId="1296">
    <w:name w:val="正文文本 (40) + 非斜体"/>
    <w:qFormat/>
    <w:uiPriority w:val="0"/>
    <w:rPr>
      <w:i/>
      <w:iCs/>
      <w:spacing w:val="10"/>
      <w:sz w:val="29"/>
      <w:szCs w:val="29"/>
      <w:shd w:val="clear" w:color="auto" w:fill="FFFFFF"/>
      <w:lang w:eastAsia="en-US"/>
    </w:rPr>
  </w:style>
  <w:style w:type="character" w:customStyle="1" w:styleId="1297">
    <w:name w:val="图片标题 (19) + SimSun"/>
    <w:qFormat/>
    <w:uiPriority w:val="0"/>
    <w:rPr>
      <w:rFonts w:ascii="宋体" w:hAnsi="宋体" w:eastAsia="Arial Unicode MS" w:cs="宋体"/>
      <w:spacing w:val="6"/>
      <w:sz w:val="12"/>
      <w:szCs w:val="12"/>
      <w:shd w:val="clear" w:color="auto" w:fill="FFFFFF"/>
      <w:lang w:val="en-US" w:eastAsia="zh-CN"/>
    </w:rPr>
  </w:style>
  <w:style w:type="character" w:customStyle="1" w:styleId="1298">
    <w:name w:val="图片标题 (18) + SimSun1"/>
    <w:qFormat/>
    <w:uiPriority w:val="0"/>
    <w:rPr>
      <w:rFonts w:ascii="宋体" w:hAnsi="宋体" w:cs="宋体"/>
      <w:b/>
      <w:bCs/>
      <w:spacing w:val="19"/>
      <w:sz w:val="19"/>
      <w:szCs w:val="19"/>
      <w:shd w:val="clear" w:color="auto" w:fill="FFFFFF"/>
      <w:lang w:val="en-US" w:eastAsia="zh-CN"/>
    </w:rPr>
  </w:style>
  <w:style w:type="character" w:customStyle="1" w:styleId="1299">
    <w:name w:val="图片标题 (21) + 间距 0 pt"/>
    <w:qFormat/>
    <w:uiPriority w:val="0"/>
    <w:rPr>
      <w:rFonts w:ascii="MS Mincho" w:eastAsia="MS Mincho"/>
      <w:spacing w:val="0"/>
      <w:w w:val="150"/>
      <w:sz w:val="15"/>
      <w:szCs w:val="15"/>
      <w:shd w:val="clear" w:color="auto" w:fill="FFFFFF"/>
      <w:lang w:val="en-US" w:eastAsia="zh-CN"/>
    </w:rPr>
  </w:style>
  <w:style w:type="character" w:customStyle="1" w:styleId="1300">
    <w:name w:val="正文文本 (24) Exact"/>
    <w:link w:val="1301"/>
    <w:qFormat/>
    <w:uiPriority w:val="0"/>
    <w:rPr>
      <w:rFonts w:ascii="Arial Unicode MS" w:eastAsia="Arial Unicode MS"/>
      <w:spacing w:val="3"/>
      <w:sz w:val="11"/>
      <w:szCs w:val="11"/>
      <w:shd w:val="clear" w:color="auto" w:fill="FFFFFF"/>
    </w:rPr>
  </w:style>
  <w:style w:type="paragraph" w:customStyle="1" w:styleId="1301">
    <w:name w:val="正文文本 (24)"/>
    <w:basedOn w:val="1"/>
    <w:link w:val="1300"/>
    <w:qFormat/>
    <w:uiPriority w:val="0"/>
    <w:pPr>
      <w:shd w:val="clear" w:color="auto" w:fill="FFFFFF"/>
      <w:spacing w:line="240" w:lineRule="atLeast"/>
      <w:jc w:val="left"/>
    </w:pPr>
    <w:rPr>
      <w:rFonts w:ascii="Arial Unicode MS" w:eastAsia="Arial Unicode MS" w:hAnsiTheme="minorHAnsi" w:cstheme="minorBidi"/>
      <w:spacing w:val="3"/>
      <w:kern w:val="0"/>
      <w:sz w:val="11"/>
      <w:szCs w:val="11"/>
    </w:rPr>
  </w:style>
  <w:style w:type="character" w:customStyle="1" w:styleId="1302">
    <w:name w:val="正文文本 (24) + SimSun"/>
    <w:qFormat/>
    <w:uiPriority w:val="0"/>
    <w:rPr>
      <w:rFonts w:ascii="宋体" w:hAnsi="宋体" w:eastAsia="Arial Unicode MS" w:cs="宋体"/>
      <w:spacing w:val="6"/>
      <w:sz w:val="12"/>
      <w:szCs w:val="12"/>
      <w:shd w:val="clear" w:color="auto" w:fill="FFFFFF"/>
    </w:rPr>
  </w:style>
  <w:style w:type="character" w:customStyle="1" w:styleId="1303">
    <w:name w:val="正文文本 + 5.5 pt5"/>
    <w:qFormat/>
    <w:uiPriority w:val="0"/>
    <w:rPr>
      <w:rFonts w:ascii="Arial Unicode MS" w:eastAsia="Arial Unicode MS" w:cs="Arial Unicode MS"/>
      <w:spacing w:val="3"/>
      <w:kern w:val="2"/>
      <w:sz w:val="11"/>
      <w:szCs w:val="11"/>
      <w:u w:val="none"/>
      <w:lang w:val="en-US" w:eastAsia="zh-CN" w:bidi="ar-SA"/>
    </w:rPr>
  </w:style>
  <w:style w:type="character" w:customStyle="1" w:styleId="1304">
    <w:name w:val="正文文本 + SimSun18"/>
    <w:qFormat/>
    <w:uiPriority w:val="0"/>
    <w:rPr>
      <w:rFonts w:ascii="宋体" w:hAnsi="宋体" w:eastAsia="Arial Unicode MS" w:cs="宋体"/>
      <w:spacing w:val="6"/>
      <w:kern w:val="2"/>
      <w:sz w:val="12"/>
      <w:szCs w:val="12"/>
      <w:u w:val="none"/>
      <w:lang w:val="en-US" w:eastAsia="zh-CN" w:bidi="ar-SA"/>
    </w:rPr>
  </w:style>
  <w:style w:type="character" w:customStyle="1" w:styleId="1305">
    <w:name w:val="正文文本 + Georgia"/>
    <w:qFormat/>
    <w:uiPriority w:val="0"/>
    <w:rPr>
      <w:rFonts w:ascii="Georgia" w:hAnsi="Georgia" w:eastAsia="Arial Unicode MS" w:cs="Georgia"/>
      <w:b/>
      <w:bCs/>
      <w:i/>
      <w:iCs/>
      <w:kern w:val="2"/>
      <w:sz w:val="15"/>
      <w:szCs w:val="15"/>
      <w:u w:val="none"/>
      <w:lang w:val="en-US" w:eastAsia="zh-CN" w:bidi="ar-SA"/>
    </w:rPr>
  </w:style>
  <w:style w:type="character" w:customStyle="1" w:styleId="1306">
    <w:name w:val="正文文本 (7) + 4.5 pt1"/>
    <w:qFormat/>
    <w:uiPriority w:val="0"/>
    <w:rPr>
      <w:rFonts w:ascii="Arial Unicode MS" w:eastAsia="Arial Unicode MS" w:cs="Arial Unicode MS"/>
      <w:i/>
      <w:iCs/>
      <w:spacing w:val="-3"/>
      <w:sz w:val="9"/>
      <w:szCs w:val="9"/>
      <w:u w:val="none"/>
      <w:shd w:val="clear" w:color="auto" w:fill="FFFFFF"/>
      <w:lang w:eastAsia="en-US"/>
    </w:rPr>
  </w:style>
  <w:style w:type="character" w:customStyle="1" w:styleId="1307">
    <w:name w:val="正文文本 (26) Exact"/>
    <w:link w:val="1308"/>
    <w:qFormat/>
    <w:uiPriority w:val="0"/>
    <w:rPr>
      <w:rFonts w:ascii="Arial Unicode MS" w:eastAsia="Arial Unicode MS"/>
      <w:shd w:val="clear" w:color="auto" w:fill="FFFFFF"/>
    </w:rPr>
  </w:style>
  <w:style w:type="paragraph" w:customStyle="1" w:styleId="1308">
    <w:name w:val="正文文本 (26)"/>
    <w:basedOn w:val="1"/>
    <w:link w:val="1307"/>
    <w:qFormat/>
    <w:uiPriority w:val="0"/>
    <w:pPr>
      <w:shd w:val="clear" w:color="auto" w:fill="FFFFFF"/>
      <w:spacing w:line="240" w:lineRule="atLeast"/>
      <w:jc w:val="left"/>
    </w:pPr>
    <w:rPr>
      <w:rFonts w:ascii="Arial Unicode MS" w:eastAsia="Arial Unicode MS" w:hAnsiTheme="minorHAnsi" w:cstheme="minorBidi"/>
      <w:kern w:val="0"/>
      <w:sz w:val="20"/>
    </w:rPr>
  </w:style>
  <w:style w:type="character" w:customStyle="1" w:styleId="1309">
    <w:name w:val="正文文本 (24) + Georgia"/>
    <w:qFormat/>
    <w:uiPriority w:val="0"/>
    <w:rPr>
      <w:rFonts w:ascii="Georgia" w:hAnsi="Georgia" w:eastAsia="Arial Unicode MS" w:cs="Georgia"/>
      <w:b/>
      <w:bCs/>
      <w:i/>
      <w:iCs/>
      <w:spacing w:val="0"/>
      <w:sz w:val="15"/>
      <w:szCs w:val="15"/>
      <w:shd w:val="clear" w:color="auto" w:fill="FFFFFF"/>
      <w:lang w:val="en-US" w:eastAsia="zh-CN"/>
    </w:rPr>
  </w:style>
  <w:style w:type="character" w:customStyle="1" w:styleId="1310">
    <w:name w:val="正文文本 (25) Exact1"/>
    <w:basedOn w:val="837"/>
    <w:qFormat/>
    <w:uiPriority w:val="0"/>
    <w:rPr>
      <w:rFonts w:ascii="宋体" w:hAnsi="宋体"/>
      <w:spacing w:val="6"/>
      <w:sz w:val="12"/>
      <w:szCs w:val="12"/>
      <w:shd w:val="clear" w:color="auto" w:fill="FFFFFF"/>
    </w:rPr>
  </w:style>
  <w:style w:type="character" w:customStyle="1" w:styleId="1311">
    <w:name w:val="font41"/>
    <w:qFormat/>
    <w:uiPriority w:val="0"/>
    <w:rPr>
      <w:rFonts w:hint="eastAsia" w:ascii="楷体_GB2312" w:eastAsia="楷体_GB2312"/>
      <w:color w:val="000000"/>
      <w:sz w:val="21"/>
      <w:szCs w:val="21"/>
      <w:u w:val="none"/>
      <w:vertAlign w:val="subscript"/>
    </w:rPr>
  </w:style>
  <w:style w:type="character" w:customStyle="1" w:styleId="1312">
    <w:name w:val="正文文本 + 4.5 pt7"/>
    <w:qFormat/>
    <w:uiPriority w:val="0"/>
    <w:rPr>
      <w:rFonts w:ascii="Arial Unicode MS" w:eastAsia="Arial Unicode MS" w:cs="Arial Unicode MS"/>
      <w:i/>
      <w:iCs/>
      <w:smallCaps/>
      <w:kern w:val="2"/>
      <w:sz w:val="9"/>
      <w:szCs w:val="9"/>
      <w:u w:val="none"/>
      <w:lang w:val="en-US" w:eastAsia="en-US" w:bidi="ar-SA"/>
    </w:rPr>
  </w:style>
  <w:style w:type="character" w:customStyle="1" w:styleId="1313">
    <w:name w:val="表格标题 (2)5"/>
    <w:qFormat/>
    <w:uiPriority w:val="0"/>
    <w:rPr>
      <w:rFonts w:ascii="Arial Unicode MS" w:eastAsia="Arial Unicode MS" w:cs="Arial Unicode MS"/>
      <w:sz w:val="21"/>
      <w:szCs w:val="21"/>
      <w:u w:val="single"/>
      <w:shd w:val="clear" w:color="auto" w:fill="FFFFFF"/>
      <w:lang w:eastAsia="en-US"/>
    </w:rPr>
  </w:style>
  <w:style w:type="character" w:customStyle="1" w:styleId="1314">
    <w:name w:val="页眉或页脚2"/>
    <w:qFormat/>
    <w:uiPriority w:val="0"/>
    <w:rPr>
      <w:rFonts w:ascii="宋体" w:hAnsi="宋体"/>
      <w:sz w:val="18"/>
      <w:szCs w:val="18"/>
      <w:u w:val="single"/>
      <w:shd w:val="clear" w:color="auto" w:fill="FFFFFF"/>
    </w:rPr>
  </w:style>
  <w:style w:type="character" w:customStyle="1" w:styleId="1315">
    <w:name w:val="图片标题2"/>
    <w:basedOn w:val="1071"/>
    <w:qFormat/>
    <w:uiPriority w:val="0"/>
    <w:rPr>
      <w:rFonts w:ascii="Arial Unicode MS" w:eastAsia="Arial Unicode MS"/>
      <w:sz w:val="21"/>
      <w:szCs w:val="21"/>
      <w:shd w:val="clear" w:color="auto" w:fill="FFFFFF"/>
      <w:lang w:eastAsia="en-US"/>
    </w:rPr>
  </w:style>
  <w:style w:type="character" w:customStyle="1" w:styleId="1316">
    <w:name w:val="文本条款 Char Char Char Char Char Char Char Char"/>
    <w:qFormat/>
    <w:uiPriority w:val="0"/>
    <w:rPr>
      <w:rFonts w:eastAsia="仿宋_GB2312"/>
      <w:kern w:val="2"/>
      <w:sz w:val="28"/>
      <w:lang w:eastAsia="zh-CN"/>
    </w:rPr>
  </w:style>
  <w:style w:type="character" w:customStyle="1" w:styleId="1317">
    <w:name w:val="正文文本 (2)"/>
    <w:basedOn w:val="1022"/>
    <w:qFormat/>
    <w:uiPriority w:val="0"/>
    <w:rPr>
      <w:rFonts w:ascii="宋体" w:hAnsi="宋体"/>
      <w:shd w:val="clear" w:color="auto" w:fill="FFFFFF"/>
    </w:rPr>
  </w:style>
  <w:style w:type="character" w:customStyle="1" w:styleId="1318">
    <w:name w:val="正文文本 (2) + Arial Unicode MS8"/>
    <w:qFormat/>
    <w:uiPriority w:val="0"/>
    <w:rPr>
      <w:rFonts w:ascii="Arial Unicode MS" w:hAnsi="宋体" w:eastAsia="Arial Unicode MS" w:cs="Arial Unicode MS"/>
      <w:b/>
      <w:bCs/>
      <w:sz w:val="19"/>
      <w:szCs w:val="19"/>
      <w:shd w:val="clear" w:color="auto" w:fill="FFFFFF"/>
    </w:rPr>
  </w:style>
  <w:style w:type="character" w:customStyle="1" w:styleId="1319">
    <w:name w:val="正文文本 (2) + Arial Unicode MS4"/>
    <w:qFormat/>
    <w:uiPriority w:val="0"/>
    <w:rPr>
      <w:rFonts w:ascii="Arial Unicode MS" w:hAnsi="宋体" w:eastAsia="Arial Unicode MS" w:cs="Arial Unicode MS"/>
      <w:b/>
      <w:bCs/>
      <w:sz w:val="19"/>
      <w:szCs w:val="19"/>
      <w:shd w:val="clear" w:color="auto" w:fill="FFFFFF"/>
      <w:lang w:val="en-US" w:eastAsia="en-US"/>
    </w:rPr>
  </w:style>
  <w:style w:type="character" w:customStyle="1" w:styleId="1320">
    <w:name w:val="正文文本 (27)_"/>
    <w:link w:val="1321"/>
    <w:qFormat/>
    <w:uiPriority w:val="0"/>
    <w:rPr>
      <w:i/>
      <w:iCs/>
      <w:spacing w:val="50"/>
      <w:sz w:val="13"/>
      <w:szCs w:val="13"/>
      <w:shd w:val="clear" w:color="auto" w:fill="FFFFFF"/>
      <w:lang w:eastAsia="en-US"/>
    </w:rPr>
  </w:style>
  <w:style w:type="paragraph" w:customStyle="1" w:styleId="1321">
    <w:name w:val="正文文本 (27)"/>
    <w:basedOn w:val="1"/>
    <w:link w:val="1320"/>
    <w:qFormat/>
    <w:uiPriority w:val="0"/>
    <w:pPr>
      <w:shd w:val="clear" w:color="auto" w:fill="FFFFFF"/>
      <w:spacing w:line="240" w:lineRule="atLeast"/>
      <w:jc w:val="left"/>
    </w:pPr>
    <w:rPr>
      <w:rFonts w:asciiTheme="minorHAnsi" w:hAnsiTheme="minorHAnsi" w:eastAsiaTheme="minorEastAsia" w:cstheme="minorBidi"/>
      <w:i/>
      <w:iCs/>
      <w:spacing w:val="50"/>
      <w:kern w:val="0"/>
      <w:sz w:val="13"/>
      <w:szCs w:val="13"/>
      <w:lang w:eastAsia="en-US"/>
    </w:rPr>
  </w:style>
  <w:style w:type="character" w:customStyle="1" w:styleId="1322">
    <w:name w:val="正文文本 (19)_"/>
    <w:qFormat/>
    <w:uiPriority w:val="0"/>
    <w:rPr>
      <w:rFonts w:ascii="MingLiU" w:eastAsia="MingLiU" w:cs="MingLiU"/>
      <w:spacing w:val="-20"/>
      <w:sz w:val="22"/>
      <w:szCs w:val="22"/>
      <w:u w:val="none"/>
    </w:rPr>
  </w:style>
  <w:style w:type="character" w:customStyle="1" w:styleId="1323">
    <w:name w:val="正文文本 (50)_"/>
    <w:link w:val="1324"/>
    <w:qFormat/>
    <w:uiPriority w:val="0"/>
    <w:rPr>
      <w:sz w:val="9"/>
      <w:szCs w:val="9"/>
      <w:shd w:val="clear" w:color="auto" w:fill="FFFFFF"/>
      <w:lang w:eastAsia="en-US"/>
    </w:rPr>
  </w:style>
  <w:style w:type="paragraph" w:customStyle="1" w:styleId="1324">
    <w:name w:val="正文文本 (50)"/>
    <w:basedOn w:val="1"/>
    <w:link w:val="1323"/>
    <w:qFormat/>
    <w:uiPriority w:val="0"/>
    <w:pPr>
      <w:shd w:val="clear" w:color="auto" w:fill="FFFFFF"/>
      <w:spacing w:line="240" w:lineRule="atLeast"/>
      <w:jc w:val="left"/>
    </w:pPr>
    <w:rPr>
      <w:rFonts w:asciiTheme="minorHAnsi" w:hAnsiTheme="minorHAnsi" w:eastAsiaTheme="minorEastAsia" w:cstheme="minorBidi"/>
      <w:kern w:val="0"/>
      <w:sz w:val="9"/>
      <w:szCs w:val="9"/>
      <w:lang w:eastAsia="en-US"/>
    </w:rPr>
  </w:style>
  <w:style w:type="character" w:customStyle="1" w:styleId="1325">
    <w:name w:val="正文文本 (3) + Times New Roman"/>
    <w:qFormat/>
    <w:uiPriority w:val="0"/>
    <w:rPr>
      <w:rFonts w:ascii="Times New Roman" w:hAnsi="Times New Roman" w:eastAsia="Arial Unicode MS" w:cs="Times New Roman"/>
      <w:b/>
      <w:bCs/>
      <w:i/>
      <w:iCs/>
      <w:spacing w:val="50"/>
      <w:sz w:val="13"/>
      <w:szCs w:val="13"/>
      <w:shd w:val="clear" w:color="auto" w:fill="FFFFFF"/>
      <w:lang w:val="en-US" w:eastAsia="en-US"/>
    </w:rPr>
  </w:style>
  <w:style w:type="character" w:customStyle="1" w:styleId="1326">
    <w:name w:val="正文文本 (27) + 13.5 pt"/>
    <w:qFormat/>
    <w:uiPriority w:val="0"/>
    <w:rPr>
      <w:b/>
      <w:bCs/>
      <w:i/>
      <w:iCs/>
      <w:spacing w:val="0"/>
      <w:sz w:val="27"/>
      <w:szCs w:val="27"/>
      <w:shd w:val="clear" w:color="auto" w:fill="FFFFFF"/>
      <w:lang w:eastAsia="en-US"/>
    </w:rPr>
  </w:style>
  <w:style w:type="character" w:customStyle="1" w:styleId="1327">
    <w:name w:val="正文文本 (27) + Arial Unicode MS"/>
    <w:qFormat/>
    <w:uiPriority w:val="0"/>
    <w:rPr>
      <w:rFonts w:ascii="Arial Unicode MS" w:eastAsia="Arial Unicode MS" w:cs="Arial Unicode MS"/>
      <w:b/>
      <w:bCs/>
      <w:i/>
      <w:iCs/>
      <w:spacing w:val="0"/>
      <w:sz w:val="19"/>
      <w:szCs w:val="19"/>
      <w:shd w:val="clear" w:color="auto" w:fill="FFFFFF"/>
      <w:lang w:eastAsia="en-US"/>
    </w:rPr>
  </w:style>
  <w:style w:type="character" w:customStyle="1" w:styleId="1328">
    <w:name w:val="标题 #3 (6)_"/>
    <w:link w:val="1329"/>
    <w:qFormat/>
    <w:uiPriority w:val="0"/>
    <w:rPr>
      <w:b/>
      <w:bCs/>
      <w:sz w:val="27"/>
      <w:szCs w:val="27"/>
      <w:shd w:val="clear" w:color="auto" w:fill="FFFFFF"/>
      <w:lang w:eastAsia="en-US"/>
    </w:rPr>
  </w:style>
  <w:style w:type="paragraph" w:customStyle="1" w:styleId="1329">
    <w:name w:val="标题 #3 (6)1"/>
    <w:basedOn w:val="1"/>
    <w:link w:val="1328"/>
    <w:qFormat/>
    <w:uiPriority w:val="0"/>
    <w:pPr>
      <w:shd w:val="clear" w:color="auto" w:fill="FFFFFF"/>
      <w:spacing w:line="518" w:lineRule="exact"/>
      <w:jc w:val="right"/>
      <w:outlineLvl w:val="2"/>
    </w:pPr>
    <w:rPr>
      <w:rFonts w:asciiTheme="minorHAnsi" w:hAnsiTheme="minorHAnsi" w:eastAsiaTheme="minorEastAsia" w:cstheme="minorBidi"/>
      <w:b/>
      <w:bCs/>
      <w:kern w:val="0"/>
      <w:sz w:val="27"/>
      <w:szCs w:val="27"/>
      <w:lang w:eastAsia="en-US"/>
    </w:rPr>
  </w:style>
  <w:style w:type="character" w:customStyle="1" w:styleId="1330">
    <w:name w:val="正文文本 (7) + 11 pt6"/>
    <w:qFormat/>
    <w:uiPriority w:val="0"/>
    <w:rPr>
      <w:rFonts w:ascii="Arial Unicode MS" w:eastAsia="Arial Unicode MS" w:cs="Arial Unicode MS"/>
      <w:sz w:val="22"/>
      <w:szCs w:val="22"/>
      <w:u w:val="single"/>
      <w:shd w:val="clear" w:color="auto" w:fill="FFFFFF"/>
      <w:lang w:eastAsia="en-US"/>
    </w:rPr>
  </w:style>
  <w:style w:type="character" w:customStyle="1" w:styleId="1331">
    <w:name w:val="正文文本 (7)6"/>
    <w:qFormat/>
    <w:uiPriority w:val="0"/>
    <w:rPr>
      <w:rFonts w:ascii="Arial Unicode MS" w:eastAsia="Arial Unicode MS" w:cs="Arial Unicode MS"/>
      <w:sz w:val="21"/>
      <w:szCs w:val="21"/>
      <w:u w:val="single"/>
      <w:shd w:val="clear" w:color="auto" w:fill="FFFFFF"/>
      <w:lang w:eastAsia="en-US"/>
    </w:rPr>
  </w:style>
  <w:style w:type="character" w:customStyle="1" w:styleId="1332">
    <w:name w:val="正文文本 (28) Exact"/>
    <w:link w:val="1333"/>
    <w:qFormat/>
    <w:uiPriority w:val="0"/>
    <w:rPr>
      <w:rFonts w:ascii="宋体" w:hAnsi="宋体"/>
      <w:spacing w:val="7"/>
      <w:sz w:val="36"/>
      <w:szCs w:val="36"/>
      <w:shd w:val="clear" w:color="auto" w:fill="FFFFFF"/>
    </w:rPr>
  </w:style>
  <w:style w:type="paragraph" w:customStyle="1" w:styleId="1333">
    <w:name w:val="正文文本 (28)"/>
    <w:basedOn w:val="1"/>
    <w:link w:val="1332"/>
    <w:qFormat/>
    <w:uiPriority w:val="0"/>
    <w:pPr>
      <w:shd w:val="clear" w:color="auto" w:fill="FFFFFF"/>
      <w:spacing w:line="240" w:lineRule="atLeast"/>
      <w:jc w:val="left"/>
    </w:pPr>
    <w:rPr>
      <w:rFonts w:ascii="宋体" w:hAnsi="宋体" w:eastAsiaTheme="minorEastAsia" w:cstheme="minorBidi"/>
      <w:spacing w:val="7"/>
      <w:kern w:val="0"/>
      <w:sz w:val="36"/>
      <w:szCs w:val="36"/>
    </w:rPr>
  </w:style>
  <w:style w:type="character" w:customStyle="1" w:styleId="1334">
    <w:name w:val="标题 #3 (4) + Arial Unicode MS"/>
    <w:qFormat/>
    <w:uiPriority w:val="0"/>
    <w:rPr>
      <w:rFonts w:ascii="Arial Unicode MS" w:eastAsia="Arial Unicode MS" w:cs="Arial Unicode MS"/>
      <w:b/>
      <w:bCs/>
      <w:sz w:val="33"/>
      <w:szCs w:val="33"/>
      <w:shd w:val="clear" w:color="auto" w:fill="FFFFFF"/>
      <w:lang w:val="en-US" w:eastAsia="zh-CN"/>
    </w:rPr>
  </w:style>
  <w:style w:type="character" w:customStyle="1" w:styleId="1335">
    <w:name w:val="正文文本 + SimSun15"/>
    <w:qFormat/>
    <w:uiPriority w:val="0"/>
    <w:rPr>
      <w:rFonts w:ascii="宋体" w:hAnsi="宋体" w:eastAsia="Arial Unicode MS" w:cs="宋体"/>
      <w:kern w:val="2"/>
      <w:sz w:val="38"/>
      <w:szCs w:val="38"/>
      <w:u w:val="none"/>
      <w:lang w:val="en-US" w:eastAsia="zh-CN" w:bidi="ar-SA"/>
    </w:rPr>
  </w:style>
  <w:style w:type="character" w:customStyle="1" w:styleId="1336">
    <w:name w:val="正文文本 + SimSun14"/>
    <w:qFormat/>
    <w:uiPriority w:val="0"/>
    <w:rPr>
      <w:rFonts w:ascii="宋体" w:hAnsi="宋体" w:eastAsia="Arial Unicode MS" w:cs="宋体"/>
      <w:kern w:val="2"/>
      <w:sz w:val="19"/>
      <w:szCs w:val="19"/>
      <w:u w:val="none"/>
      <w:lang w:val="en-US" w:eastAsia="zh-CN" w:bidi="ar-SA"/>
    </w:rPr>
  </w:style>
  <w:style w:type="character" w:customStyle="1" w:styleId="1337">
    <w:name w:val="正文表格 Char Char"/>
    <w:qFormat/>
    <w:uiPriority w:val="0"/>
    <w:rPr>
      <w:rFonts w:ascii="宋体" w:hAnsi="宋体" w:eastAsia="宋体"/>
      <w:kern w:val="2"/>
      <w:sz w:val="21"/>
      <w:szCs w:val="21"/>
      <w:lang w:val="en-US" w:eastAsia="zh-CN" w:bidi="ar-SA"/>
    </w:rPr>
  </w:style>
  <w:style w:type="character" w:customStyle="1" w:styleId="1338">
    <w:name w:val="正文文本 (29)_"/>
    <w:link w:val="1339"/>
    <w:qFormat/>
    <w:uiPriority w:val="0"/>
    <w:rPr>
      <w:sz w:val="22"/>
      <w:szCs w:val="22"/>
      <w:shd w:val="clear" w:color="auto" w:fill="FFFFFF"/>
    </w:rPr>
  </w:style>
  <w:style w:type="paragraph" w:customStyle="1" w:styleId="1339">
    <w:name w:val="正文文本 (29)"/>
    <w:basedOn w:val="1"/>
    <w:link w:val="1338"/>
    <w:qFormat/>
    <w:uiPriority w:val="0"/>
    <w:pPr>
      <w:shd w:val="clear" w:color="auto" w:fill="FFFFFF"/>
      <w:spacing w:after="540" w:line="240" w:lineRule="atLeast"/>
      <w:jc w:val="left"/>
    </w:pPr>
    <w:rPr>
      <w:rFonts w:asciiTheme="minorHAnsi" w:hAnsiTheme="minorHAnsi" w:eastAsiaTheme="minorEastAsia" w:cstheme="minorBidi"/>
      <w:kern w:val="0"/>
      <w:sz w:val="22"/>
      <w:szCs w:val="22"/>
    </w:rPr>
  </w:style>
  <w:style w:type="character" w:customStyle="1" w:styleId="1340">
    <w:name w:val="正文文本 (29) + SimSun"/>
    <w:qFormat/>
    <w:uiPriority w:val="0"/>
    <w:rPr>
      <w:rFonts w:ascii="宋体" w:hAnsi="宋体" w:cs="宋体"/>
      <w:spacing w:val="-20"/>
      <w:w w:val="150"/>
      <w:sz w:val="28"/>
      <w:szCs w:val="28"/>
      <w:shd w:val="clear" w:color="auto" w:fill="FFFFFF"/>
    </w:rPr>
  </w:style>
  <w:style w:type="character" w:customStyle="1" w:styleId="1341">
    <w:name w:val="正文文本 (31) Exact"/>
    <w:link w:val="1342"/>
    <w:qFormat/>
    <w:uiPriority w:val="0"/>
    <w:rPr>
      <w:rFonts w:ascii="宋体" w:hAnsi="宋体"/>
      <w:i/>
      <w:iCs/>
      <w:shd w:val="clear" w:color="auto" w:fill="FFFFFF"/>
    </w:rPr>
  </w:style>
  <w:style w:type="paragraph" w:customStyle="1" w:styleId="1342">
    <w:name w:val="正文文本 (31)"/>
    <w:basedOn w:val="1"/>
    <w:link w:val="1341"/>
    <w:qFormat/>
    <w:uiPriority w:val="0"/>
    <w:pPr>
      <w:shd w:val="clear" w:color="auto" w:fill="FFFFFF"/>
      <w:spacing w:line="240" w:lineRule="atLeast"/>
      <w:jc w:val="left"/>
    </w:pPr>
    <w:rPr>
      <w:rFonts w:ascii="宋体" w:hAnsi="宋体" w:eastAsiaTheme="minorEastAsia" w:cstheme="minorBidi"/>
      <w:i/>
      <w:iCs/>
      <w:kern w:val="0"/>
      <w:sz w:val="20"/>
    </w:rPr>
  </w:style>
  <w:style w:type="character" w:customStyle="1" w:styleId="1343">
    <w:name w:val="图片标题 (23) Exact"/>
    <w:link w:val="1344"/>
    <w:qFormat/>
    <w:uiPriority w:val="0"/>
    <w:rPr>
      <w:rFonts w:ascii="宋体" w:hAnsi="宋体"/>
      <w:w w:val="250"/>
      <w:sz w:val="9"/>
      <w:szCs w:val="9"/>
      <w:shd w:val="clear" w:color="auto" w:fill="FFFFFF"/>
    </w:rPr>
  </w:style>
  <w:style w:type="paragraph" w:customStyle="1" w:styleId="1344">
    <w:name w:val="图片标题 (23)"/>
    <w:basedOn w:val="1"/>
    <w:link w:val="1343"/>
    <w:qFormat/>
    <w:uiPriority w:val="0"/>
    <w:pPr>
      <w:shd w:val="clear" w:color="auto" w:fill="FFFFFF"/>
      <w:spacing w:line="240" w:lineRule="atLeast"/>
      <w:jc w:val="left"/>
    </w:pPr>
    <w:rPr>
      <w:rFonts w:ascii="宋体" w:hAnsi="宋体" w:eastAsiaTheme="minorEastAsia" w:cstheme="minorBidi"/>
      <w:w w:val="250"/>
      <w:kern w:val="0"/>
      <w:sz w:val="9"/>
      <w:szCs w:val="9"/>
    </w:rPr>
  </w:style>
  <w:style w:type="character" w:customStyle="1" w:styleId="1345">
    <w:name w:val="图片标题 (24) Exact"/>
    <w:link w:val="1346"/>
    <w:qFormat/>
    <w:uiPriority w:val="0"/>
    <w:rPr>
      <w:rFonts w:ascii="MS Mincho" w:eastAsia="MS Mincho"/>
      <w:spacing w:val="-18"/>
      <w:sz w:val="9"/>
      <w:szCs w:val="9"/>
      <w:shd w:val="clear" w:color="auto" w:fill="FFFFFF"/>
      <w:lang w:eastAsia="en-US"/>
    </w:rPr>
  </w:style>
  <w:style w:type="paragraph" w:customStyle="1" w:styleId="1346">
    <w:name w:val="图片标题 (24)"/>
    <w:basedOn w:val="1"/>
    <w:link w:val="1345"/>
    <w:qFormat/>
    <w:uiPriority w:val="0"/>
    <w:pPr>
      <w:shd w:val="clear" w:color="auto" w:fill="FFFFFF"/>
      <w:spacing w:line="240" w:lineRule="atLeast"/>
      <w:jc w:val="left"/>
    </w:pPr>
    <w:rPr>
      <w:rFonts w:ascii="MS Mincho" w:eastAsia="MS Mincho" w:hAnsiTheme="minorHAnsi" w:cstheme="minorBidi"/>
      <w:spacing w:val="-18"/>
      <w:kern w:val="0"/>
      <w:sz w:val="9"/>
      <w:szCs w:val="9"/>
      <w:lang w:eastAsia="en-US"/>
    </w:rPr>
  </w:style>
  <w:style w:type="character" w:customStyle="1" w:styleId="1347">
    <w:name w:val="标题 #4"/>
    <w:qFormat/>
    <w:uiPriority w:val="0"/>
    <w:rPr>
      <w:rFonts w:ascii="Arial Unicode MS" w:eastAsia="Arial Unicode MS" w:cs="Arial Unicode MS"/>
      <w:sz w:val="22"/>
      <w:szCs w:val="22"/>
      <w:u w:val="none"/>
      <w:shd w:val="clear" w:color="auto" w:fill="FFFFFF"/>
    </w:rPr>
  </w:style>
  <w:style w:type="character" w:customStyle="1" w:styleId="1348">
    <w:name w:val="表格标题 + 10.5 pt4"/>
    <w:qFormat/>
    <w:uiPriority w:val="0"/>
    <w:rPr>
      <w:rFonts w:ascii="Arial Unicode MS" w:eastAsia="Arial Unicode MS" w:cs="Arial Unicode MS"/>
      <w:sz w:val="21"/>
      <w:szCs w:val="21"/>
      <w:u w:val="none"/>
      <w:lang w:val="en-US" w:eastAsia="en-US"/>
    </w:rPr>
  </w:style>
  <w:style w:type="character" w:customStyle="1" w:styleId="1349">
    <w:name w:val="正文文本 (7)5"/>
    <w:qFormat/>
    <w:uiPriority w:val="0"/>
    <w:rPr>
      <w:rFonts w:ascii="Arial Unicode MS" w:eastAsia="Arial Unicode MS" w:cs="Arial Unicode MS"/>
      <w:sz w:val="21"/>
      <w:szCs w:val="21"/>
      <w:u w:val="none"/>
      <w:shd w:val="clear" w:color="auto" w:fill="FFFFFF"/>
      <w:lang w:eastAsia="en-US"/>
    </w:rPr>
  </w:style>
  <w:style w:type="character" w:customStyle="1" w:styleId="1350">
    <w:name w:val="正文文本 (7) + Times New Roman2"/>
    <w:qFormat/>
    <w:uiPriority w:val="0"/>
    <w:rPr>
      <w:rFonts w:ascii="Times New Roman" w:hAnsi="Times New Roman" w:eastAsia="Arial Unicode MS" w:cs="Times New Roman"/>
      <w:sz w:val="20"/>
      <w:szCs w:val="20"/>
      <w:u w:val="none"/>
      <w:shd w:val="clear" w:color="auto" w:fill="FFFFFF"/>
      <w:lang w:eastAsia="en-US"/>
    </w:rPr>
  </w:style>
  <w:style w:type="character" w:customStyle="1" w:styleId="1351">
    <w:name w:val="正文文本 + Times New Roman9"/>
    <w:qFormat/>
    <w:uiPriority w:val="0"/>
    <w:rPr>
      <w:rFonts w:ascii="Times New Roman" w:hAnsi="Times New Roman" w:eastAsia="Arial Unicode MS" w:cs="Times New Roman"/>
      <w:kern w:val="2"/>
      <w:sz w:val="20"/>
      <w:szCs w:val="20"/>
      <w:u w:val="none"/>
      <w:lang w:val="en-US" w:eastAsia="en-US" w:bidi="ar-SA"/>
    </w:rPr>
  </w:style>
  <w:style w:type="character" w:customStyle="1" w:styleId="1352">
    <w:name w:val="正文文本 + 9.5 pt5"/>
    <w:qFormat/>
    <w:uiPriority w:val="0"/>
    <w:rPr>
      <w:rFonts w:ascii="Arial Unicode MS" w:eastAsia="Arial Unicode MS" w:cs="Arial Unicode MS"/>
      <w:b/>
      <w:bCs/>
      <w:kern w:val="2"/>
      <w:sz w:val="19"/>
      <w:szCs w:val="19"/>
      <w:u w:val="none"/>
      <w:lang w:val="en-US" w:eastAsia="en-US" w:bidi="ar-SA"/>
    </w:rPr>
  </w:style>
  <w:style w:type="character" w:customStyle="1" w:styleId="1353">
    <w:name w:val="正文文本 + 5.5 pt4"/>
    <w:qFormat/>
    <w:uiPriority w:val="0"/>
    <w:rPr>
      <w:rFonts w:ascii="Arial Unicode MS" w:eastAsia="Arial Unicode MS" w:cs="Arial Unicode MS"/>
      <w:kern w:val="2"/>
      <w:sz w:val="11"/>
      <w:szCs w:val="11"/>
      <w:u w:val="none"/>
      <w:lang w:val="en-US" w:eastAsia="en-US" w:bidi="ar-SA"/>
    </w:rPr>
  </w:style>
  <w:style w:type="character" w:customStyle="1" w:styleId="1354">
    <w:name w:val="正文文本 + 10 pt4"/>
    <w:qFormat/>
    <w:uiPriority w:val="0"/>
    <w:rPr>
      <w:rFonts w:ascii="Arial Unicode MS" w:eastAsia="Arial Unicode MS" w:cs="Arial Unicode MS"/>
      <w:spacing w:val="-3"/>
      <w:kern w:val="2"/>
      <w:sz w:val="20"/>
      <w:szCs w:val="20"/>
      <w:u w:val="none"/>
      <w:lang w:val="en-US" w:eastAsia="en-US" w:bidi="ar-SA"/>
    </w:rPr>
  </w:style>
  <w:style w:type="character" w:customStyle="1" w:styleId="1355">
    <w:name w:val="图片标题 + 小型大写"/>
    <w:qFormat/>
    <w:uiPriority w:val="0"/>
    <w:rPr>
      <w:rFonts w:ascii="Arial Unicode MS" w:eastAsia="Arial Unicode MS"/>
      <w:smallCaps/>
      <w:sz w:val="21"/>
      <w:szCs w:val="21"/>
      <w:shd w:val="clear" w:color="auto" w:fill="FFFFFF"/>
      <w:lang w:val="en-US" w:eastAsia="zh-CN"/>
    </w:rPr>
  </w:style>
  <w:style w:type="character" w:customStyle="1" w:styleId="1356">
    <w:name w:val="正文文本 (7) + 4.5 pt"/>
    <w:qFormat/>
    <w:uiPriority w:val="0"/>
    <w:rPr>
      <w:rFonts w:ascii="Arial Unicode MS" w:eastAsia="Arial Unicode MS" w:cs="Arial Unicode MS"/>
      <w:i/>
      <w:iCs/>
      <w:sz w:val="9"/>
      <w:szCs w:val="9"/>
      <w:u w:val="none"/>
      <w:shd w:val="clear" w:color="auto" w:fill="FFFFFF"/>
      <w:lang w:eastAsia="en-US"/>
    </w:rPr>
  </w:style>
  <w:style w:type="character" w:customStyle="1" w:styleId="1357">
    <w:name w:val="正文文本 (7) + 4.5 pt5"/>
    <w:qFormat/>
    <w:uiPriority w:val="0"/>
    <w:rPr>
      <w:rFonts w:ascii="Arial Unicode MS" w:eastAsia="Arial Unicode MS" w:cs="Arial Unicode MS"/>
      <w:i/>
      <w:iCs/>
      <w:smallCaps/>
      <w:sz w:val="9"/>
      <w:szCs w:val="9"/>
      <w:u w:val="none"/>
      <w:shd w:val="clear" w:color="auto" w:fill="FFFFFF"/>
      <w:lang w:eastAsia="en-US"/>
    </w:rPr>
  </w:style>
  <w:style w:type="character" w:customStyle="1" w:styleId="1358">
    <w:name w:val="正文文本 (2)4"/>
    <w:basedOn w:val="1022"/>
    <w:qFormat/>
    <w:uiPriority w:val="0"/>
    <w:rPr>
      <w:rFonts w:ascii="宋体" w:hAnsi="宋体"/>
      <w:shd w:val="clear" w:color="auto" w:fill="FFFFFF"/>
    </w:rPr>
  </w:style>
  <w:style w:type="character" w:customStyle="1" w:styleId="1359">
    <w:name w:val="正文文本 (2) + Arial Unicode MS7"/>
    <w:qFormat/>
    <w:uiPriority w:val="0"/>
    <w:rPr>
      <w:rFonts w:ascii="Arial Unicode MS" w:hAnsi="宋体" w:eastAsia="Arial Unicode MS" w:cs="Arial Unicode MS"/>
      <w:b/>
      <w:bCs/>
      <w:sz w:val="19"/>
      <w:szCs w:val="19"/>
      <w:shd w:val="clear" w:color="auto" w:fill="FFFFFF"/>
      <w:lang w:val="en-US" w:eastAsia="en-US"/>
    </w:rPr>
  </w:style>
  <w:style w:type="character" w:customStyle="1" w:styleId="1360">
    <w:name w:val="标题 #2 + Times New Roman1"/>
    <w:qFormat/>
    <w:uiPriority w:val="0"/>
    <w:rPr>
      <w:rFonts w:ascii="Times New Roman" w:hAnsi="Times New Roman" w:cs="Times New Roman"/>
      <w:b/>
      <w:bCs/>
      <w:sz w:val="27"/>
      <w:szCs w:val="27"/>
      <w:u w:val="none"/>
      <w:shd w:val="clear" w:color="auto" w:fill="FFFFFF"/>
      <w:lang w:val="en-US" w:eastAsia="zh-CN"/>
    </w:rPr>
  </w:style>
  <w:style w:type="character" w:customStyle="1" w:styleId="1361">
    <w:name w:val="正文文本 + 4.5 pt5"/>
    <w:qFormat/>
    <w:uiPriority w:val="0"/>
    <w:rPr>
      <w:rFonts w:ascii="Arial Unicode MS" w:eastAsia="Arial Unicode MS" w:cs="Arial Unicode MS"/>
      <w:i/>
      <w:iCs/>
      <w:kern w:val="2"/>
      <w:sz w:val="9"/>
      <w:szCs w:val="9"/>
      <w:u w:val="none"/>
      <w:lang w:val="en-US" w:eastAsia="en-US" w:bidi="ar-SA"/>
    </w:rPr>
  </w:style>
  <w:style w:type="character" w:customStyle="1" w:styleId="1362">
    <w:name w:val="正文文本 + SimSun10"/>
    <w:qFormat/>
    <w:uiPriority w:val="0"/>
    <w:rPr>
      <w:rFonts w:ascii="宋体" w:hAnsi="宋体" w:eastAsia="Arial Unicode MS" w:cs="宋体"/>
      <w:i/>
      <w:iCs/>
      <w:kern w:val="2"/>
      <w:sz w:val="18"/>
      <w:szCs w:val="18"/>
      <w:u w:val="none"/>
      <w:lang w:val="en-US" w:eastAsia="zh-CN" w:bidi="ar-SA"/>
    </w:rPr>
  </w:style>
  <w:style w:type="character" w:customStyle="1" w:styleId="1363">
    <w:name w:val="正文文本 (32) + Arial Unicode MS"/>
    <w:qFormat/>
    <w:uiPriority w:val="0"/>
    <w:rPr>
      <w:rFonts w:ascii="Arial Unicode MS" w:hAnsi="Consolas" w:eastAsia="Arial Unicode MS" w:cs="Arial Unicode MS"/>
      <w:i/>
      <w:iCs/>
      <w:spacing w:val="40"/>
      <w:sz w:val="11"/>
      <w:szCs w:val="11"/>
      <w:shd w:val="clear" w:color="auto" w:fill="FFFFFF"/>
      <w:lang w:eastAsia="en-US"/>
    </w:rPr>
  </w:style>
  <w:style w:type="character" w:customStyle="1" w:styleId="1364">
    <w:name w:val="正文文本 (7) + 4.5 pt4"/>
    <w:qFormat/>
    <w:uiPriority w:val="0"/>
    <w:rPr>
      <w:rFonts w:ascii="Arial Unicode MS" w:eastAsia="Arial Unicode MS" w:cs="Arial Unicode MS"/>
      <w:i/>
      <w:iCs/>
      <w:spacing w:val="2"/>
      <w:sz w:val="9"/>
      <w:szCs w:val="9"/>
      <w:u w:val="none"/>
      <w:shd w:val="clear" w:color="auto" w:fill="FFFFFF"/>
      <w:lang w:eastAsia="en-US"/>
    </w:rPr>
  </w:style>
  <w:style w:type="character" w:customStyle="1" w:styleId="1365">
    <w:name w:val="正文文本 (13) + 10 pt"/>
    <w:qFormat/>
    <w:uiPriority w:val="0"/>
    <w:rPr>
      <w:rFonts w:ascii="Arial Unicode MS" w:eastAsia="Arial Unicode MS"/>
      <w:i/>
      <w:iCs/>
      <w:spacing w:val="-3"/>
      <w:sz w:val="20"/>
      <w:szCs w:val="20"/>
      <w:shd w:val="clear" w:color="auto" w:fill="FFFFFF"/>
      <w:lang w:eastAsia="en-US"/>
    </w:rPr>
  </w:style>
  <w:style w:type="character" w:customStyle="1" w:styleId="1366">
    <w:name w:val="正文文本 (13) + 间距 0 pt Exact"/>
    <w:qFormat/>
    <w:uiPriority w:val="0"/>
    <w:rPr>
      <w:rFonts w:ascii="Arial Unicode MS" w:eastAsia="Arial Unicode MS"/>
      <w:i/>
      <w:iCs/>
      <w:spacing w:val="2"/>
      <w:sz w:val="9"/>
      <w:szCs w:val="9"/>
      <w:shd w:val="clear" w:color="auto" w:fill="FFFFFF"/>
      <w:lang w:eastAsia="en-US"/>
    </w:rPr>
  </w:style>
  <w:style w:type="character" w:customStyle="1" w:styleId="1367">
    <w:name w:val="正文文本 (34) Exact"/>
    <w:link w:val="1368"/>
    <w:qFormat/>
    <w:uiPriority w:val="0"/>
    <w:rPr>
      <w:rFonts w:ascii="Arial Unicode MS" w:eastAsia="Arial Unicode MS"/>
      <w:spacing w:val="7"/>
      <w:sz w:val="23"/>
      <w:szCs w:val="23"/>
      <w:shd w:val="clear" w:color="auto" w:fill="FFFFFF"/>
      <w:lang w:eastAsia="en-US"/>
    </w:rPr>
  </w:style>
  <w:style w:type="paragraph" w:customStyle="1" w:styleId="1368">
    <w:name w:val="正文文本 (34)"/>
    <w:basedOn w:val="1"/>
    <w:link w:val="1367"/>
    <w:qFormat/>
    <w:uiPriority w:val="0"/>
    <w:pPr>
      <w:shd w:val="clear" w:color="auto" w:fill="FFFFFF"/>
      <w:spacing w:line="240" w:lineRule="atLeast"/>
      <w:jc w:val="left"/>
    </w:pPr>
    <w:rPr>
      <w:rFonts w:ascii="Arial Unicode MS" w:eastAsia="Arial Unicode MS" w:hAnsiTheme="minorHAnsi" w:cstheme="minorBidi"/>
      <w:spacing w:val="7"/>
      <w:kern w:val="0"/>
      <w:sz w:val="23"/>
      <w:szCs w:val="23"/>
      <w:lang w:eastAsia="en-US"/>
    </w:rPr>
  </w:style>
  <w:style w:type="character" w:customStyle="1" w:styleId="1369">
    <w:name w:val="正文文本 (35) Exact"/>
    <w:link w:val="1370"/>
    <w:qFormat/>
    <w:uiPriority w:val="0"/>
    <w:rPr>
      <w:i/>
      <w:iCs/>
      <w:spacing w:val="15"/>
      <w:sz w:val="15"/>
      <w:szCs w:val="15"/>
      <w:shd w:val="clear" w:color="auto" w:fill="FFFFFF"/>
      <w:lang w:eastAsia="en-US"/>
    </w:rPr>
  </w:style>
  <w:style w:type="paragraph" w:customStyle="1" w:styleId="1370">
    <w:name w:val="正文文本 (35)"/>
    <w:basedOn w:val="1"/>
    <w:link w:val="1369"/>
    <w:qFormat/>
    <w:uiPriority w:val="0"/>
    <w:pPr>
      <w:shd w:val="clear" w:color="auto" w:fill="FFFFFF"/>
      <w:spacing w:line="240" w:lineRule="atLeast"/>
      <w:jc w:val="left"/>
    </w:pPr>
    <w:rPr>
      <w:rFonts w:asciiTheme="minorHAnsi" w:hAnsiTheme="minorHAnsi" w:eastAsiaTheme="minorEastAsia" w:cstheme="minorBidi"/>
      <w:i/>
      <w:iCs/>
      <w:spacing w:val="15"/>
      <w:kern w:val="0"/>
      <w:sz w:val="15"/>
      <w:szCs w:val="15"/>
      <w:lang w:eastAsia="en-US"/>
    </w:rPr>
  </w:style>
  <w:style w:type="character" w:customStyle="1" w:styleId="1371">
    <w:name w:val="图片标题 (25) + Arial Unicode MS"/>
    <w:qFormat/>
    <w:uiPriority w:val="0"/>
    <w:rPr>
      <w:rFonts w:ascii="Arial Unicode MS" w:hAnsi="宋体" w:eastAsia="Arial Unicode MS" w:cs="Arial Unicode MS"/>
      <w:spacing w:val="0"/>
      <w:sz w:val="8"/>
      <w:szCs w:val="8"/>
      <w:shd w:val="clear" w:color="auto" w:fill="FFFFFF"/>
      <w:lang w:val="en-US" w:eastAsia="zh-CN"/>
    </w:rPr>
  </w:style>
  <w:style w:type="character" w:customStyle="1" w:styleId="1372">
    <w:name w:val="正文文本 (13) + 间距 0 pt2"/>
    <w:qFormat/>
    <w:uiPriority w:val="0"/>
    <w:rPr>
      <w:rFonts w:ascii="Arial Unicode MS" w:eastAsia="Arial Unicode MS"/>
      <w:i/>
      <w:iCs/>
      <w:spacing w:val="0"/>
      <w:sz w:val="9"/>
      <w:szCs w:val="9"/>
      <w:shd w:val="clear" w:color="auto" w:fill="FFFFFF"/>
      <w:lang w:eastAsia="en-US"/>
    </w:rPr>
  </w:style>
  <w:style w:type="character" w:customStyle="1" w:styleId="1373">
    <w:name w:val="表格标题 (2)4"/>
    <w:qFormat/>
    <w:uiPriority w:val="0"/>
    <w:rPr>
      <w:rFonts w:ascii="Arial Unicode MS" w:eastAsia="Arial Unicode MS" w:cs="Arial Unicode MS"/>
      <w:sz w:val="21"/>
      <w:szCs w:val="21"/>
      <w:u w:val="none"/>
      <w:shd w:val="clear" w:color="auto" w:fill="FFFFFF"/>
      <w:lang w:eastAsia="en-US"/>
    </w:rPr>
  </w:style>
  <w:style w:type="character" w:customStyle="1" w:styleId="1374">
    <w:name w:val="标题 #3 (6)"/>
    <w:basedOn w:val="1328"/>
    <w:qFormat/>
    <w:uiPriority w:val="0"/>
    <w:rPr>
      <w:sz w:val="27"/>
      <w:szCs w:val="27"/>
      <w:shd w:val="clear" w:color="auto" w:fill="FFFFFF"/>
      <w:lang w:eastAsia="en-US"/>
    </w:rPr>
  </w:style>
  <w:style w:type="character" w:customStyle="1" w:styleId="1375">
    <w:name w:val="正文文本 + SimSun9"/>
    <w:qFormat/>
    <w:uiPriority w:val="0"/>
    <w:rPr>
      <w:rFonts w:ascii="宋体" w:hAnsi="宋体" w:eastAsia="Arial Unicode MS" w:cs="宋体"/>
      <w:spacing w:val="-10"/>
      <w:kern w:val="2"/>
      <w:sz w:val="29"/>
      <w:szCs w:val="29"/>
      <w:u w:val="none"/>
      <w:lang w:val="en-US" w:eastAsia="zh-CN" w:bidi="ar-SA"/>
    </w:rPr>
  </w:style>
  <w:style w:type="character" w:customStyle="1" w:styleId="1376">
    <w:name w:val="正文文本 (6) + 间距 0 pt2"/>
    <w:qFormat/>
    <w:uiPriority w:val="0"/>
    <w:rPr>
      <w:rFonts w:ascii="宋体" w:hAnsi="宋体" w:cs="宋体"/>
      <w:spacing w:val="-10"/>
      <w:sz w:val="29"/>
      <w:szCs w:val="29"/>
      <w:u w:val="none"/>
      <w:shd w:val="clear" w:color="auto" w:fill="FFFFFF"/>
    </w:rPr>
  </w:style>
  <w:style w:type="character" w:customStyle="1" w:styleId="1377">
    <w:name w:val="表格标题 (8)_"/>
    <w:link w:val="1378"/>
    <w:qFormat/>
    <w:uiPriority w:val="0"/>
    <w:rPr>
      <w:rFonts w:ascii="宋体" w:hAnsi="宋体"/>
      <w:shd w:val="clear" w:color="auto" w:fill="FFFFFF"/>
    </w:rPr>
  </w:style>
  <w:style w:type="paragraph" w:customStyle="1" w:styleId="1378">
    <w:name w:val="表格标题 (8)1"/>
    <w:basedOn w:val="1"/>
    <w:link w:val="1377"/>
    <w:qFormat/>
    <w:uiPriority w:val="0"/>
    <w:pPr>
      <w:shd w:val="clear" w:color="auto" w:fill="FFFFFF"/>
      <w:spacing w:line="240" w:lineRule="atLeast"/>
      <w:jc w:val="left"/>
    </w:pPr>
    <w:rPr>
      <w:rFonts w:ascii="宋体" w:hAnsi="宋体" w:eastAsiaTheme="minorEastAsia" w:cstheme="minorBidi"/>
      <w:kern w:val="0"/>
      <w:sz w:val="20"/>
    </w:rPr>
  </w:style>
  <w:style w:type="character" w:customStyle="1" w:styleId="1379">
    <w:name w:val="正文文本 + 间距 1 pt3"/>
    <w:qFormat/>
    <w:uiPriority w:val="0"/>
    <w:rPr>
      <w:rFonts w:ascii="Arial Unicode MS" w:eastAsia="Arial Unicode MS" w:cs="Arial Unicode MS"/>
      <w:spacing w:val="30"/>
      <w:kern w:val="2"/>
      <w:sz w:val="22"/>
      <w:szCs w:val="22"/>
      <w:u w:val="none"/>
      <w:lang w:val="en-US" w:eastAsia="zh-CN" w:bidi="ar-SA"/>
    </w:rPr>
  </w:style>
  <w:style w:type="character" w:customStyle="1" w:styleId="1380">
    <w:name w:val="正文文本 (3)2"/>
    <w:basedOn w:val="1045"/>
    <w:qFormat/>
    <w:uiPriority w:val="0"/>
    <w:rPr>
      <w:rFonts w:ascii="Arial Unicode MS" w:eastAsia="Arial Unicode MS"/>
      <w:sz w:val="19"/>
      <w:szCs w:val="19"/>
      <w:shd w:val="clear" w:color="auto" w:fill="FFFFFF"/>
    </w:rPr>
  </w:style>
  <w:style w:type="character" w:customStyle="1" w:styleId="1381">
    <w:name w:val="正文文本 (3) + SimSun2"/>
    <w:qFormat/>
    <w:uiPriority w:val="0"/>
    <w:rPr>
      <w:rFonts w:ascii="宋体" w:hAnsi="宋体" w:eastAsia="Arial Unicode MS" w:cs="宋体"/>
      <w:b/>
      <w:bCs/>
      <w:sz w:val="20"/>
      <w:szCs w:val="20"/>
      <w:shd w:val="clear" w:color="auto" w:fill="FFFFFF"/>
    </w:rPr>
  </w:style>
  <w:style w:type="character" w:customStyle="1" w:styleId="1382">
    <w:name w:val="正文文本 (2) Exact"/>
    <w:qFormat/>
    <w:uiPriority w:val="0"/>
    <w:rPr>
      <w:rFonts w:ascii="宋体" w:hAnsi="宋体" w:cs="宋体"/>
      <w:spacing w:val="3"/>
      <w:sz w:val="18"/>
      <w:szCs w:val="18"/>
      <w:u w:val="none"/>
    </w:rPr>
  </w:style>
  <w:style w:type="character" w:customStyle="1" w:styleId="1383">
    <w:name w:val="正文文本 + 10.5 pt13"/>
    <w:qFormat/>
    <w:uiPriority w:val="0"/>
    <w:rPr>
      <w:rFonts w:ascii="Arial Unicode MS" w:eastAsia="Arial Unicode MS" w:cs="Arial Unicode MS"/>
      <w:kern w:val="2"/>
      <w:sz w:val="21"/>
      <w:szCs w:val="21"/>
      <w:u w:val="single"/>
      <w:lang w:val="en-US" w:eastAsia="en-US" w:bidi="ar-SA"/>
    </w:rPr>
  </w:style>
  <w:style w:type="character" w:customStyle="1" w:styleId="1384">
    <w:name w:val="标题 #1 (2)_"/>
    <w:link w:val="1385"/>
    <w:qFormat/>
    <w:uiPriority w:val="0"/>
    <w:rPr>
      <w:rFonts w:ascii="Arial Unicode MS" w:eastAsia="Arial Unicode MS"/>
      <w:i/>
      <w:iCs/>
      <w:sz w:val="9"/>
      <w:szCs w:val="9"/>
      <w:shd w:val="clear" w:color="auto" w:fill="FFFFFF"/>
      <w:lang w:eastAsia="en-US"/>
    </w:rPr>
  </w:style>
  <w:style w:type="paragraph" w:customStyle="1" w:styleId="1385">
    <w:name w:val="标题 #1 (2)"/>
    <w:basedOn w:val="1"/>
    <w:link w:val="1384"/>
    <w:qFormat/>
    <w:uiPriority w:val="0"/>
    <w:pPr>
      <w:shd w:val="clear" w:color="auto" w:fill="FFFFFF"/>
      <w:spacing w:after="180" w:line="240" w:lineRule="atLeast"/>
      <w:jc w:val="left"/>
      <w:outlineLvl w:val="0"/>
    </w:pPr>
    <w:rPr>
      <w:rFonts w:ascii="Arial Unicode MS" w:eastAsia="Arial Unicode MS" w:hAnsiTheme="minorHAnsi" w:cstheme="minorBidi"/>
      <w:i/>
      <w:iCs/>
      <w:kern w:val="0"/>
      <w:sz w:val="9"/>
      <w:szCs w:val="9"/>
      <w:lang w:eastAsia="en-US"/>
    </w:rPr>
  </w:style>
  <w:style w:type="character" w:customStyle="1" w:styleId="1386">
    <w:name w:val="标题 #1 (2) + 10.5 pt"/>
    <w:qFormat/>
    <w:uiPriority w:val="0"/>
    <w:rPr>
      <w:rFonts w:ascii="Arial Unicode MS" w:eastAsia="Arial Unicode MS"/>
      <w:i/>
      <w:iCs/>
      <w:sz w:val="21"/>
      <w:szCs w:val="21"/>
      <w:shd w:val="clear" w:color="auto" w:fill="FFFFFF"/>
      <w:lang w:eastAsia="en-US"/>
    </w:rPr>
  </w:style>
  <w:style w:type="character" w:customStyle="1" w:styleId="1387">
    <w:name w:val="标题 #1 (2) + SimSun"/>
    <w:qFormat/>
    <w:uiPriority w:val="0"/>
    <w:rPr>
      <w:rFonts w:ascii="宋体" w:hAnsi="宋体" w:eastAsia="Arial Unicode MS" w:cs="宋体"/>
      <w:i/>
      <w:iCs/>
      <w:spacing w:val="-30"/>
      <w:sz w:val="29"/>
      <w:szCs w:val="29"/>
      <w:shd w:val="clear" w:color="auto" w:fill="FFFFFF"/>
      <w:lang w:eastAsia="en-US"/>
    </w:rPr>
  </w:style>
  <w:style w:type="character" w:customStyle="1" w:styleId="1388">
    <w:name w:val="标题 #1 (2) + 13.5 pt"/>
    <w:qFormat/>
    <w:uiPriority w:val="0"/>
    <w:rPr>
      <w:rFonts w:ascii="Arial Unicode MS" w:eastAsia="Arial Unicode MS"/>
      <w:i/>
      <w:iCs/>
      <w:spacing w:val="-20"/>
      <w:sz w:val="27"/>
      <w:szCs w:val="27"/>
      <w:shd w:val="clear" w:color="auto" w:fill="FFFFFF"/>
      <w:lang w:eastAsia="en-US"/>
    </w:rPr>
  </w:style>
  <w:style w:type="character" w:customStyle="1" w:styleId="1389">
    <w:name w:val="正文文本 + MingLiU"/>
    <w:qFormat/>
    <w:uiPriority w:val="0"/>
    <w:rPr>
      <w:rFonts w:ascii="MingLiU" w:eastAsia="MingLiU" w:cs="MingLiU"/>
      <w:spacing w:val="-20"/>
      <w:kern w:val="2"/>
      <w:sz w:val="24"/>
      <w:szCs w:val="24"/>
      <w:u w:val="none"/>
      <w:lang w:val="en-US" w:eastAsia="zh-CN" w:bidi="ar-SA"/>
    </w:rPr>
  </w:style>
  <w:style w:type="character" w:customStyle="1" w:styleId="1390">
    <w:name w:val="正文文本 (7) + 间距 -1 pt1"/>
    <w:qFormat/>
    <w:uiPriority w:val="0"/>
    <w:rPr>
      <w:rFonts w:ascii="Arial Unicode MS" w:eastAsia="Arial Unicode MS" w:cs="Arial Unicode MS"/>
      <w:spacing w:val="-30"/>
      <w:sz w:val="21"/>
      <w:szCs w:val="21"/>
      <w:u w:val="none"/>
      <w:shd w:val="clear" w:color="auto" w:fill="FFFFFF"/>
      <w:lang w:eastAsia="en-US"/>
    </w:rPr>
  </w:style>
  <w:style w:type="character" w:customStyle="1" w:styleId="1391">
    <w:name w:val="正文文本 (37)_"/>
    <w:link w:val="1392"/>
    <w:qFormat/>
    <w:uiPriority w:val="0"/>
    <w:rPr>
      <w:rFonts w:ascii="Arial Unicode MS" w:eastAsia="Arial Unicode MS"/>
      <w:sz w:val="17"/>
      <w:szCs w:val="17"/>
      <w:shd w:val="clear" w:color="auto" w:fill="FFFFFF"/>
    </w:rPr>
  </w:style>
  <w:style w:type="paragraph" w:customStyle="1" w:styleId="1392">
    <w:name w:val="正文文本 (37)1"/>
    <w:basedOn w:val="1"/>
    <w:link w:val="1391"/>
    <w:qFormat/>
    <w:uiPriority w:val="0"/>
    <w:pPr>
      <w:shd w:val="clear" w:color="auto" w:fill="FFFFFF"/>
      <w:spacing w:before="360" w:line="240" w:lineRule="atLeast"/>
      <w:jc w:val="left"/>
    </w:pPr>
    <w:rPr>
      <w:rFonts w:ascii="Arial Unicode MS" w:eastAsia="Arial Unicode MS" w:hAnsiTheme="minorHAnsi" w:cstheme="minorBidi"/>
      <w:kern w:val="0"/>
      <w:sz w:val="17"/>
      <w:szCs w:val="17"/>
    </w:rPr>
  </w:style>
  <w:style w:type="character" w:customStyle="1" w:styleId="1393">
    <w:name w:val="正文文本 (37)"/>
    <w:basedOn w:val="1391"/>
    <w:qFormat/>
    <w:uiPriority w:val="0"/>
    <w:rPr>
      <w:rFonts w:ascii="Arial Unicode MS" w:eastAsia="Arial Unicode MS"/>
      <w:sz w:val="17"/>
      <w:szCs w:val="17"/>
      <w:shd w:val="clear" w:color="auto" w:fill="FFFFFF"/>
    </w:rPr>
  </w:style>
  <w:style w:type="character" w:customStyle="1" w:styleId="1394">
    <w:name w:val="正文文本 (38) + Arial Unicode MS"/>
    <w:qFormat/>
    <w:uiPriority w:val="0"/>
    <w:rPr>
      <w:rFonts w:ascii="Arial Unicode MS" w:eastAsia="Arial Unicode MS" w:cs="Arial Unicode MS"/>
      <w:b/>
      <w:bCs/>
      <w:sz w:val="16"/>
      <w:szCs w:val="16"/>
      <w:shd w:val="clear" w:color="auto" w:fill="FFFFFF"/>
      <w:lang w:val="en-US" w:eastAsia="zh-CN"/>
    </w:rPr>
  </w:style>
  <w:style w:type="character" w:customStyle="1" w:styleId="1395">
    <w:name w:val="正文文本 (3) Exact"/>
    <w:qFormat/>
    <w:uiPriority w:val="0"/>
    <w:rPr>
      <w:rFonts w:ascii="Arial Unicode MS" w:eastAsia="Arial Unicode MS" w:cs="Arial Unicode MS"/>
      <w:b/>
      <w:bCs/>
      <w:spacing w:val="3"/>
      <w:sz w:val="15"/>
      <w:szCs w:val="15"/>
      <w:u w:val="none"/>
    </w:rPr>
  </w:style>
  <w:style w:type="character" w:customStyle="1" w:styleId="1396">
    <w:name w:val="正文文本 (3) + SimSun1"/>
    <w:qFormat/>
    <w:uiPriority w:val="0"/>
    <w:rPr>
      <w:rFonts w:ascii="宋体" w:hAnsi="宋体" w:eastAsia="Arial Unicode MS" w:cs="宋体"/>
      <w:b/>
      <w:bCs/>
      <w:spacing w:val="5"/>
      <w:sz w:val="18"/>
      <w:szCs w:val="18"/>
      <w:shd w:val="clear" w:color="auto" w:fill="FFFFFF"/>
      <w:lang w:val="en-US" w:eastAsia="en-US"/>
    </w:rPr>
  </w:style>
  <w:style w:type="character" w:customStyle="1" w:styleId="1397">
    <w:name w:val="正文文本 (3) + 间距 0 pt Exact"/>
    <w:qFormat/>
    <w:uiPriority w:val="0"/>
    <w:rPr>
      <w:rFonts w:ascii="Arial Unicode MS" w:eastAsia="Arial Unicode MS"/>
      <w:b/>
      <w:bCs/>
      <w:spacing w:val="4"/>
      <w:sz w:val="15"/>
      <w:szCs w:val="15"/>
      <w:shd w:val="clear" w:color="auto" w:fill="FFFFFF"/>
    </w:rPr>
  </w:style>
  <w:style w:type="character" w:customStyle="1" w:styleId="1398">
    <w:name w:val="正文文本 (2) + Arial Unicode MS5"/>
    <w:qFormat/>
    <w:uiPriority w:val="0"/>
    <w:rPr>
      <w:rFonts w:ascii="Arial Unicode MS" w:hAnsi="宋体" w:eastAsia="Arial Unicode MS" w:cs="Arial Unicode MS"/>
      <w:b/>
      <w:bCs/>
      <w:strike/>
      <w:spacing w:val="4"/>
      <w:sz w:val="15"/>
      <w:szCs w:val="15"/>
      <w:shd w:val="clear" w:color="auto" w:fill="FFFFFF"/>
      <w:lang w:val="en-US" w:eastAsia="en-US"/>
    </w:rPr>
  </w:style>
  <w:style w:type="character" w:customStyle="1" w:styleId="1399">
    <w:name w:val="表格标题 (9) + Times New Roman"/>
    <w:qFormat/>
    <w:uiPriority w:val="0"/>
    <w:rPr>
      <w:rFonts w:ascii="Times New Roman" w:hAnsi="Times New Roman" w:cs="Times New Roman"/>
      <w:b/>
      <w:bCs/>
      <w:spacing w:val="0"/>
      <w:sz w:val="27"/>
      <w:szCs w:val="27"/>
      <w:shd w:val="clear" w:color="auto" w:fill="FFFFFF"/>
      <w:lang w:val="en-US" w:eastAsia="en-US"/>
    </w:rPr>
  </w:style>
  <w:style w:type="character" w:customStyle="1" w:styleId="1400">
    <w:name w:val="正文文本 + 间距 5 pt1"/>
    <w:qFormat/>
    <w:uiPriority w:val="0"/>
    <w:rPr>
      <w:rFonts w:ascii="Arial Unicode MS" w:eastAsia="Arial Unicode MS" w:cs="Arial Unicode MS"/>
      <w:spacing w:val="100"/>
      <w:kern w:val="2"/>
      <w:sz w:val="22"/>
      <w:szCs w:val="22"/>
      <w:u w:val="none"/>
      <w:lang w:val="en-US" w:eastAsia="zh-CN" w:bidi="ar-SA"/>
    </w:rPr>
  </w:style>
  <w:style w:type="character" w:customStyle="1" w:styleId="1401">
    <w:name w:val="正文文本 + 间距 1 pt2"/>
    <w:qFormat/>
    <w:uiPriority w:val="0"/>
    <w:rPr>
      <w:rFonts w:ascii="Arial Unicode MS" w:eastAsia="Arial Unicode MS" w:cs="Arial Unicode MS"/>
      <w:spacing w:val="30"/>
      <w:kern w:val="2"/>
      <w:sz w:val="22"/>
      <w:szCs w:val="22"/>
      <w:u w:val="none"/>
      <w:lang w:val="en-US" w:eastAsia="zh-CN" w:bidi="ar-SA"/>
    </w:rPr>
  </w:style>
  <w:style w:type="character" w:customStyle="1" w:styleId="1402">
    <w:name w:val="正文文本 + 10.5 pt12"/>
    <w:qFormat/>
    <w:uiPriority w:val="0"/>
    <w:rPr>
      <w:rFonts w:ascii="Arial Unicode MS" w:eastAsia="Arial Unicode MS" w:cs="Arial Unicode MS"/>
      <w:spacing w:val="40"/>
      <w:kern w:val="2"/>
      <w:sz w:val="21"/>
      <w:szCs w:val="21"/>
      <w:u w:val="none"/>
      <w:lang w:val="en-US" w:eastAsia="en-US" w:bidi="ar-SA"/>
    </w:rPr>
  </w:style>
  <w:style w:type="character" w:customStyle="1" w:styleId="1403">
    <w:name w:val="正文文本 + Times New Roman6"/>
    <w:qFormat/>
    <w:uiPriority w:val="0"/>
    <w:rPr>
      <w:rFonts w:ascii="Times New Roman" w:hAnsi="Times New Roman" w:eastAsia="Arial Unicode MS" w:cs="Times New Roman"/>
      <w:kern w:val="2"/>
      <w:sz w:val="20"/>
      <w:szCs w:val="20"/>
      <w:u w:val="none"/>
      <w:lang w:val="en-US" w:eastAsia="en-US" w:bidi="ar-SA"/>
    </w:rPr>
  </w:style>
  <w:style w:type="character" w:customStyle="1" w:styleId="1404">
    <w:name w:val="正文文本 + 10 pt3"/>
    <w:qFormat/>
    <w:uiPriority w:val="0"/>
    <w:rPr>
      <w:rFonts w:ascii="Arial Unicode MS" w:eastAsia="Arial Unicode MS" w:cs="Arial Unicode MS"/>
      <w:kern w:val="2"/>
      <w:sz w:val="20"/>
      <w:szCs w:val="20"/>
      <w:u w:val="none"/>
      <w:lang w:val="en-US" w:eastAsia="zh-CN" w:bidi="ar-SA"/>
    </w:rPr>
  </w:style>
  <w:style w:type="character" w:customStyle="1" w:styleId="1405">
    <w:name w:val="标题 #3 (6) + SimSun1"/>
    <w:qFormat/>
    <w:uiPriority w:val="0"/>
    <w:rPr>
      <w:rFonts w:ascii="宋体" w:hAnsi="宋体" w:cs="宋体"/>
      <w:b/>
      <w:bCs/>
      <w:spacing w:val="-10"/>
      <w:sz w:val="29"/>
      <w:szCs w:val="29"/>
      <w:shd w:val="clear" w:color="auto" w:fill="FFFFFF"/>
      <w:lang w:eastAsia="en-US"/>
    </w:rPr>
  </w:style>
  <w:style w:type="character" w:customStyle="1" w:styleId="1406">
    <w:name w:val="正文文本 (47) Exact"/>
    <w:link w:val="1407"/>
    <w:qFormat/>
    <w:uiPriority w:val="0"/>
    <w:rPr>
      <w:b/>
      <w:bCs/>
      <w:sz w:val="21"/>
      <w:szCs w:val="21"/>
      <w:shd w:val="clear" w:color="auto" w:fill="FFFFFF"/>
      <w:lang w:eastAsia="en-US"/>
    </w:rPr>
  </w:style>
  <w:style w:type="paragraph" w:customStyle="1" w:styleId="1407">
    <w:name w:val="正文文本 (47)"/>
    <w:basedOn w:val="1"/>
    <w:link w:val="1406"/>
    <w:qFormat/>
    <w:uiPriority w:val="0"/>
    <w:pPr>
      <w:shd w:val="clear" w:color="auto" w:fill="FFFFFF"/>
      <w:spacing w:line="240" w:lineRule="atLeast"/>
      <w:jc w:val="left"/>
    </w:pPr>
    <w:rPr>
      <w:rFonts w:asciiTheme="minorHAnsi" w:hAnsiTheme="minorHAnsi" w:eastAsiaTheme="minorEastAsia" w:cstheme="minorBidi"/>
      <w:b/>
      <w:bCs/>
      <w:kern w:val="0"/>
      <w:szCs w:val="21"/>
      <w:lang w:eastAsia="en-US"/>
    </w:rPr>
  </w:style>
  <w:style w:type="character" w:customStyle="1" w:styleId="1408">
    <w:name w:val="正文文本 (41) Exact"/>
    <w:link w:val="1409"/>
    <w:qFormat/>
    <w:uiPriority w:val="0"/>
    <w:rPr>
      <w:spacing w:val="16"/>
      <w:sz w:val="27"/>
      <w:szCs w:val="27"/>
      <w:shd w:val="clear" w:color="auto" w:fill="FFFFFF"/>
      <w:lang w:eastAsia="en-US"/>
    </w:rPr>
  </w:style>
  <w:style w:type="paragraph" w:customStyle="1" w:styleId="1409">
    <w:name w:val="正文文本 (41)"/>
    <w:basedOn w:val="1"/>
    <w:link w:val="1408"/>
    <w:qFormat/>
    <w:uiPriority w:val="0"/>
    <w:pPr>
      <w:shd w:val="clear" w:color="auto" w:fill="FFFFFF"/>
      <w:spacing w:line="240" w:lineRule="atLeast"/>
      <w:jc w:val="left"/>
    </w:pPr>
    <w:rPr>
      <w:rFonts w:asciiTheme="minorHAnsi" w:hAnsiTheme="minorHAnsi" w:eastAsiaTheme="minorEastAsia" w:cstheme="minorBidi"/>
      <w:spacing w:val="16"/>
      <w:kern w:val="0"/>
      <w:sz w:val="27"/>
      <w:szCs w:val="27"/>
      <w:lang w:eastAsia="en-US"/>
    </w:rPr>
  </w:style>
  <w:style w:type="character" w:customStyle="1" w:styleId="1410">
    <w:name w:val="正文文本 (7)4"/>
    <w:qFormat/>
    <w:uiPriority w:val="0"/>
    <w:rPr>
      <w:rFonts w:ascii="Arial Unicode MS" w:eastAsia="Arial Unicode MS" w:cs="Arial Unicode MS"/>
      <w:sz w:val="21"/>
      <w:szCs w:val="21"/>
      <w:u w:val="none"/>
      <w:shd w:val="clear" w:color="auto" w:fill="FFFFFF"/>
      <w:lang w:eastAsia="en-US"/>
    </w:rPr>
  </w:style>
  <w:style w:type="character" w:customStyle="1" w:styleId="1411">
    <w:name w:val="正文文本 (7) + 11 pt3"/>
    <w:qFormat/>
    <w:uiPriority w:val="0"/>
    <w:rPr>
      <w:rFonts w:ascii="Arial Unicode MS" w:eastAsia="Arial Unicode MS" w:cs="Arial Unicode MS"/>
      <w:sz w:val="22"/>
      <w:szCs w:val="22"/>
      <w:u w:val="none"/>
      <w:shd w:val="clear" w:color="auto" w:fill="FFFFFF"/>
      <w:lang w:eastAsia="en-US"/>
    </w:rPr>
  </w:style>
  <w:style w:type="character" w:customStyle="1" w:styleId="1412">
    <w:name w:val="表格标题 + 10.5 pt2"/>
    <w:qFormat/>
    <w:uiPriority w:val="0"/>
    <w:rPr>
      <w:rFonts w:ascii="Arial Unicode MS" w:eastAsia="Arial Unicode MS" w:cs="Arial Unicode MS"/>
      <w:sz w:val="21"/>
      <w:szCs w:val="21"/>
      <w:u w:val="single"/>
      <w:lang w:val="en-US" w:eastAsia="en-US"/>
    </w:rPr>
  </w:style>
  <w:style w:type="character" w:customStyle="1" w:styleId="1413">
    <w:name w:val="正文文本 + 间距 0 pt Exact1"/>
    <w:qFormat/>
    <w:uiPriority w:val="0"/>
    <w:rPr>
      <w:rFonts w:ascii="Arial Unicode MS" w:eastAsia="Arial Unicode MS" w:cs="Arial Unicode MS"/>
      <w:spacing w:val="3"/>
      <w:kern w:val="2"/>
      <w:sz w:val="21"/>
      <w:szCs w:val="21"/>
      <w:u w:val="none"/>
      <w:lang w:val="en-US" w:eastAsia="zh-CN" w:bidi="ar-SA"/>
    </w:rPr>
  </w:style>
  <w:style w:type="character" w:customStyle="1" w:styleId="1414">
    <w:name w:val="正文文本 (41) + 斜体"/>
    <w:qFormat/>
    <w:uiPriority w:val="0"/>
    <w:rPr>
      <w:i/>
      <w:iCs/>
      <w:spacing w:val="0"/>
      <w:sz w:val="27"/>
      <w:szCs w:val="27"/>
      <w:shd w:val="clear" w:color="auto" w:fill="FFFFFF"/>
      <w:lang w:eastAsia="en-US"/>
    </w:rPr>
  </w:style>
  <w:style w:type="character" w:customStyle="1" w:styleId="1415">
    <w:name w:val="正文文本 + 4.5 pt4"/>
    <w:qFormat/>
    <w:uiPriority w:val="0"/>
    <w:rPr>
      <w:rFonts w:ascii="Arial Unicode MS" w:eastAsia="Arial Unicode MS" w:cs="Arial Unicode MS"/>
      <w:i/>
      <w:iCs/>
      <w:kern w:val="2"/>
      <w:sz w:val="9"/>
      <w:szCs w:val="9"/>
      <w:u w:val="none"/>
      <w:lang w:val="en-US" w:eastAsia="en-US" w:bidi="ar-SA"/>
    </w:rPr>
  </w:style>
  <w:style w:type="character" w:customStyle="1" w:styleId="1416">
    <w:name w:val="正文文本 (42)_"/>
    <w:link w:val="1417"/>
    <w:qFormat/>
    <w:uiPriority w:val="0"/>
    <w:rPr>
      <w:rFonts w:ascii="宋体" w:hAnsi="宋体"/>
      <w:i/>
      <w:iCs/>
      <w:spacing w:val="10"/>
      <w:sz w:val="18"/>
      <w:szCs w:val="18"/>
      <w:shd w:val="clear" w:color="auto" w:fill="FFFFFF"/>
    </w:rPr>
  </w:style>
  <w:style w:type="paragraph" w:customStyle="1" w:styleId="1417">
    <w:name w:val="正文文本 (42)"/>
    <w:basedOn w:val="1"/>
    <w:link w:val="1416"/>
    <w:qFormat/>
    <w:uiPriority w:val="0"/>
    <w:pPr>
      <w:shd w:val="clear" w:color="auto" w:fill="FFFFFF"/>
      <w:spacing w:after="180" w:line="240" w:lineRule="atLeast"/>
      <w:jc w:val="left"/>
    </w:pPr>
    <w:rPr>
      <w:rFonts w:ascii="宋体" w:hAnsi="宋体" w:eastAsiaTheme="minorEastAsia" w:cstheme="minorBidi"/>
      <w:i/>
      <w:iCs/>
      <w:spacing w:val="10"/>
      <w:kern w:val="0"/>
      <w:sz w:val="18"/>
      <w:szCs w:val="18"/>
    </w:rPr>
  </w:style>
  <w:style w:type="character" w:customStyle="1" w:styleId="1418">
    <w:name w:val="正文文本 (43) + Arial Unicode MS"/>
    <w:qFormat/>
    <w:uiPriority w:val="0"/>
    <w:rPr>
      <w:rFonts w:ascii="Arial Unicode MS" w:eastAsia="Arial Unicode MS" w:cs="Arial Unicode MS"/>
      <w:i/>
      <w:iCs/>
      <w:spacing w:val="0"/>
      <w:sz w:val="25"/>
      <w:szCs w:val="25"/>
      <w:shd w:val="clear" w:color="auto" w:fill="FFFFFF"/>
      <w:lang w:val="en-US" w:eastAsia="zh-CN"/>
    </w:rPr>
  </w:style>
  <w:style w:type="character" w:customStyle="1" w:styleId="1419">
    <w:name w:val="正文文本 (43) + 粗体"/>
    <w:qFormat/>
    <w:uiPriority w:val="0"/>
    <w:rPr>
      <w:b/>
      <w:bCs/>
      <w:i/>
      <w:iCs/>
      <w:spacing w:val="1000"/>
      <w:sz w:val="27"/>
      <w:szCs w:val="27"/>
      <w:shd w:val="clear" w:color="auto" w:fill="FFFFFF"/>
      <w:lang w:eastAsia="en-US"/>
    </w:rPr>
  </w:style>
  <w:style w:type="character" w:customStyle="1" w:styleId="1420">
    <w:name w:val="正文文本 (13) + 间距 0 pt1"/>
    <w:qFormat/>
    <w:uiPriority w:val="0"/>
    <w:rPr>
      <w:rFonts w:ascii="Arial Unicode MS" w:eastAsia="Arial Unicode MS"/>
      <w:i/>
      <w:iCs/>
      <w:spacing w:val="0"/>
      <w:sz w:val="9"/>
      <w:szCs w:val="9"/>
      <w:shd w:val="clear" w:color="auto" w:fill="FFFFFF"/>
      <w:lang w:eastAsia="en-US"/>
    </w:rPr>
  </w:style>
  <w:style w:type="character" w:customStyle="1" w:styleId="1421">
    <w:name w:val="正文文本 (13) + 10.5 pt1"/>
    <w:qFormat/>
    <w:uiPriority w:val="0"/>
    <w:rPr>
      <w:rFonts w:ascii="Arial Unicode MS" w:eastAsia="Arial Unicode MS"/>
      <w:i/>
      <w:iCs/>
      <w:spacing w:val="0"/>
      <w:sz w:val="21"/>
      <w:szCs w:val="21"/>
      <w:shd w:val="clear" w:color="auto" w:fill="FFFFFF"/>
      <w:lang w:eastAsia="en-US"/>
    </w:rPr>
  </w:style>
  <w:style w:type="character" w:customStyle="1" w:styleId="1422">
    <w:name w:val="Char Char19"/>
    <w:qFormat/>
    <w:uiPriority w:val="0"/>
    <w:rPr>
      <w:rFonts w:ascii="Arial" w:hAnsi="Arial" w:eastAsia="黑体" w:cs="Arial"/>
      <w:kern w:val="2"/>
      <w:lang w:eastAsia="zh-CN"/>
    </w:rPr>
  </w:style>
  <w:style w:type="character" w:customStyle="1" w:styleId="1423">
    <w:name w:val="正文文本 + 4.5 pt3"/>
    <w:qFormat/>
    <w:uiPriority w:val="0"/>
    <w:rPr>
      <w:rFonts w:ascii="Arial Unicode MS" w:eastAsia="Arial Unicode MS" w:cs="Arial Unicode MS"/>
      <w:i/>
      <w:iCs/>
      <w:smallCaps/>
      <w:kern w:val="2"/>
      <w:sz w:val="9"/>
      <w:szCs w:val="9"/>
      <w:u w:val="none"/>
      <w:lang w:val="en-US" w:eastAsia="en-US" w:bidi="ar-SA"/>
    </w:rPr>
  </w:style>
  <w:style w:type="character" w:customStyle="1" w:styleId="1424">
    <w:name w:val="正文文本 (13) + 小型大写1"/>
    <w:qFormat/>
    <w:uiPriority w:val="0"/>
    <w:rPr>
      <w:rFonts w:ascii="Arial Unicode MS" w:eastAsia="Arial Unicode MS"/>
      <w:i/>
      <w:iCs/>
      <w:smallCaps/>
      <w:spacing w:val="0"/>
      <w:sz w:val="9"/>
      <w:szCs w:val="9"/>
      <w:shd w:val="clear" w:color="auto" w:fill="FFFFFF"/>
      <w:lang w:eastAsia="en-US"/>
    </w:rPr>
  </w:style>
  <w:style w:type="character" w:customStyle="1" w:styleId="1425">
    <w:name w:val="bds_more"/>
    <w:qFormat/>
    <w:uiPriority w:val="0"/>
    <w:rPr>
      <w:rFonts w:hint="eastAsia" w:ascii="宋体" w:hAnsi="宋体" w:eastAsia="宋体" w:cs="宋体"/>
    </w:rPr>
  </w:style>
  <w:style w:type="character" w:customStyle="1" w:styleId="1426">
    <w:name w:val="正文文本 (13) + 间距 1 pt"/>
    <w:qFormat/>
    <w:uiPriority w:val="0"/>
    <w:rPr>
      <w:rFonts w:ascii="Arial Unicode MS" w:eastAsia="Arial Unicode MS"/>
      <w:i/>
      <w:iCs/>
      <w:spacing w:val="30"/>
      <w:sz w:val="9"/>
      <w:szCs w:val="9"/>
      <w:shd w:val="clear" w:color="auto" w:fill="FFFFFF"/>
      <w:lang w:eastAsia="en-US"/>
    </w:rPr>
  </w:style>
  <w:style w:type="character" w:customStyle="1" w:styleId="1427">
    <w:name w:val="Char Char8"/>
    <w:qFormat/>
    <w:uiPriority w:val="0"/>
    <w:rPr>
      <w:rFonts w:ascii="Arial" w:hAnsi="Arial" w:eastAsia="黑体"/>
      <w:kern w:val="2"/>
      <w:lang w:eastAsia="zh-CN"/>
    </w:rPr>
  </w:style>
  <w:style w:type="character" w:customStyle="1" w:styleId="1428">
    <w:name w:val="正文文本 (13) + 间距 1 pt1"/>
    <w:qFormat/>
    <w:uiPriority w:val="0"/>
    <w:rPr>
      <w:rFonts w:ascii="Arial Unicode MS" w:eastAsia="Arial Unicode MS"/>
      <w:i/>
      <w:iCs/>
      <w:strike/>
      <w:spacing w:val="30"/>
      <w:sz w:val="9"/>
      <w:szCs w:val="9"/>
      <w:shd w:val="clear" w:color="auto" w:fill="FFFFFF"/>
      <w:lang w:eastAsia="en-US"/>
    </w:rPr>
  </w:style>
  <w:style w:type="character" w:customStyle="1" w:styleId="1429">
    <w:name w:val="公正文 Char"/>
    <w:link w:val="1430"/>
    <w:qFormat/>
    <w:uiPriority w:val="0"/>
    <w:rPr>
      <w:rFonts w:ascii="宋体" w:hAnsi="宋体" w:eastAsia="仿宋_GB2312"/>
      <w:sz w:val="28"/>
      <w:szCs w:val="28"/>
    </w:rPr>
  </w:style>
  <w:style w:type="paragraph" w:customStyle="1" w:styleId="1430">
    <w:name w:val="公正文"/>
    <w:basedOn w:val="23"/>
    <w:link w:val="1429"/>
    <w:qFormat/>
    <w:uiPriority w:val="0"/>
    <w:pPr>
      <w:adjustRightInd w:val="0"/>
      <w:snapToGrid w:val="0"/>
      <w:spacing w:after="0" w:line="355" w:lineRule="auto"/>
      <w:ind w:firstLine="200" w:firstLineChars="200"/>
    </w:pPr>
    <w:rPr>
      <w:rFonts w:ascii="宋体" w:hAnsi="宋体" w:eastAsia="仿宋_GB2312"/>
      <w:szCs w:val="28"/>
    </w:rPr>
  </w:style>
  <w:style w:type="character" w:customStyle="1" w:styleId="1431">
    <w:name w:val="正文文本 (13)2"/>
    <w:basedOn w:val="542"/>
    <w:qFormat/>
    <w:uiPriority w:val="0"/>
    <w:rPr>
      <w:rFonts w:ascii="Arial Unicode MS" w:eastAsia="Arial Unicode MS"/>
      <w:spacing w:val="-20"/>
      <w:sz w:val="9"/>
      <w:szCs w:val="9"/>
      <w:shd w:val="clear" w:color="auto" w:fill="FFFFFF"/>
      <w:lang w:eastAsia="en-US"/>
    </w:rPr>
  </w:style>
  <w:style w:type="character" w:customStyle="1" w:styleId="1432">
    <w:name w:val="正文文本 + 4.5 pt2"/>
    <w:qFormat/>
    <w:uiPriority w:val="0"/>
    <w:rPr>
      <w:rFonts w:ascii="Arial Unicode MS" w:eastAsia="Arial Unicode MS" w:cs="Arial Unicode MS"/>
      <w:i/>
      <w:iCs/>
      <w:smallCaps/>
      <w:spacing w:val="-20"/>
      <w:kern w:val="2"/>
      <w:sz w:val="9"/>
      <w:szCs w:val="9"/>
      <w:u w:val="none"/>
      <w:lang w:val="en-US" w:eastAsia="en-US" w:bidi="ar-SA"/>
    </w:rPr>
  </w:style>
  <w:style w:type="character" w:customStyle="1" w:styleId="1433">
    <w:name w:val="正文文本 + 4.5 pt1"/>
    <w:qFormat/>
    <w:uiPriority w:val="0"/>
    <w:rPr>
      <w:rFonts w:ascii="Arial Unicode MS" w:eastAsia="Arial Unicode MS" w:cs="Arial Unicode MS"/>
      <w:i/>
      <w:iCs/>
      <w:spacing w:val="-20"/>
      <w:kern w:val="2"/>
      <w:sz w:val="9"/>
      <w:szCs w:val="9"/>
      <w:u w:val="none"/>
      <w:lang w:val="en-US" w:eastAsia="en-US" w:bidi="ar-SA"/>
    </w:rPr>
  </w:style>
  <w:style w:type="character" w:customStyle="1" w:styleId="1434">
    <w:name w:val="正文文本 (44) + SimSun"/>
    <w:qFormat/>
    <w:uiPriority w:val="0"/>
    <w:rPr>
      <w:rFonts w:ascii="宋体" w:hAnsi="宋体" w:cs="宋体"/>
      <w:b/>
      <w:bCs/>
      <w:spacing w:val="-10"/>
      <w:sz w:val="29"/>
      <w:szCs w:val="29"/>
      <w:shd w:val="clear" w:color="auto" w:fill="FFFFFF"/>
      <w:lang w:eastAsia="en-US"/>
    </w:rPr>
  </w:style>
  <w:style w:type="character" w:customStyle="1" w:styleId="1435">
    <w:name w:val="正文文本 (45) Exact"/>
    <w:link w:val="1436"/>
    <w:qFormat/>
    <w:uiPriority w:val="0"/>
    <w:rPr>
      <w:b/>
      <w:bCs/>
      <w:spacing w:val="-13"/>
      <w:sz w:val="18"/>
      <w:szCs w:val="18"/>
      <w:shd w:val="clear" w:color="auto" w:fill="FFFFFF"/>
      <w:lang w:eastAsia="en-US"/>
    </w:rPr>
  </w:style>
  <w:style w:type="paragraph" w:customStyle="1" w:styleId="1436">
    <w:name w:val="正文文本 (45)"/>
    <w:basedOn w:val="1"/>
    <w:link w:val="1435"/>
    <w:qFormat/>
    <w:uiPriority w:val="0"/>
    <w:pPr>
      <w:shd w:val="clear" w:color="auto" w:fill="FFFFFF"/>
      <w:spacing w:line="240" w:lineRule="atLeast"/>
      <w:jc w:val="left"/>
    </w:pPr>
    <w:rPr>
      <w:rFonts w:asciiTheme="minorHAnsi" w:hAnsiTheme="minorHAnsi" w:eastAsiaTheme="minorEastAsia" w:cstheme="minorBidi"/>
      <w:b/>
      <w:bCs/>
      <w:spacing w:val="-13"/>
      <w:kern w:val="0"/>
      <w:sz w:val="18"/>
      <w:szCs w:val="18"/>
      <w:lang w:eastAsia="en-US"/>
    </w:rPr>
  </w:style>
  <w:style w:type="character" w:customStyle="1" w:styleId="1437">
    <w:name w:val="正文文本 + SimSun6"/>
    <w:qFormat/>
    <w:uiPriority w:val="0"/>
    <w:rPr>
      <w:rFonts w:ascii="宋体" w:hAnsi="宋体" w:eastAsia="Arial Unicode MS" w:cs="宋体"/>
      <w:i/>
      <w:iCs/>
      <w:spacing w:val="10"/>
      <w:kern w:val="2"/>
      <w:sz w:val="18"/>
      <w:szCs w:val="18"/>
      <w:u w:val="none"/>
      <w:lang w:val="en-US" w:eastAsia="zh-CN" w:bidi="ar-SA"/>
    </w:rPr>
  </w:style>
  <w:style w:type="character" w:customStyle="1" w:styleId="1438">
    <w:name w:val="正文文本 + Dotum"/>
    <w:qFormat/>
    <w:uiPriority w:val="0"/>
    <w:rPr>
      <w:rFonts w:ascii="Dotum" w:eastAsia="Dotum" w:cs="Dotum"/>
      <w:kern w:val="2"/>
      <w:sz w:val="13"/>
      <w:szCs w:val="13"/>
      <w:u w:val="none"/>
      <w:lang w:val="en-US" w:eastAsia="zh-CN" w:bidi="ar-SA"/>
    </w:rPr>
  </w:style>
  <w:style w:type="character" w:customStyle="1" w:styleId="1439">
    <w:name w:val="表格标题 (11) Exact"/>
    <w:link w:val="1440"/>
    <w:qFormat/>
    <w:uiPriority w:val="0"/>
    <w:rPr>
      <w:rFonts w:ascii="Arial Unicode MS" w:eastAsia="Arial Unicode MS"/>
      <w:spacing w:val="14"/>
      <w:sz w:val="21"/>
      <w:szCs w:val="21"/>
      <w:shd w:val="clear" w:color="auto" w:fill="FFFFFF"/>
    </w:rPr>
  </w:style>
  <w:style w:type="paragraph" w:customStyle="1" w:styleId="1440">
    <w:name w:val="表格标题 (11)"/>
    <w:basedOn w:val="1"/>
    <w:link w:val="1439"/>
    <w:qFormat/>
    <w:uiPriority w:val="0"/>
    <w:pPr>
      <w:shd w:val="clear" w:color="auto" w:fill="FFFFFF"/>
      <w:spacing w:line="240" w:lineRule="atLeast"/>
      <w:jc w:val="left"/>
    </w:pPr>
    <w:rPr>
      <w:rFonts w:ascii="Arial Unicode MS" w:eastAsia="Arial Unicode MS" w:hAnsiTheme="minorHAnsi" w:cstheme="minorBidi"/>
      <w:spacing w:val="14"/>
      <w:kern w:val="0"/>
      <w:szCs w:val="21"/>
    </w:rPr>
  </w:style>
  <w:style w:type="character" w:customStyle="1" w:styleId="1441">
    <w:name w:val="表格标题 (2) + 4.5 pt"/>
    <w:qFormat/>
    <w:uiPriority w:val="0"/>
    <w:rPr>
      <w:rFonts w:ascii="Arial Unicode MS" w:eastAsia="Arial Unicode MS" w:cs="Arial Unicode MS"/>
      <w:i/>
      <w:iCs/>
      <w:spacing w:val="-3"/>
      <w:sz w:val="9"/>
      <w:szCs w:val="9"/>
      <w:u w:val="none"/>
      <w:shd w:val="clear" w:color="auto" w:fill="FFFFFF"/>
      <w:lang w:eastAsia="en-US"/>
    </w:rPr>
  </w:style>
  <w:style w:type="character" w:customStyle="1" w:styleId="1442">
    <w:name w:val="正文文本 (13) + 10 pt1"/>
    <w:qFormat/>
    <w:uiPriority w:val="0"/>
    <w:rPr>
      <w:rFonts w:ascii="Arial Unicode MS" w:eastAsia="Arial Unicode MS"/>
      <w:i/>
      <w:iCs/>
      <w:spacing w:val="3"/>
      <w:sz w:val="20"/>
      <w:szCs w:val="20"/>
      <w:shd w:val="clear" w:color="auto" w:fill="FFFFFF"/>
      <w:lang w:eastAsia="en-US"/>
    </w:rPr>
  </w:style>
  <w:style w:type="character" w:customStyle="1" w:styleId="1443">
    <w:name w:val="正文文本 + 间距 1 pt1"/>
    <w:qFormat/>
    <w:uiPriority w:val="0"/>
    <w:rPr>
      <w:rFonts w:ascii="Arial Unicode MS" w:eastAsia="Arial Unicode MS" w:cs="Arial Unicode MS"/>
      <w:spacing w:val="30"/>
      <w:kern w:val="2"/>
      <w:sz w:val="22"/>
      <w:szCs w:val="22"/>
      <w:u w:val="none"/>
      <w:lang w:val="en-US" w:eastAsia="zh-CN" w:bidi="ar-SA"/>
    </w:rPr>
  </w:style>
  <w:style w:type="character" w:customStyle="1" w:styleId="1444">
    <w:name w:val="表格标题 (2)3"/>
    <w:qFormat/>
    <w:uiPriority w:val="0"/>
    <w:rPr>
      <w:rFonts w:ascii="Arial Unicode MS" w:eastAsia="Arial Unicode MS" w:cs="Arial Unicode MS"/>
      <w:sz w:val="21"/>
      <w:szCs w:val="21"/>
      <w:u w:val="none"/>
      <w:shd w:val="clear" w:color="auto" w:fill="FFFFFF"/>
      <w:lang w:eastAsia="en-US"/>
    </w:rPr>
  </w:style>
  <w:style w:type="character" w:customStyle="1" w:styleId="1445">
    <w:name w:val="表格标题 (2) + 11 pt1"/>
    <w:qFormat/>
    <w:uiPriority w:val="0"/>
    <w:rPr>
      <w:rFonts w:ascii="Arial Unicode MS" w:eastAsia="Arial Unicode MS" w:cs="Arial Unicode MS"/>
      <w:sz w:val="22"/>
      <w:szCs w:val="22"/>
      <w:u w:val="none"/>
      <w:shd w:val="clear" w:color="auto" w:fill="FFFFFF"/>
      <w:lang w:eastAsia="en-US"/>
    </w:rPr>
  </w:style>
  <w:style w:type="character" w:customStyle="1" w:styleId="1446">
    <w:name w:val="正文文本 + SimSun5"/>
    <w:qFormat/>
    <w:uiPriority w:val="0"/>
    <w:rPr>
      <w:rFonts w:ascii="宋体" w:hAnsi="宋体" w:eastAsia="Arial Unicode MS" w:cs="宋体"/>
      <w:spacing w:val="20"/>
      <w:kern w:val="2"/>
      <w:sz w:val="29"/>
      <w:szCs w:val="29"/>
      <w:u w:val="none"/>
      <w:lang w:val="en-US" w:eastAsia="zh-CN" w:bidi="ar-SA"/>
    </w:rPr>
  </w:style>
  <w:style w:type="character" w:customStyle="1" w:styleId="1447">
    <w:name w:val="正文文本 (6) + 间距 1 pt"/>
    <w:qFormat/>
    <w:uiPriority w:val="0"/>
    <w:rPr>
      <w:rFonts w:ascii="宋体" w:hAnsi="宋体" w:cs="宋体"/>
      <w:spacing w:val="20"/>
      <w:sz w:val="29"/>
      <w:szCs w:val="29"/>
      <w:u w:val="none"/>
      <w:shd w:val="clear" w:color="auto" w:fill="FFFFFF"/>
    </w:rPr>
  </w:style>
  <w:style w:type="character" w:customStyle="1" w:styleId="1448">
    <w:name w:val="正文文本 (44) + SimSun2"/>
    <w:qFormat/>
    <w:uiPriority w:val="0"/>
    <w:rPr>
      <w:rFonts w:ascii="宋体" w:hAnsi="宋体" w:cs="宋体"/>
      <w:b/>
      <w:bCs/>
      <w:spacing w:val="20"/>
      <w:sz w:val="29"/>
      <w:szCs w:val="29"/>
      <w:shd w:val="clear" w:color="auto" w:fill="FFFFFF"/>
      <w:lang w:eastAsia="en-US"/>
    </w:rPr>
  </w:style>
  <w:style w:type="character" w:customStyle="1" w:styleId="1449">
    <w:name w:val="标题 #4 (3) + 间距 1 pt"/>
    <w:qFormat/>
    <w:uiPriority w:val="0"/>
    <w:rPr>
      <w:rFonts w:ascii="宋体" w:hAnsi="宋体" w:cs="宋体"/>
      <w:spacing w:val="20"/>
      <w:sz w:val="29"/>
      <w:szCs w:val="29"/>
      <w:u w:val="none"/>
      <w:shd w:val="clear" w:color="auto" w:fill="FFFFFF"/>
    </w:rPr>
  </w:style>
  <w:style w:type="character" w:customStyle="1" w:styleId="1450">
    <w:name w:val="正文文本 (46) Exact"/>
    <w:qFormat/>
    <w:uiPriority w:val="0"/>
    <w:rPr>
      <w:rFonts w:ascii="宋体" w:hAnsi="宋体" w:cs="宋体"/>
      <w:spacing w:val="11"/>
      <w:sz w:val="9"/>
      <w:szCs w:val="9"/>
      <w:u w:val="none"/>
    </w:rPr>
  </w:style>
  <w:style w:type="character" w:customStyle="1" w:styleId="1451">
    <w:name w:val="正文文本 (46) + Arial Unicode MS"/>
    <w:qFormat/>
    <w:uiPriority w:val="0"/>
    <w:rPr>
      <w:rFonts w:ascii="Arial Unicode MS" w:hAnsi="宋体" w:eastAsia="Arial Unicode MS" w:cs="Arial Unicode MS"/>
      <w:color w:val="000000"/>
      <w:spacing w:val="8"/>
      <w:w w:val="100"/>
      <w:position w:val="0"/>
      <w:sz w:val="8"/>
      <w:szCs w:val="8"/>
      <w:shd w:val="clear" w:color="auto" w:fill="FFFFFF"/>
      <w:lang w:val="en-US" w:eastAsia="en-US"/>
    </w:rPr>
  </w:style>
  <w:style w:type="character" w:customStyle="1" w:styleId="1452">
    <w:name w:val="正文文本 (46)_"/>
    <w:link w:val="1453"/>
    <w:qFormat/>
    <w:uiPriority w:val="0"/>
    <w:rPr>
      <w:rFonts w:ascii="宋体" w:hAnsi="宋体"/>
      <w:spacing w:val="10"/>
      <w:sz w:val="9"/>
      <w:szCs w:val="9"/>
      <w:shd w:val="clear" w:color="auto" w:fill="FFFFFF"/>
    </w:rPr>
  </w:style>
  <w:style w:type="paragraph" w:customStyle="1" w:styleId="1453">
    <w:name w:val="正文文本 (46)"/>
    <w:basedOn w:val="1"/>
    <w:link w:val="1452"/>
    <w:qFormat/>
    <w:uiPriority w:val="0"/>
    <w:pPr>
      <w:shd w:val="clear" w:color="auto" w:fill="FFFFFF"/>
      <w:spacing w:line="427" w:lineRule="exact"/>
      <w:jc w:val="right"/>
    </w:pPr>
    <w:rPr>
      <w:rFonts w:ascii="宋体" w:hAnsi="宋体" w:eastAsiaTheme="minorEastAsia" w:cstheme="minorBidi"/>
      <w:spacing w:val="10"/>
      <w:kern w:val="0"/>
      <w:sz w:val="9"/>
      <w:szCs w:val="9"/>
    </w:rPr>
  </w:style>
  <w:style w:type="character" w:customStyle="1" w:styleId="1454">
    <w:name w:val="正文文本 (3) + 间距 0 pt Exact1"/>
    <w:qFormat/>
    <w:uiPriority w:val="0"/>
    <w:rPr>
      <w:rFonts w:ascii="Arial Unicode MS" w:eastAsia="Arial Unicode MS"/>
      <w:b/>
      <w:bCs/>
      <w:spacing w:val="2"/>
      <w:sz w:val="15"/>
      <w:szCs w:val="15"/>
      <w:shd w:val="clear" w:color="auto" w:fill="FFFFFF"/>
      <w:lang w:val="en-US" w:eastAsia="zh-CN"/>
    </w:rPr>
  </w:style>
  <w:style w:type="character" w:customStyle="1" w:styleId="1455">
    <w:name w:val="正文文本 (47) Exact2"/>
    <w:basedOn w:val="1406"/>
    <w:qFormat/>
    <w:uiPriority w:val="0"/>
    <w:rPr>
      <w:sz w:val="21"/>
      <w:szCs w:val="21"/>
      <w:shd w:val="clear" w:color="auto" w:fill="FFFFFF"/>
      <w:lang w:eastAsia="en-US"/>
    </w:rPr>
  </w:style>
  <w:style w:type="character" w:customStyle="1" w:styleId="1456">
    <w:name w:val="正文文本 (46) + Arial Unicode MS1"/>
    <w:qFormat/>
    <w:uiPriority w:val="0"/>
    <w:rPr>
      <w:rFonts w:ascii="Arial Unicode MS" w:hAnsi="宋体" w:eastAsia="Arial Unicode MS" w:cs="Arial Unicode MS"/>
      <w:spacing w:val="0"/>
      <w:sz w:val="8"/>
      <w:szCs w:val="8"/>
      <w:shd w:val="clear" w:color="auto" w:fill="FFFFFF"/>
      <w:lang w:val="en-US" w:eastAsia="en-US"/>
    </w:rPr>
  </w:style>
  <w:style w:type="character" w:customStyle="1" w:styleId="1457">
    <w:name w:val="正文文本 (49) Exact"/>
    <w:link w:val="1458"/>
    <w:qFormat/>
    <w:uiPriority w:val="0"/>
    <w:rPr>
      <w:rFonts w:ascii="Arial Unicode MS" w:eastAsia="Arial Unicode MS"/>
      <w:spacing w:val="8"/>
      <w:sz w:val="8"/>
      <w:szCs w:val="8"/>
      <w:shd w:val="clear" w:color="auto" w:fill="FFFFFF"/>
      <w:lang w:eastAsia="en-US"/>
    </w:rPr>
  </w:style>
  <w:style w:type="paragraph" w:customStyle="1" w:styleId="1458">
    <w:name w:val="正文文本 (49)"/>
    <w:basedOn w:val="1"/>
    <w:link w:val="1457"/>
    <w:qFormat/>
    <w:uiPriority w:val="0"/>
    <w:pPr>
      <w:shd w:val="clear" w:color="auto" w:fill="FFFFFF"/>
      <w:spacing w:line="125" w:lineRule="exact"/>
    </w:pPr>
    <w:rPr>
      <w:rFonts w:ascii="Arial Unicode MS" w:eastAsia="Arial Unicode MS" w:hAnsiTheme="minorHAnsi" w:cstheme="minorBidi"/>
      <w:spacing w:val="8"/>
      <w:kern w:val="0"/>
      <w:sz w:val="8"/>
      <w:szCs w:val="8"/>
      <w:lang w:eastAsia="en-US"/>
    </w:rPr>
  </w:style>
  <w:style w:type="character" w:customStyle="1" w:styleId="1459">
    <w:name w:val="正文文本 (49) + SimSun"/>
    <w:qFormat/>
    <w:uiPriority w:val="0"/>
    <w:rPr>
      <w:rFonts w:ascii="宋体" w:hAnsi="宋体" w:eastAsia="Arial Unicode MS" w:cs="宋体"/>
      <w:spacing w:val="11"/>
      <w:sz w:val="9"/>
      <w:szCs w:val="9"/>
      <w:shd w:val="clear" w:color="auto" w:fill="FFFFFF"/>
      <w:lang w:eastAsia="en-US"/>
    </w:rPr>
  </w:style>
  <w:style w:type="character" w:customStyle="1" w:styleId="1460">
    <w:name w:val="正文文本 + SimSun4"/>
    <w:qFormat/>
    <w:uiPriority w:val="0"/>
    <w:rPr>
      <w:rFonts w:ascii="宋体" w:hAnsi="宋体" w:eastAsia="Arial Unicode MS" w:cs="宋体"/>
      <w:spacing w:val="-10"/>
      <w:kern w:val="2"/>
      <w:sz w:val="29"/>
      <w:szCs w:val="29"/>
      <w:u w:val="none"/>
      <w:lang w:val="en-US" w:eastAsia="zh-CN" w:bidi="ar-SA"/>
    </w:rPr>
  </w:style>
  <w:style w:type="character" w:customStyle="1" w:styleId="1461">
    <w:name w:val="正文文本 (7) + 11 pt2"/>
    <w:qFormat/>
    <w:uiPriority w:val="0"/>
    <w:rPr>
      <w:rFonts w:ascii="Arial Unicode MS" w:eastAsia="Arial Unicode MS" w:cs="Arial Unicode MS"/>
      <w:spacing w:val="30"/>
      <w:sz w:val="22"/>
      <w:szCs w:val="22"/>
      <w:u w:val="none"/>
      <w:shd w:val="clear" w:color="auto" w:fill="FFFFFF"/>
      <w:lang w:eastAsia="en-US"/>
    </w:rPr>
  </w:style>
  <w:style w:type="character" w:customStyle="1" w:styleId="1462">
    <w:name w:val="正文文本 + 间距 3 pt1"/>
    <w:qFormat/>
    <w:uiPriority w:val="0"/>
    <w:rPr>
      <w:rFonts w:ascii="Arial Unicode MS" w:eastAsia="Arial Unicode MS" w:cs="Arial Unicode MS"/>
      <w:spacing w:val="60"/>
      <w:kern w:val="2"/>
      <w:sz w:val="22"/>
      <w:szCs w:val="22"/>
      <w:u w:val="none"/>
      <w:lang w:val="en-US" w:eastAsia="zh-CN" w:bidi="ar-SA"/>
    </w:rPr>
  </w:style>
  <w:style w:type="character" w:customStyle="1" w:styleId="1463">
    <w:name w:val="正文文本 + 10.5 pt8"/>
    <w:qFormat/>
    <w:uiPriority w:val="0"/>
    <w:rPr>
      <w:rFonts w:ascii="Arial Unicode MS" w:eastAsia="Arial Unicode MS" w:cs="Arial Unicode MS"/>
      <w:spacing w:val="30"/>
      <w:kern w:val="2"/>
      <w:sz w:val="21"/>
      <w:szCs w:val="21"/>
      <w:u w:val="none"/>
      <w:lang w:val="en-US" w:eastAsia="en-US" w:bidi="ar-SA"/>
    </w:rPr>
  </w:style>
  <w:style w:type="character" w:customStyle="1" w:styleId="1464">
    <w:name w:val="正文文本 + 10.5 pt7"/>
    <w:qFormat/>
    <w:uiPriority w:val="0"/>
    <w:rPr>
      <w:rFonts w:ascii="Arial Unicode MS" w:eastAsia="Arial Unicode MS" w:cs="Arial Unicode MS"/>
      <w:spacing w:val="30"/>
      <w:kern w:val="2"/>
      <w:sz w:val="21"/>
      <w:szCs w:val="21"/>
      <w:u w:val="none"/>
      <w:lang w:val="en-US" w:eastAsia="zh-CN" w:bidi="ar-SA"/>
    </w:rPr>
  </w:style>
  <w:style w:type="character" w:customStyle="1" w:styleId="1465">
    <w:name w:val="页眉或页脚 + 间距 -1 pt"/>
    <w:qFormat/>
    <w:uiPriority w:val="0"/>
    <w:rPr>
      <w:rFonts w:ascii="宋体" w:hAnsi="宋体"/>
      <w:spacing w:val="-20"/>
      <w:sz w:val="18"/>
      <w:szCs w:val="18"/>
      <w:shd w:val="clear" w:color="auto" w:fill="FFFFFF"/>
    </w:rPr>
  </w:style>
  <w:style w:type="character" w:customStyle="1" w:styleId="1466">
    <w:name w:val="正文文本 + SimSun3"/>
    <w:qFormat/>
    <w:uiPriority w:val="0"/>
    <w:rPr>
      <w:rFonts w:ascii="宋体" w:hAnsi="宋体" w:eastAsia="Arial Unicode MS" w:cs="宋体"/>
      <w:kern w:val="2"/>
      <w:sz w:val="20"/>
      <w:szCs w:val="20"/>
      <w:u w:val="none"/>
      <w:lang w:val="en-US" w:eastAsia="zh-CN" w:bidi="ar-SA"/>
    </w:rPr>
  </w:style>
  <w:style w:type="character" w:customStyle="1" w:styleId="1467">
    <w:name w:val="正文文本 + 9.5 pt2"/>
    <w:qFormat/>
    <w:uiPriority w:val="0"/>
    <w:rPr>
      <w:rFonts w:ascii="Arial Unicode MS" w:eastAsia="Arial Unicode MS" w:cs="Arial Unicode MS"/>
      <w:b/>
      <w:bCs/>
      <w:kern w:val="2"/>
      <w:sz w:val="19"/>
      <w:szCs w:val="19"/>
      <w:u w:val="none"/>
      <w:lang w:val="en-US" w:eastAsia="en-US" w:bidi="ar-SA"/>
    </w:rPr>
  </w:style>
  <w:style w:type="character" w:customStyle="1" w:styleId="1468">
    <w:name w:val="正文文本 + 10.5 pt6"/>
    <w:qFormat/>
    <w:uiPriority w:val="0"/>
    <w:rPr>
      <w:rFonts w:ascii="Arial Unicode MS" w:eastAsia="Arial Unicode MS" w:cs="Arial Unicode MS"/>
      <w:kern w:val="2"/>
      <w:sz w:val="21"/>
      <w:szCs w:val="21"/>
      <w:u w:val="none"/>
      <w:lang w:val="en-US" w:eastAsia="en-US" w:bidi="ar-SA"/>
    </w:rPr>
  </w:style>
  <w:style w:type="character" w:customStyle="1" w:styleId="1469">
    <w:name w:val="表格标题 (9) + Times New Roman1"/>
    <w:qFormat/>
    <w:uiPriority w:val="0"/>
    <w:rPr>
      <w:rFonts w:ascii="Times New Roman" w:hAnsi="Times New Roman" w:cs="Times New Roman"/>
      <w:b/>
      <w:bCs/>
      <w:spacing w:val="0"/>
      <w:sz w:val="27"/>
      <w:szCs w:val="27"/>
      <w:shd w:val="clear" w:color="auto" w:fill="FFFFFF"/>
      <w:lang w:val="en-US" w:eastAsia="en-US"/>
    </w:rPr>
  </w:style>
  <w:style w:type="character" w:customStyle="1" w:styleId="1470">
    <w:name w:val="正文文本 (44) + SimSun1"/>
    <w:qFormat/>
    <w:uiPriority w:val="0"/>
    <w:rPr>
      <w:rFonts w:ascii="宋体" w:hAnsi="宋体" w:cs="宋体"/>
      <w:b/>
      <w:bCs/>
      <w:spacing w:val="-10"/>
      <w:sz w:val="29"/>
      <w:szCs w:val="29"/>
      <w:shd w:val="clear" w:color="auto" w:fill="FFFFFF"/>
      <w:lang w:eastAsia="en-US"/>
    </w:rPr>
  </w:style>
  <w:style w:type="character" w:customStyle="1" w:styleId="1471">
    <w:name w:val="正文文本 (7)3"/>
    <w:qFormat/>
    <w:uiPriority w:val="0"/>
    <w:rPr>
      <w:rFonts w:ascii="Arial Unicode MS" w:eastAsia="Arial Unicode MS" w:cs="Arial Unicode MS"/>
      <w:sz w:val="21"/>
      <w:szCs w:val="21"/>
      <w:u w:val="none"/>
      <w:shd w:val="clear" w:color="auto" w:fill="FFFFFF"/>
      <w:lang w:eastAsia="en-US"/>
    </w:rPr>
  </w:style>
  <w:style w:type="character" w:customStyle="1" w:styleId="1472">
    <w:name w:val="正文文本 + Times New Roman3"/>
    <w:qFormat/>
    <w:uiPriority w:val="0"/>
    <w:rPr>
      <w:rFonts w:ascii="Times New Roman" w:hAnsi="Times New Roman" w:eastAsia="Arial Unicode MS" w:cs="Times New Roman"/>
      <w:spacing w:val="-10"/>
      <w:kern w:val="2"/>
      <w:sz w:val="20"/>
      <w:szCs w:val="20"/>
      <w:u w:val="none"/>
      <w:lang w:val="en-US" w:eastAsia="en-US" w:bidi="ar-SA"/>
    </w:rPr>
  </w:style>
  <w:style w:type="character" w:customStyle="1" w:styleId="1473">
    <w:name w:val="正文文本 (7) + Times New Roman1"/>
    <w:qFormat/>
    <w:uiPriority w:val="0"/>
    <w:rPr>
      <w:rFonts w:ascii="Times New Roman" w:hAnsi="Times New Roman" w:eastAsia="Arial Unicode MS" w:cs="Times New Roman"/>
      <w:spacing w:val="-10"/>
      <w:sz w:val="20"/>
      <w:szCs w:val="20"/>
      <w:u w:val="none"/>
      <w:shd w:val="clear" w:color="auto" w:fill="FFFFFF"/>
      <w:lang w:eastAsia="en-US"/>
    </w:rPr>
  </w:style>
  <w:style w:type="character" w:customStyle="1" w:styleId="1474">
    <w:name w:val="正文文本 (6) + Times New Roman1"/>
    <w:qFormat/>
    <w:uiPriority w:val="0"/>
    <w:rPr>
      <w:rFonts w:ascii="Times New Roman" w:hAnsi="Times New Roman" w:cs="Times New Roman"/>
      <w:b/>
      <w:bCs/>
      <w:sz w:val="27"/>
      <w:szCs w:val="27"/>
      <w:u w:val="none"/>
      <w:shd w:val="clear" w:color="auto" w:fill="FFFFFF"/>
      <w:lang w:val="en-US" w:eastAsia="en-US"/>
    </w:rPr>
  </w:style>
  <w:style w:type="character" w:customStyle="1" w:styleId="1475">
    <w:name w:val="正文文本 + 10.5 pt5"/>
    <w:qFormat/>
    <w:uiPriority w:val="0"/>
    <w:rPr>
      <w:rFonts w:ascii="Arial Unicode MS" w:eastAsia="Arial Unicode MS" w:cs="Arial Unicode MS"/>
      <w:spacing w:val="-40"/>
      <w:kern w:val="2"/>
      <w:sz w:val="21"/>
      <w:szCs w:val="21"/>
      <w:u w:val="none"/>
      <w:lang w:val="en-US" w:eastAsia="en-US" w:bidi="ar-SA"/>
    </w:rPr>
  </w:style>
  <w:style w:type="character" w:customStyle="1" w:styleId="1476">
    <w:name w:val="正文文本 + 10.5 pt4"/>
    <w:qFormat/>
    <w:uiPriority w:val="0"/>
    <w:rPr>
      <w:rFonts w:ascii="Arial Unicode MS" w:eastAsia="Arial Unicode MS" w:cs="Arial Unicode MS"/>
      <w:kern w:val="2"/>
      <w:sz w:val="21"/>
      <w:szCs w:val="21"/>
      <w:u w:val="none"/>
      <w:lang w:val="en-US" w:eastAsia="en-US" w:bidi="ar-SA"/>
    </w:rPr>
  </w:style>
  <w:style w:type="character" w:customStyle="1" w:styleId="1477">
    <w:name w:val="图片标题 (2) + 10.5 pt1"/>
    <w:qFormat/>
    <w:uiPriority w:val="0"/>
    <w:rPr>
      <w:rFonts w:ascii="Arial Unicode MS" w:eastAsia="Arial Unicode MS"/>
      <w:sz w:val="21"/>
      <w:szCs w:val="21"/>
      <w:shd w:val="clear" w:color="auto" w:fill="FFFFFF"/>
      <w:lang w:val="en-US" w:eastAsia="zh-CN"/>
    </w:rPr>
  </w:style>
  <w:style w:type="character" w:customStyle="1" w:styleId="1478">
    <w:name w:val="正文文本 (6) + Arial Unicode MS1"/>
    <w:qFormat/>
    <w:uiPriority w:val="0"/>
    <w:rPr>
      <w:rFonts w:ascii="Arial Unicode MS" w:hAnsi="宋体" w:eastAsia="Arial Unicode MS" w:cs="Arial Unicode MS"/>
      <w:sz w:val="21"/>
      <w:szCs w:val="21"/>
      <w:u w:val="none"/>
      <w:shd w:val="clear" w:color="auto" w:fill="FFFFFF"/>
      <w:lang w:val="en-US" w:eastAsia="en-US"/>
    </w:rPr>
  </w:style>
  <w:style w:type="character" w:customStyle="1" w:styleId="1479">
    <w:name w:val="正文文本 + Times New Roman2"/>
    <w:qFormat/>
    <w:uiPriority w:val="0"/>
    <w:rPr>
      <w:rFonts w:ascii="Times New Roman" w:hAnsi="Times New Roman" w:eastAsia="Arial Unicode MS" w:cs="Times New Roman"/>
      <w:kern w:val="2"/>
      <w:sz w:val="15"/>
      <w:szCs w:val="15"/>
      <w:u w:val="none"/>
      <w:lang w:val="en-US" w:eastAsia="zh-CN" w:bidi="ar-SA"/>
    </w:rPr>
  </w:style>
  <w:style w:type="character" w:customStyle="1" w:styleId="1480">
    <w:name w:val="正文文本 + 10 pt1"/>
    <w:qFormat/>
    <w:uiPriority w:val="0"/>
    <w:rPr>
      <w:rFonts w:ascii="Arial Unicode MS" w:eastAsia="Arial Unicode MS" w:cs="Arial Unicode MS"/>
      <w:kern w:val="2"/>
      <w:sz w:val="20"/>
      <w:szCs w:val="20"/>
      <w:u w:val="none"/>
      <w:lang w:val="en-US" w:eastAsia="en-US" w:bidi="ar-SA"/>
    </w:rPr>
  </w:style>
  <w:style w:type="character" w:customStyle="1" w:styleId="1481">
    <w:name w:val="正文文本 + 4 pt1"/>
    <w:qFormat/>
    <w:uiPriority w:val="0"/>
    <w:rPr>
      <w:rFonts w:ascii="Arial Unicode MS" w:eastAsia="Arial Unicode MS" w:cs="Arial Unicode MS"/>
      <w:kern w:val="2"/>
      <w:sz w:val="8"/>
      <w:szCs w:val="8"/>
      <w:u w:val="none"/>
      <w:lang w:val="en-US" w:eastAsia="zh-CN" w:bidi="ar-SA"/>
    </w:rPr>
  </w:style>
  <w:style w:type="character" w:customStyle="1" w:styleId="1482">
    <w:name w:val="表格标题 (8) + 间距 0 pt Exact"/>
    <w:qFormat/>
    <w:uiPriority w:val="0"/>
    <w:rPr>
      <w:rFonts w:ascii="宋体" w:hAnsi="宋体"/>
      <w:spacing w:val="1"/>
      <w:sz w:val="18"/>
      <w:szCs w:val="18"/>
      <w:shd w:val="clear" w:color="auto" w:fill="FFFFFF"/>
    </w:rPr>
  </w:style>
  <w:style w:type="character" w:customStyle="1" w:styleId="1483">
    <w:name w:val="表格标题 Exact"/>
    <w:qFormat/>
    <w:uiPriority w:val="0"/>
    <w:rPr>
      <w:rFonts w:ascii="Arial Unicode MS" w:eastAsia="Arial Unicode MS" w:cs="Arial Unicode MS"/>
      <w:spacing w:val="2"/>
      <w:sz w:val="21"/>
      <w:szCs w:val="21"/>
      <w:u w:val="none"/>
    </w:rPr>
  </w:style>
  <w:style w:type="character" w:customStyle="1" w:styleId="1484">
    <w:name w:val="表格标题 + 10 pt"/>
    <w:qFormat/>
    <w:uiPriority w:val="0"/>
    <w:rPr>
      <w:rFonts w:ascii="Arial Unicode MS" w:eastAsia="Arial Unicode MS" w:cs="Arial Unicode MS"/>
      <w:spacing w:val="1"/>
      <w:sz w:val="20"/>
      <w:szCs w:val="20"/>
      <w:u w:val="none"/>
      <w:lang w:val="en-US" w:eastAsia="en-US"/>
    </w:rPr>
  </w:style>
  <w:style w:type="character" w:customStyle="1" w:styleId="1485">
    <w:name w:val="正文文本 + 10.5 pt3"/>
    <w:qFormat/>
    <w:uiPriority w:val="0"/>
    <w:rPr>
      <w:rFonts w:ascii="Arial Unicode MS" w:eastAsia="Arial Unicode MS" w:cs="Arial Unicode MS"/>
      <w:spacing w:val="-40"/>
      <w:kern w:val="2"/>
      <w:sz w:val="21"/>
      <w:szCs w:val="21"/>
      <w:u w:val="none"/>
      <w:lang w:val="en-US" w:eastAsia="en-US" w:bidi="ar-SA"/>
    </w:rPr>
  </w:style>
  <w:style w:type="character" w:customStyle="1" w:styleId="1486">
    <w:name w:val="表格标题 + 10.5 pt1"/>
    <w:qFormat/>
    <w:uiPriority w:val="0"/>
    <w:rPr>
      <w:rFonts w:ascii="Arial Unicode MS" w:eastAsia="Arial Unicode MS" w:cs="Arial Unicode MS"/>
      <w:sz w:val="21"/>
      <w:szCs w:val="21"/>
      <w:u w:val="none"/>
      <w:lang w:val="en-US" w:eastAsia="en-US"/>
    </w:rPr>
  </w:style>
  <w:style w:type="character" w:customStyle="1" w:styleId="1487">
    <w:name w:val="正文文本 + 5.5 pt1"/>
    <w:qFormat/>
    <w:uiPriority w:val="0"/>
    <w:rPr>
      <w:rFonts w:ascii="Arial Unicode MS" w:eastAsia="Arial Unicode MS" w:cs="Arial Unicode MS"/>
      <w:spacing w:val="10"/>
      <w:kern w:val="2"/>
      <w:sz w:val="11"/>
      <w:szCs w:val="11"/>
      <w:u w:val="none"/>
      <w:lang w:val="en-US" w:eastAsia="zh-CN" w:bidi="ar-SA"/>
    </w:rPr>
  </w:style>
  <w:style w:type="character" w:customStyle="1" w:styleId="1488">
    <w:name w:val="正文文本 + 9.5 pt1"/>
    <w:qFormat/>
    <w:uiPriority w:val="0"/>
    <w:rPr>
      <w:rFonts w:ascii="Arial Unicode MS" w:eastAsia="Arial Unicode MS" w:cs="Arial Unicode MS"/>
      <w:b/>
      <w:bCs/>
      <w:spacing w:val="-30"/>
      <w:kern w:val="2"/>
      <w:sz w:val="19"/>
      <w:szCs w:val="19"/>
      <w:u w:val="none"/>
      <w:lang w:val="en-US" w:eastAsia="en-US" w:bidi="ar-SA"/>
    </w:rPr>
  </w:style>
  <w:style w:type="character" w:customStyle="1" w:styleId="1489">
    <w:name w:val="表格标题 (8)"/>
    <w:basedOn w:val="1377"/>
    <w:qFormat/>
    <w:uiPriority w:val="0"/>
    <w:rPr>
      <w:rFonts w:ascii="宋体" w:hAnsi="宋体"/>
      <w:shd w:val="clear" w:color="auto" w:fill="FFFFFF"/>
    </w:rPr>
  </w:style>
  <w:style w:type="character" w:customStyle="1" w:styleId="1490">
    <w:name w:val="表格标题 (8) + Arial Unicode MS1"/>
    <w:qFormat/>
    <w:uiPriority w:val="0"/>
    <w:rPr>
      <w:rFonts w:ascii="Arial Unicode MS" w:hAnsi="宋体" w:eastAsia="Arial Unicode MS" w:cs="Arial Unicode MS"/>
      <w:spacing w:val="10"/>
      <w:sz w:val="11"/>
      <w:szCs w:val="11"/>
      <w:shd w:val="clear" w:color="auto" w:fill="FFFFFF"/>
      <w:lang w:val="en-US" w:eastAsia="zh-CN"/>
    </w:rPr>
  </w:style>
  <w:style w:type="character" w:customStyle="1" w:styleId="1491">
    <w:name w:val="表格标题 (2)2"/>
    <w:qFormat/>
    <w:uiPriority w:val="0"/>
    <w:rPr>
      <w:rFonts w:ascii="Arial Unicode MS" w:eastAsia="Arial Unicode MS" w:cs="Arial Unicode MS"/>
      <w:sz w:val="21"/>
      <w:szCs w:val="21"/>
      <w:u w:val="none"/>
      <w:shd w:val="clear" w:color="auto" w:fill="FFFFFF"/>
      <w:lang w:eastAsia="en-US"/>
    </w:rPr>
  </w:style>
  <w:style w:type="character" w:customStyle="1" w:styleId="1492">
    <w:name w:val="正文文本 + Times New Roman1"/>
    <w:qFormat/>
    <w:uiPriority w:val="0"/>
    <w:rPr>
      <w:rFonts w:ascii="Times New Roman" w:hAnsi="Times New Roman" w:eastAsia="Arial Unicode MS" w:cs="Times New Roman"/>
      <w:b/>
      <w:bCs/>
      <w:kern w:val="2"/>
      <w:sz w:val="27"/>
      <w:szCs w:val="27"/>
      <w:u w:val="none"/>
      <w:lang w:val="en-US" w:eastAsia="en-US" w:bidi="ar-SA"/>
    </w:rPr>
  </w:style>
  <w:style w:type="character" w:customStyle="1" w:styleId="1493">
    <w:name w:val="表格标题 + Times New Roman"/>
    <w:qFormat/>
    <w:uiPriority w:val="0"/>
    <w:rPr>
      <w:rFonts w:ascii="Times New Roman" w:hAnsi="Times New Roman" w:eastAsia="Arial Unicode MS" w:cs="Times New Roman"/>
      <w:spacing w:val="-10"/>
      <w:sz w:val="20"/>
      <w:szCs w:val="20"/>
      <w:u w:val="none"/>
      <w:lang w:val="en-US" w:eastAsia="zh-CN"/>
    </w:rPr>
  </w:style>
  <w:style w:type="character" w:customStyle="1" w:styleId="1494">
    <w:name w:val="标题 #3 (7)_"/>
    <w:link w:val="1495"/>
    <w:qFormat/>
    <w:uiPriority w:val="0"/>
    <w:rPr>
      <w:rFonts w:ascii="宋体" w:hAnsi="宋体"/>
      <w:spacing w:val="-10"/>
      <w:sz w:val="33"/>
      <w:szCs w:val="33"/>
      <w:shd w:val="clear" w:color="auto" w:fill="FFFFFF"/>
    </w:rPr>
  </w:style>
  <w:style w:type="paragraph" w:customStyle="1" w:styleId="1495">
    <w:name w:val="标题 #3 (7)"/>
    <w:basedOn w:val="1"/>
    <w:link w:val="1494"/>
    <w:qFormat/>
    <w:uiPriority w:val="0"/>
    <w:pPr>
      <w:shd w:val="clear" w:color="auto" w:fill="FFFFFF"/>
      <w:spacing w:line="624" w:lineRule="exact"/>
      <w:jc w:val="left"/>
      <w:outlineLvl w:val="2"/>
    </w:pPr>
    <w:rPr>
      <w:rFonts w:ascii="宋体" w:hAnsi="宋体" w:eastAsiaTheme="minorEastAsia" w:cstheme="minorBidi"/>
      <w:spacing w:val="-10"/>
      <w:kern w:val="0"/>
      <w:sz w:val="33"/>
      <w:szCs w:val="33"/>
    </w:rPr>
  </w:style>
  <w:style w:type="character" w:customStyle="1" w:styleId="1496">
    <w:name w:val="标题 #3 (7) + Times New Roman"/>
    <w:qFormat/>
    <w:uiPriority w:val="0"/>
    <w:rPr>
      <w:rFonts w:ascii="Times New Roman" w:hAnsi="Times New Roman" w:cs="Times New Roman"/>
      <w:b/>
      <w:bCs/>
      <w:spacing w:val="0"/>
      <w:sz w:val="32"/>
      <w:szCs w:val="32"/>
      <w:shd w:val="clear" w:color="auto" w:fill="FFFFFF"/>
    </w:rPr>
  </w:style>
  <w:style w:type="character" w:customStyle="1" w:styleId="1497">
    <w:name w:val="标题 #3 (7) + 14.5 pt"/>
    <w:qFormat/>
    <w:uiPriority w:val="0"/>
    <w:rPr>
      <w:rFonts w:ascii="宋体" w:hAnsi="宋体"/>
      <w:spacing w:val="-10"/>
      <w:sz w:val="29"/>
      <w:szCs w:val="29"/>
      <w:shd w:val="clear" w:color="auto" w:fill="FFFFFF"/>
    </w:rPr>
  </w:style>
  <w:style w:type="character" w:customStyle="1" w:styleId="1498">
    <w:name w:val="正文文本 + SimSun1"/>
    <w:qFormat/>
    <w:uiPriority w:val="0"/>
    <w:rPr>
      <w:rFonts w:ascii="宋体" w:hAnsi="宋体" w:eastAsia="Arial Unicode MS" w:cs="宋体"/>
      <w:spacing w:val="70"/>
      <w:kern w:val="2"/>
      <w:sz w:val="20"/>
      <w:szCs w:val="20"/>
      <w:u w:val="none"/>
      <w:lang w:val="en-US" w:eastAsia="zh-CN" w:bidi="ar-SA"/>
    </w:rPr>
  </w:style>
  <w:style w:type="character" w:customStyle="1" w:styleId="1499">
    <w:name w:val="正文文本 (2)2"/>
    <w:basedOn w:val="1022"/>
    <w:qFormat/>
    <w:uiPriority w:val="0"/>
    <w:rPr>
      <w:rFonts w:ascii="宋体" w:hAnsi="宋体"/>
      <w:shd w:val="clear" w:color="auto" w:fill="FFFFFF"/>
    </w:rPr>
  </w:style>
  <w:style w:type="character" w:customStyle="1" w:styleId="1500">
    <w:name w:val="正文文本 (2) + Arial Unicode MS2"/>
    <w:qFormat/>
    <w:uiPriority w:val="0"/>
    <w:rPr>
      <w:rFonts w:ascii="Arial Unicode MS" w:hAnsi="宋体" w:eastAsia="Arial Unicode MS" w:cs="Arial Unicode MS"/>
      <w:b/>
      <w:bCs/>
      <w:spacing w:val="-30"/>
      <w:sz w:val="19"/>
      <w:szCs w:val="19"/>
      <w:shd w:val="clear" w:color="auto" w:fill="FFFFFF"/>
      <w:lang w:val="en-US" w:eastAsia="en-US"/>
    </w:rPr>
  </w:style>
  <w:style w:type="character" w:customStyle="1" w:styleId="1501">
    <w:name w:val="正文文本 + 10.5 pt1"/>
    <w:qFormat/>
    <w:uiPriority w:val="0"/>
    <w:rPr>
      <w:rFonts w:ascii="Arial Unicode MS" w:eastAsia="Arial Unicode MS" w:cs="Arial Unicode MS"/>
      <w:spacing w:val="20"/>
      <w:kern w:val="2"/>
      <w:sz w:val="21"/>
      <w:szCs w:val="21"/>
      <w:u w:val="none"/>
      <w:lang w:val="en-US" w:eastAsia="en-US" w:bidi="ar-SA"/>
    </w:rPr>
  </w:style>
  <w:style w:type="character" w:customStyle="1" w:styleId="1502">
    <w:name w:val="正文文本 (7) + 11 pt1"/>
    <w:qFormat/>
    <w:uiPriority w:val="0"/>
    <w:rPr>
      <w:rFonts w:ascii="Arial Unicode MS" w:eastAsia="Arial Unicode MS" w:cs="Arial Unicode MS"/>
      <w:spacing w:val="40"/>
      <w:sz w:val="22"/>
      <w:szCs w:val="22"/>
      <w:u w:val="none"/>
      <w:shd w:val="clear" w:color="auto" w:fill="FFFFFF"/>
      <w:lang w:eastAsia="en-US"/>
    </w:rPr>
  </w:style>
  <w:style w:type="character" w:customStyle="1" w:styleId="1503">
    <w:name w:val="正文文本 (2) + Arial Unicode MS1"/>
    <w:qFormat/>
    <w:uiPriority w:val="0"/>
    <w:rPr>
      <w:rFonts w:ascii="Arial Unicode MS" w:hAnsi="宋体" w:eastAsia="Arial Unicode MS" w:cs="Arial Unicode MS"/>
      <w:b/>
      <w:bCs/>
      <w:spacing w:val="3"/>
      <w:sz w:val="15"/>
      <w:szCs w:val="15"/>
      <w:shd w:val="clear" w:color="auto" w:fill="FFFFFF"/>
      <w:lang w:val="en-US" w:eastAsia="en-US"/>
    </w:rPr>
  </w:style>
  <w:style w:type="character" w:customStyle="1" w:styleId="1504">
    <w:name w:val="javascript"/>
    <w:basedOn w:val="89"/>
    <w:qFormat/>
    <w:uiPriority w:val="0"/>
  </w:style>
  <w:style w:type="character" w:customStyle="1" w:styleId="1505">
    <w:name w:val="h31"/>
    <w:qFormat/>
    <w:uiPriority w:val="0"/>
    <w:rPr>
      <w:sz w:val="21"/>
      <w:szCs w:val="21"/>
    </w:rPr>
  </w:style>
  <w:style w:type="character" w:customStyle="1" w:styleId="1506">
    <w:name w:val="f141"/>
    <w:qFormat/>
    <w:uiPriority w:val="0"/>
    <w:rPr>
      <w:rFonts w:hint="default"/>
      <w:spacing w:val="330"/>
      <w:sz w:val="21"/>
      <w:szCs w:val="21"/>
    </w:rPr>
  </w:style>
  <w:style w:type="character" w:customStyle="1" w:styleId="1507">
    <w:name w:val="正文文字缩进 Char Char1"/>
    <w:qFormat/>
    <w:uiPriority w:val="0"/>
    <w:rPr>
      <w:kern w:val="2"/>
      <w:sz w:val="21"/>
      <w:szCs w:val="21"/>
      <w:lang w:eastAsia="zh-CN"/>
    </w:rPr>
  </w:style>
  <w:style w:type="character" w:customStyle="1" w:styleId="1508">
    <w:name w:val="lyy表头 Char"/>
    <w:link w:val="1509"/>
    <w:qFormat/>
    <w:uiPriority w:val="0"/>
    <w:rPr>
      <w:rFonts w:eastAsia="黑体"/>
      <w:b/>
      <w:bCs/>
      <w:color w:val="FF0000"/>
      <w:kern w:val="2"/>
      <w:sz w:val="21"/>
      <w:szCs w:val="21"/>
    </w:rPr>
  </w:style>
  <w:style w:type="paragraph" w:customStyle="1" w:styleId="1509">
    <w:name w:val="lyy表头"/>
    <w:basedOn w:val="24"/>
    <w:link w:val="1508"/>
    <w:qFormat/>
    <w:uiPriority w:val="0"/>
    <w:pPr>
      <w:spacing w:before="0" w:after="120" w:line="240" w:lineRule="auto"/>
      <w:jc w:val="center"/>
    </w:pPr>
    <w:rPr>
      <w:rFonts w:asciiTheme="minorHAnsi" w:hAnsiTheme="minorHAnsi" w:cstheme="minorBidi"/>
      <w:b/>
      <w:bCs/>
      <w:snapToGrid/>
      <w:color w:val="FF0000"/>
      <w:kern w:val="2"/>
      <w:sz w:val="21"/>
      <w:szCs w:val="21"/>
    </w:rPr>
  </w:style>
  <w:style w:type="character" w:customStyle="1" w:styleId="1510">
    <w:name w:val="排版正文 Char"/>
    <w:link w:val="1511"/>
    <w:semiHidden/>
    <w:qFormat/>
    <w:uiPriority w:val="0"/>
    <w:rPr>
      <w:color w:val="000000"/>
      <w:kern w:val="2"/>
      <w:sz w:val="26"/>
      <w:szCs w:val="26"/>
    </w:rPr>
  </w:style>
  <w:style w:type="paragraph" w:customStyle="1" w:styleId="1511">
    <w:name w:val="排版正文"/>
    <w:basedOn w:val="1"/>
    <w:link w:val="1510"/>
    <w:semiHidden/>
    <w:qFormat/>
    <w:uiPriority w:val="0"/>
    <w:pPr>
      <w:adjustRightInd w:val="0"/>
      <w:snapToGrid w:val="0"/>
      <w:spacing w:line="460" w:lineRule="exact"/>
      <w:ind w:firstLine="200" w:firstLineChars="200"/>
    </w:pPr>
    <w:rPr>
      <w:rFonts w:asciiTheme="minorHAnsi" w:hAnsiTheme="minorHAnsi" w:eastAsiaTheme="minorEastAsia" w:cstheme="minorBidi"/>
      <w:color w:val="000000"/>
      <w:sz w:val="26"/>
      <w:szCs w:val="26"/>
    </w:rPr>
  </w:style>
  <w:style w:type="character" w:customStyle="1" w:styleId="1512">
    <w:name w:val="Char Char10"/>
    <w:qFormat/>
    <w:uiPriority w:val="0"/>
    <w:rPr>
      <w:rFonts w:eastAsia="仿宋_GB2312"/>
      <w:kern w:val="2"/>
      <w:sz w:val="32"/>
      <w:lang w:eastAsia="zh-CN"/>
    </w:rPr>
  </w:style>
  <w:style w:type="character" w:customStyle="1" w:styleId="1513">
    <w:name w:val="段落 Char"/>
    <w:link w:val="1514"/>
    <w:qFormat/>
    <w:uiPriority w:val="0"/>
    <w:rPr>
      <w:rFonts w:ascii="宋体" w:hAnsi="宋体" w:cs="Arial"/>
      <w:kern w:val="2"/>
      <w:sz w:val="28"/>
      <w:szCs w:val="30"/>
    </w:rPr>
  </w:style>
  <w:style w:type="paragraph" w:customStyle="1" w:styleId="1514">
    <w:name w:val="段落"/>
    <w:basedOn w:val="1"/>
    <w:link w:val="1513"/>
    <w:qFormat/>
    <w:uiPriority w:val="0"/>
    <w:pPr>
      <w:adjustRightInd w:val="0"/>
      <w:spacing w:after="120" w:line="360" w:lineRule="auto"/>
      <w:ind w:firstLine="567"/>
    </w:pPr>
    <w:rPr>
      <w:rFonts w:ascii="宋体" w:hAnsi="宋体" w:cs="Arial" w:eastAsiaTheme="minorEastAsia"/>
      <w:sz w:val="28"/>
      <w:szCs w:val="30"/>
    </w:rPr>
  </w:style>
  <w:style w:type="character" w:customStyle="1" w:styleId="1515">
    <w:name w:val="正文部分 Char"/>
    <w:link w:val="1516"/>
    <w:qFormat/>
    <w:uiPriority w:val="0"/>
    <w:rPr>
      <w:color w:val="000000"/>
      <w:kern w:val="2"/>
      <w:sz w:val="24"/>
      <w:szCs w:val="24"/>
    </w:rPr>
  </w:style>
  <w:style w:type="paragraph" w:customStyle="1" w:styleId="1516">
    <w:name w:val="正文部分"/>
    <w:basedOn w:val="1"/>
    <w:link w:val="1515"/>
    <w:qFormat/>
    <w:uiPriority w:val="0"/>
    <w:pPr>
      <w:autoSpaceDE w:val="0"/>
      <w:autoSpaceDN w:val="0"/>
      <w:spacing w:line="500" w:lineRule="exact"/>
      <w:ind w:firstLine="200" w:firstLineChars="200"/>
    </w:pPr>
    <w:rPr>
      <w:rFonts w:asciiTheme="minorHAnsi" w:hAnsiTheme="minorHAnsi" w:eastAsiaTheme="minorEastAsia" w:cstheme="minorBidi"/>
      <w:color w:val="000000"/>
      <w:sz w:val="24"/>
      <w:szCs w:val="24"/>
    </w:rPr>
  </w:style>
  <w:style w:type="character" w:customStyle="1" w:styleId="1517">
    <w:name w:val="正文文本 + 11.5 pt"/>
    <w:qFormat/>
    <w:uiPriority w:val="0"/>
    <w:rPr>
      <w:rFonts w:ascii="宋体" w:hAnsi="宋体" w:cs="宋体"/>
      <w:sz w:val="23"/>
      <w:szCs w:val="23"/>
      <w:u w:val="none"/>
    </w:rPr>
  </w:style>
  <w:style w:type="character" w:customStyle="1" w:styleId="1518">
    <w:name w:val="正文文本 + MingLiU12"/>
    <w:qFormat/>
    <w:uiPriority w:val="0"/>
    <w:rPr>
      <w:rFonts w:ascii="MingLiU" w:hAnsi="宋体" w:eastAsia="MingLiU" w:cs="MingLiU"/>
      <w:u w:val="none"/>
    </w:rPr>
  </w:style>
  <w:style w:type="character" w:customStyle="1" w:styleId="1519">
    <w:name w:val="正文文本_"/>
    <w:qFormat/>
    <w:uiPriority w:val="0"/>
    <w:rPr>
      <w:kern w:val="2"/>
      <w:sz w:val="21"/>
      <w:lang w:eastAsia="zh-CN"/>
    </w:rPr>
  </w:style>
  <w:style w:type="character" w:customStyle="1" w:styleId="1520">
    <w:name w:val="正文文本 + MingLiU14"/>
    <w:qFormat/>
    <w:uiPriority w:val="0"/>
    <w:rPr>
      <w:rFonts w:ascii="MingLiU" w:eastAsia="MingLiU" w:cs="MingLiU"/>
      <w:kern w:val="2"/>
      <w:sz w:val="24"/>
      <w:lang w:eastAsia="en-US"/>
    </w:rPr>
  </w:style>
  <w:style w:type="character" w:customStyle="1" w:styleId="1521">
    <w:name w:val="表格标题 + 间距 0 pt"/>
    <w:qFormat/>
    <w:uiPriority w:val="0"/>
    <w:rPr>
      <w:rFonts w:ascii="MingLiU" w:eastAsia="MingLiU" w:cs="MingLiU"/>
      <w:spacing w:val="-10"/>
      <w:sz w:val="22"/>
      <w:szCs w:val="22"/>
      <w:u w:val="none"/>
    </w:rPr>
  </w:style>
  <w:style w:type="character" w:customStyle="1" w:styleId="1522">
    <w:name w:val="表格标题 + 间距 0 pt1"/>
    <w:qFormat/>
    <w:uiPriority w:val="0"/>
    <w:rPr>
      <w:rFonts w:ascii="MingLiU" w:eastAsia="MingLiU" w:cs="MingLiU"/>
      <w:spacing w:val="-10"/>
      <w:sz w:val="22"/>
      <w:szCs w:val="22"/>
      <w:u w:val="none"/>
    </w:rPr>
  </w:style>
  <w:style w:type="character" w:customStyle="1" w:styleId="1523">
    <w:name w:val="Char Char14"/>
    <w:qFormat/>
    <w:uiPriority w:val="0"/>
    <w:rPr>
      <w:rFonts w:ascii="华文细黑" w:hAnsi="宋体" w:eastAsia="华文细黑"/>
      <w:snapToGrid w:val="0"/>
      <w:lang w:eastAsia="zh-CN"/>
    </w:rPr>
  </w:style>
  <w:style w:type="character" w:customStyle="1" w:styleId="1524">
    <w:name w:val="Char Char13"/>
    <w:qFormat/>
    <w:uiPriority w:val="0"/>
    <w:rPr>
      <w:rFonts w:ascii="宋体" w:hAnsi="宋体"/>
      <w:snapToGrid w:val="0"/>
      <w:color w:val="FF0000"/>
      <w:lang w:eastAsia="zh-CN"/>
    </w:rPr>
  </w:style>
  <w:style w:type="character" w:customStyle="1" w:styleId="1525">
    <w:name w:val="style3"/>
    <w:basedOn w:val="89"/>
    <w:qFormat/>
    <w:uiPriority w:val="0"/>
  </w:style>
  <w:style w:type="character" w:customStyle="1" w:styleId="1526">
    <w:name w:val="font31"/>
    <w:qFormat/>
    <w:uiPriority w:val="0"/>
    <w:rPr>
      <w:rFonts w:hint="eastAsia" w:ascii="楷体_GB2312" w:eastAsia="楷体_GB2312"/>
      <w:color w:val="993366"/>
      <w:sz w:val="21"/>
      <w:szCs w:val="21"/>
      <w:u w:val="none"/>
    </w:rPr>
  </w:style>
  <w:style w:type="character" w:customStyle="1" w:styleId="1527">
    <w:name w:val="font21"/>
    <w:qFormat/>
    <w:uiPriority w:val="0"/>
    <w:rPr>
      <w:rFonts w:hint="eastAsia" w:ascii="楷体_GB2312" w:eastAsia="楷体_GB2312"/>
      <w:color w:val="000000"/>
      <w:sz w:val="21"/>
      <w:szCs w:val="21"/>
      <w:u w:val="none"/>
    </w:rPr>
  </w:style>
  <w:style w:type="character" w:customStyle="1" w:styleId="1528">
    <w:name w:val="cn_0021"/>
    <w:qFormat/>
    <w:uiPriority w:val="0"/>
    <w:rPr>
      <w:rFonts w:hint="default"/>
      <w:sz w:val="18"/>
    </w:rPr>
  </w:style>
  <w:style w:type="character" w:customStyle="1" w:styleId="1529">
    <w:name w:val="条标题1.1.1 Char Char"/>
    <w:qFormat/>
    <w:uiPriority w:val="0"/>
    <w:rPr>
      <w:rFonts w:ascii="宋体" w:hAnsi="宋体"/>
      <w:snapToGrid/>
      <w:color w:val="FF0000"/>
      <w:sz w:val="24"/>
    </w:rPr>
  </w:style>
  <w:style w:type="character" w:customStyle="1" w:styleId="1530">
    <w:name w:val="条标题1.1.1 Char Char1"/>
    <w:qFormat/>
    <w:uiPriority w:val="0"/>
    <w:rPr>
      <w:rFonts w:ascii="宋体" w:hAnsi="宋体"/>
      <w:snapToGrid w:val="0"/>
      <w:color w:val="FF0000"/>
      <w:lang w:eastAsia="zh-CN"/>
    </w:rPr>
  </w:style>
  <w:style w:type="character" w:customStyle="1" w:styleId="1531">
    <w:name w:val="样式 君邦正文 + 蓝色2 Char"/>
    <w:link w:val="1532"/>
    <w:qFormat/>
    <w:uiPriority w:val="0"/>
    <w:rPr>
      <w:rFonts w:eastAsia="宋体"/>
      <w:bCs/>
      <w:snapToGrid w:val="0"/>
      <w:color w:val="0000FF"/>
      <w:sz w:val="24"/>
    </w:rPr>
  </w:style>
  <w:style w:type="paragraph" w:customStyle="1" w:styleId="1532">
    <w:name w:val="样式 君邦正文 + 蓝色2"/>
    <w:basedOn w:val="166"/>
    <w:link w:val="1531"/>
    <w:qFormat/>
    <w:uiPriority w:val="0"/>
    <w:pPr>
      <w:spacing w:after="0" w:line="240" w:lineRule="atLeast"/>
      <w:ind w:firstLine="0" w:firstLineChars="0"/>
      <w:jc w:val="center"/>
    </w:pPr>
    <w:rPr>
      <w:rFonts w:eastAsia="宋体"/>
      <w:color w:val="0000FF"/>
    </w:rPr>
  </w:style>
  <w:style w:type="character" w:customStyle="1" w:styleId="1533">
    <w:name w:val="样式 表头样式1 + Char"/>
    <w:link w:val="1534"/>
    <w:qFormat/>
    <w:uiPriority w:val="0"/>
    <w:rPr>
      <w:rFonts w:ascii="仿宋_GB2312" w:eastAsia="_GB2312"/>
      <w:b/>
      <w:bCs/>
      <w:kern w:val="2"/>
      <w:sz w:val="24"/>
      <w:szCs w:val="24"/>
      <w:lang w:eastAsia="en-US" w:bidi="en-US"/>
    </w:rPr>
  </w:style>
  <w:style w:type="paragraph" w:customStyle="1" w:styleId="1534">
    <w:name w:val="样式 表头样式1 +"/>
    <w:basedOn w:val="636"/>
    <w:link w:val="1533"/>
    <w:qFormat/>
    <w:uiPriority w:val="0"/>
    <w:pPr>
      <w:widowControl w:val="0"/>
      <w:spacing w:before="0" w:line="240" w:lineRule="auto"/>
      <w:ind w:firstLine="0" w:firstLineChars="0"/>
    </w:pPr>
    <w:rPr>
      <w:rFonts w:eastAsia="_GB2312"/>
      <w:b/>
    </w:rPr>
  </w:style>
  <w:style w:type="character" w:customStyle="1" w:styleId="1535">
    <w:name w:val="正文文本 + 10 pt10"/>
    <w:qFormat/>
    <w:uiPriority w:val="0"/>
    <w:rPr>
      <w:rFonts w:ascii="Arial Unicode MS" w:eastAsia="Arial Unicode MS"/>
      <w:kern w:val="2"/>
      <w:sz w:val="20"/>
      <w:szCs w:val="20"/>
      <w:lang w:eastAsia="zh-CN"/>
    </w:rPr>
  </w:style>
  <w:style w:type="character" w:customStyle="1" w:styleId="1536">
    <w:name w:val="正文文本 + 11 pt8"/>
    <w:qFormat/>
    <w:uiPriority w:val="0"/>
    <w:rPr>
      <w:rFonts w:ascii="Arial Unicode MS" w:eastAsia="Arial Unicode MS" w:cs="Arial Unicode MS"/>
      <w:kern w:val="2"/>
      <w:sz w:val="22"/>
      <w:szCs w:val="22"/>
      <w:u w:val="none"/>
      <w:lang w:eastAsia="en-US"/>
    </w:rPr>
  </w:style>
  <w:style w:type="character" w:customStyle="1" w:styleId="1537">
    <w:name w:val="正文文本 + 11 pt3"/>
    <w:qFormat/>
    <w:uiPriority w:val="0"/>
    <w:rPr>
      <w:rFonts w:ascii="Arial Unicode MS" w:eastAsia="Arial Unicode MS" w:cs="Arial Unicode MS"/>
      <w:kern w:val="2"/>
      <w:sz w:val="22"/>
      <w:szCs w:val="22"/>
      <w:u w:val="none"/>
      <w:lang w:eastAsia="en-US"/>
    </w:rPr>
  </w:style>
  <w:style w:type="character" w:customStyle="1" w:styleId="1538">
    <w:name w:val="description"/>
    <w:basedOn w:val="89"/>
    <w:qFormat/>
    <w:uiPriority w:val="0"/>
  </w:style>
  <w:style w:type="character" w:customStyle="1" w:styleId="1539">
    <w:name w:val="正文表格 Char Char2"/>
    <w:qFormat/>
    <w:uiPriority w:val="0"/>
    <w:rPr>
      <w:rFonts w:ascii="宋体" w:hAnsi="宋体" w:eastAsia="宋体"/>
      <w:kern w:val="2"/>
      <w:sz w:val="21"/>
      <w:szCs w:val="21"/>
      <w:lang w:val="en-US" w:eastAsia="zh-CN"/>
    </w:rPr>
  </w:style>
  <w:style w:type="character" w:customStyle="1" w:styleId="1540">
    <w:name w:val="正文表头 Char"/>
    <w:link w:val="1541"/>
    <w:qFormat/>
    <w:uiPriority w:val="0"/>
    <w:rPr>
      <w:rFonts w:ascii="宋体" w:hAnsi="宋体"/>
      <w:b/>
      <w:color w:val="000000"/>
      <w:sz w:val="24"/>
      <w:szCs w:val="24"/>
    </w:rPr>
  </w:style>
  <w:style w:type="paragraph" w:customStyle="1" w:styleId="1541">
    <w:name w:val="正文表头"/>
    <w:basedOn w:val="1"/>
    <w:link w:val="1540"/>
    <w:qFormat/>
    <w:uiPriority w:val="0"/>
    <w:pPr>
      <w:autoSpaceDE w:val="0"/>
      <w:autoSpaceDN w:val="0"/>
      <w:adjustRightInd w:val="0"/>
      <w:spacing w:line="360" w:lineRule="auto"/>
      <w:jc w:val="center"/>
    </w:pPr>
    <w:rPr>
      <w:rFonts w:ascii="宋体" w:hAnsi="宋体" w:eastAsiaTheme="minorEastAsia" w:cstheme="minorBidi"/>
      <w:b/>
      <w:color w:val="000000"/>
      <w:kern w:val="0"/>
      <w:sz w:val="24"/>
      <w:szCs w:val="24"/>
    </w:rPr>
  </w:style>
  <w:style w:type="character" w:customStyle="1" w:styleId="1542">
    <w:name w:val="正文文本 + 间距 0 pt"/>
    <w:qFormat/>
    <w:uiPriority w:val="0"/>
    <w:rPr>
      <w:rFonts w:ascii="Arial Unicode MS" w:eastAsia="Arial Unicode MS"/>
      <w:spacing w:val="3"/>
      <w:kern w:val="2"/>
      <w:sz w:val="21"/>
      <w:lang w:eastAsia="zh-CN"/>
    </w:rPr>
  </w:style>
  <w:style w:type="character" w:customStyle="1" w:styleId="1543">
    <w:name w:val="正文文本 + 8.5 pt3"/>
    <w:qFormat/>
    <w:uiPriority w:val="0"/>
    <w:rPr>
      <w:rFonts w:ascii="宋体" w:hAnsi="宋体"/>
      <w:kern w:val="2"/>
      <w:sz w:val="17"/>
      <w:szCs w:val="17"/>
      <w:lang w:eastAsia="zh-CN"/>
    </w:rPr>
  </w:style>
  <w:style w:type="character" w:customStyle="1" w:styleId="1544">
    <w:name w:val="主标题 Char Char"/>
    <w:qFormat/>
    <w:uiPriority w:val="0"/>
    <w:rPr>
      <w:rFonts w:ascii="Arial" w:hAnsi="Arial" w:eastAsia="宋体" w:cs="Arial"/>
      <w:b/>
      <w:bCs/>
      <w:kern w:val="2"/>
      <w:sz w:val="32"/>
      <w:szCs w:val="32"/>
      <w:lang w:val="en-US" w:eastAsia="zh-CN" w:bidi="ar-SA"/>
    </w:rPr>
  </w:style>
  <w:style w:type="character" w:customStyle="1" w:styleId="1545">
    <w:name w:val="ISO1 Char"/>
    <w:qFormat/>
    <w:uiPriority w:val="0"/>
    <w:rPr>
      <w:rFonts w:ascii="Arial" w:hAnsi="Arial" w:eastAsia="黑体"/>
      <w:kern w:val="2"/>
      <w:sz w:val="30"/>
      <w:lang w:eastAsia="zh-CN"/>
    </w:rPr>
  </w:style>
  <w:style w:type="character" w:customStyle="1" w:styleId="1546">
    <w:name w:val="目录 (2)_"/>
    <w:qFormat/>
    <w:uiPriority w:val="0"/>
    <w:rPr>
      <w:rFonts w:ascii="黑体" w:eastAsia="黑体"/>
      <w:bCs/>
      <w:caps/>
      <w:kern w:val="2"/>
      <w:sz w:val="30"/>
      <w:szCs w:val="30"/>
      <w:lang w:val="en-US" w:eastAsia="zh-CN"/>
    </w:rPr>
  </w:style>
  <w:style w:type="character" w:customStyle="1" w:styleId="1547">
    <w:name w:val="报告表  段 Char"/>
    <w:link w:val="1548"/>
    <w:qFormat/>
    <w:uiPriority w:val="0"/>
    <w:rPr>
      <w:rFonts w:ascii="宋体"/>
      <w:sz w:val="24"/>
    </w:rPr>
  </w:style>
  <w:style w:type="paragraph" w:customStyle="1" w:styleId="1548">
    <w:name w:val="报告表  段"/>
    <w:basedOn w:val="1"/>
    <w:link w:val="1547"/>
    <w:qFormat/>
    <w:uiPriority w:val="0"/>
    <w:pPr>
      <w:adjustRightInd w:val="0"/>
      <w:spacing w:line="360" w:lineRule="auto"/>
      <w:ind w:firstLine="505"/>
      <w:textAlignment w:val="baseline"/>
    </w:pPr>
    <w:rPr>
      <w:rFonts w:ascii="宋体" w:hAnsiTheme="minorHAnsi" w:eastAsiaTheme="minorEastAsia" w:cstheme="minorBidi"/>
      <w:kern w:val="0"/>
      <w:sz w:val="24"/>
    </w:rPr>
  </w:style>
  <w:style w:type="character" w:customStyle="1" w:styleId="1549">
    <w:name w:val="报告正文 Char Char"/>
    <w:link w:val="1550"/>
    <w:qFormat/>
    <w:uiPriority w:val="0"/>
    <w:rPr>
      <w:kern w:val="2"/>
      <w:sz w:val="24"/>
    </w:rPr>
  </w:style>
  <w:style w:type="paragraph" w:customStyle="1" w:styleId="1550">
    <w:name w:val="报告正文 Char"/>
    <w:basedOn w:val="1"/>
    <w:link w:val="1549"/>
    <w:qFormat/>
    <w:uiPriority w:val="0"/>
    <w:pPr>
      <w:spacing w:before="156" w:after="156" w:line="360" w:lineRule="auto"/>
      <w:ind w:firstLine="482"/>
    </w:pPr>
    <w:rPr>
      <w:rFonts w:asciiTheme="minorHAnsi" w:hAnsiTheme="minorHAnsi" w:eastAsiaTheme="minorEastAsia" w:cstheme="minorBidi"/>
      <w:sz w:val="24"/>
    </w:rPr>
  </w:style>
  <w:style w:type="character" w:customStyle="1" w:styleId="1551">
    <w:name w:val="正文表格 Char Char1"/>
    <w:qFormat/>
    <w:uiPriority w:val="0"/>
    <w:rPr>
      <w:rFonts w:ascii="宋体" w:hAnsi="宋体" w:eastAsia="宋体"/>
      <w:kern w:val="2"/>
      <w:sz w:val="21"/>
      <w:szCs w:val="21"/>
      <w:lang w:val="en-US" w:eastAsia="zh-CN"/>
    </w:rPr>
  </w:style>
  <w:style w:type="character" w:customStyle="1" w:styleId="1552">
    <w:name w:val="主标题 Char Char1"/>
    <w:qFormat/>
    <w:uiPriority w:val="0"/>
    <w:rPr>
      <w:rFonts w:ascii="Arial" w:hAnsi="Arial" w:cs="Arial"/>
      <w:bCs/>
      <w:kern w:val="2"/>
      <w:sz w:val="32"/>
      <w:szCs w:val="32"/>
      <w:lang w:eastAsia="zh-CN"/>
    </w:rPr>
  </w:style>
  <w:style w:type="character" w:customStyle="1" w:styleId="1553">
    <w:name w:val="正文文字缩进1 Char"/>
    <w:qFormat/>
    <w:uiPriority w:val="0"/>
    <w:rPr>
      <w:rFonts w:ascii="仿宋_GB2312" w:eastAsia="仿宋_GB2312"/>
      <w:kern w:val="2"/>
      <w:sz w:val="32"/>
      <w:lang w:eastAsia="zh-CN"/>
    </w:rPr>
  </w:style>
  <w:style w:type="character" w:customStyle="1" w:styleId="1554">
    <w:name w:val="表格标题 + 9.5 pt"/>
    <w:qFormat/>
    <w:uiPriority w:val="0"/>
    <w:rPr>
      <w:rFonts w:ascii="宋体" w:hAnsi="宋体" w:eastAsia="Arial Unicode MS" w:cs="Arial Unicode MS"/>
      <w:bCs/>
      <w:sz w:val="19"/>
      <w:szCs w:val="19"/>
      <w:u w:val="none"/>
    </w:rPr>
  </w:style>
  <w:style w:type="character" w:customStyle="1" w:styleId="1555">
    <w:name w:val="正文文本 (102)_"/>
    <w:link w:val="1556"/>
    <w:qFormat/>
    <w:uiPriority w:val="0"/>
    <w:rPr>
      <w:rFonts w:ascii="宋体" w:hAnsi="宋体"/>
      <w:sz w:val="23"/>
      <w:szCs w:val="23"/>
      <w:shd w:val="clear" w:color="auto" w:fill="FFFFFF"/>
    </w:rPr>
  </w:style>
  <w:style w:type="paragraph" w:customStyle="1" w:styleId="1556">
    <w:name w:val="正文文本 (102)"/>
    <w:basedOn w:val="1"/>
    <w:link w:val="1555"/>
    <w:qFormat/>
    <w:uiPriority w:val="0"/>
    <w:pPr>
      <w:shd w:val="clear" w:color="auto" w:fill="FFFFFF"/>
      <w:spacing w:line="499" w:lineRule="exact"/>
      <w:jc w:val="left"/>
    </w:pPr>
    <w:rPr>
      <w:rFonts w:ascii="宋体" w:hAnsi="宋体" w:eastAsiaTheme="minorEastAsia" w:cstheme="minorBidi"/>
      <w:kern w:val="0"/>
      <w:sz w:val="23"/>
      <w:szCs w:val="23"/>
    </w:rPr>
  </w:style>
  <w:style w:type="character" w:customStyle="1" w:styleId="1557">
    <w:name w:val="正文文本 (102) + 9 pt"/>
    <w:qFormat/>
    <w:uiPriority w:val="0"/>
    <w:rPr>
      <w:rFonts w:ascii="宋体" w:hAnsi="宋体"/>
      <w:sz w:val="18"/>
      <w:szCs w:val="18"/>
      <w:shd w:val="clear" w:color="auto" w:fill="FFFFFF"/>
      <w:lang w:val="en-US" w:eastAsia="zh-CN"/>
    </w:rPr>
  </w:style>
  <w:style w:type="character" w:customStyle="1" w:styleId="1558">
    <w:name w:val="样式 标题 4第三层条PIM 4h4标题 4 Char CharL41.1.1.1 Char1.1.1.1标题 ... Char"/>
    <w:link w:val="1559"/>
    <w:qFormat/>
    <w:uiPriority w:val="0"/>
    <w:rPr>
      <w:rFonts w:ascii="黑体" w:hAnsi="黑体" w:eastAsia="黑体"/>
      <w:bCs/>
      <w:color w:val="FF0000"/>
      <w:kern w:val="2"/>
      <w:sz w:val="24"/>
    </w:rPr>
  </w:style>
  <w:style w:type="paragraph" w:customStyle="1" w:styleId="1559">
    <w:name w:val="样式 标题 4第三层条PIM 4h4标题 4 Char CharL41.1.1.1 Char1.1.1.1标题 ..."/>
    <w:basedOn w:val="8"/>
    <w:link w:val="1558"/>
    <w:qFormat/>
    <w:uiPriority w:val="0"/>
    <w:pPr>
      <w:adjustRightInd w:val="0"/>
      <w:snapToGrid w:val="0"/>
      <w:spacing w:before="0" w:after="0" w:line="520" w:lineRule="exact"/>
      <w:ind w:firstLine="480" w:firstLineChars="200"/>
    </w:pPr>
    <w:rPr>
      <w:rFonts w:ascii="黑体" w:hAnsi="黑体"/>
      <w:b w:val="0"/>
      <w:color w:val="FF0000"/>
      <w:sz w:val="24"/>
      <w:szCs w:val="20"/>
    </w:rPr>
  </w:style>
  <w:style w:type="character" w:customStyle="1" w:styleId="1560">
    <w:name w:val="a"/>
    <w:basedOn w:val="89"/>
    <w:qFormat/>
    <w:uiPriority w:val="0"/>
  </w:style>
  <w:style w:type="character" w:customStyle="1" w:styleId="1561">
    <w:name w:val="Normal Char"/>
    <w:link w:val="1562"/>
    <w:qFormat/>
    <w:uiPriority w:val="0"/>
    <w:rPr>
      <w:rFonts w:ascii="宋体"/>
      <w:sz w:val="34"/>
    </w:rPr>
  </w:style>
  <w:style w:type="paragraph" w:customStyle="1" w:styleId="1562">
    <w:name w:val="正文4"/>
    <w:link w:val="1561"/>
    <w:qFormat/>
    <w:uiPriority w:val="0"/>
    <w:pPr>
      <w:widowControl w:val="0"/>
      <w:adjustRightInd w:val="0"/>
      <w:spacing w:line="312" w:lineRule="atLeast"/>
      <w:jc w:val="both"/>
      <w:textAlignment w:val="baseline"/>
    </w:pPr>
    <w:rPr>
      <w:rFonts w:ascii="宋体" w:hAnsiTheme="minorHAnsi" w:eastAsiaTheme="minorEastAsia" w:cstheme="minorBidi"/>
      <w:sz w:val="34"/>
      <w:lang w:val="en-US" w:eastAsia="zh-CN" w:bidi="ar-SA"/>
    </w:rPr>
  </w:style>
  <w:style w:type="character" w:customStyle="1" w:styleId="1563">
    <w:name w:val="bds_nopic"/>
    <w:qFormat/>
    <w:uiPriority w:val="0"/>
    <w:rPr>
      <w:sz w:val="21"/>
    </w:rPr>
  </w:style>
  <w:style w:type="character" w:customStyle="1" w:styleId="1564">
    <w:name w:val="title41"/>
    <w:qFormat/>
    <w:uiPriority w:val="0"/>
    <w:rPr>
      <w:rFonts w:hint="eastAsia" w:ascii="宋体" w:hAnsi="宋体" w:eastAsia="宋体"/>
      <w:color w:val="194F95"/>
      <w:sz w:val="23"/>
      <w:szCs w:val="23"/>
    </w:rPr>
  </w:style>
  <w:style w:type="character" w:customStyle="1" w:styleId="1565">
    <w:name w:val="span1"/>
    <w:qFormat/>
    <w:uiPriority w:val="0"/>
    <w:rPr>
      <w:sz w:val="21"/>
    </w:rPr>
  </w:style>
  <w:style w:type="character" w:customStyle="1" w:styleId="1566">
    <w:name w:val="hover29"/>
    <w:qFormat/>
    <w:uiPriority w:val="0"/>
    <w:rPr>
      <w:color w:val="3EAF0E"/>
    </w:rPr>
  </w:style>
  <w:style w:type="character" w:customStyle="1" w:styleId="1567">
    <w:name w:val="smalltxt1"/>
    <w:qFormat/>
    <w:uiPriority w:val="0"/>
    <w:rPr>
      <w:color w:val="999999"/>
      <w:sz w:val="18"/>
      <w:szCs w:val="18"/>
    </w:rPr>
  </w:style>
  <w:style w:type="character" w:customStyle="1" w:styleId="1568">
    <w:name w:val="collect"/>
    <w:qFormat/>
    <w:uiPriority w:val="0"/>
    <w:rPr>
      <w:sz w:val="21"/>
    </w:rPr>
  </w:style>
  <w:style w:type="character" w:customStyle="1" w:styleId="1569">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eastAsia="宋体"/>
      <w:sz w:val="24"/>
      <w:lang w:val="en-US" w:eastAsia="zh-CN" w:bidi="ar-SA"/>
    </w:rPr>
  </w:style>
  <w:style w:type="character" w:customStyle="1" w:styleId="1570">
    <w:name w:val="apple-converted-space"/>
    <w:qFormat/>
    <w:uiPriority w:val="0"/>
    <w:rPr>
      <w:sz w:val="21"/>
    </w:rPr>
  </w:style>
  <w:style w:type="character" w:customStyle="1" w:styleId="1571">
    <w:name w:val="name2"/>
    <w:qFormat/>
    <w:uiPriority w:val="0"/>
    <w:rPr>
      <w:rFonts w:hint="eastAsia" w:ascii="宋体" w:hAnsi="宋体" w:eastAsia="宋体" w:cs="宋体"/>
      <w:sz w:val="21"/>
      <w:szCs w:val="21"/>
    </w:rPr>
  </w:style>
  <w:style w:type="character" w:customStyle="1" w:styleId="1572">
    <w:name w:val="bds_more2"/>
    <w:qFormat/>
    <w:uiPriority w:val="0"/>
    <w:rPr>
      <w:sz w:val="21"/>
    </w:rPr>
  </w:style>
  <w:style w:type="character" w:customStyle="1" w:styleId="1573">
    <w:name w:val="tuijian"/>
    <w:qFormat/>
    <w:uiPriority w:val="0"/>
    <w:rPr>
      <w:sz w:val="21"/>
    </w:rPr>
  </w:style>
  <w:style w:type="character" w:customStyle="1" w:styleId="1574">
    <w:name w:val="selectd"/>
    <w:qFormat/>
    <w:uiPriority w:val="0"/>
    <w:rPr>
      <w:color w:val="FFFFFF"/>
    </w:rPr>
  </w:style>
  <w:style w:type="character" w:customStyle="1" w:styleId="1575">
    <w:name w:val="bds_more1"/>
    <w:qFormat/>
    <w:uiPriority w:val="0"/>
    <w:rPr>
      <w:sz w:val="21"/>
    </w:rPr>
  </w:style>
  <w:style w:type="character" w:customStyle="1" w:styleId="1576">
    <w:name w:val="name"/>
    <w:qFormat/>
    <w:uiPriority w:val="0"/>
    <w:rPr>
      <w:rFonts w:hint="eastAsia" w:ascii="宋体" w:hAnsi="宋体" w:eastAsia="宋体" w:cs="宋体"/>
      <w:sz w:val="21"/>
      <w:szCs w:val="21"/>
    </w:rPr>
  </w:style>
  <w:style w:type="character" w:customStyle="1" w:styleId="1577">
    <w:name w:val="bds_nopic2"/>
    <w:qFormat/>
    <w:uiPriority w:val="0"/>
    <w:rPr>
      <w:sz w:val="21"/>
    </w:rPr>
  </w:style>
  <w:style w:type="character" w:customStyle="1" w:styleId="1578">
    <w:name w:val="print"/>
    <w:qFormat/>
    <w:uiPriority w:val="0"/>
    <w:rPr>
      <w:sz w:val="21"/>
    </w:rPr>
  </w:style>
  <w:style w:type="character" w:customStyle="1" w:styleId="1579">
    <w:name w:val="font01"/>
    <w:qFormat/>
    <w:uiPriority w:val="0"/>
    <w:rPr>
      <w:rFonts w:hint="eastAsia" w:ascii="宋体" w:hAnsi="宋体" w:eastAsia="宋体" w:cs="宋体"/>
      <w:color w:val="000000"/>
      <w:sz w:val="24"/>
      <w:szCs w:val="24"/>
      <w:u w:val="single"/>
    </w:rPr>
  </w:style>
  <w:style w:type="paragraph" w:customStyle="1" w:styleId="1580">
    <w:name w:val="文-5"/>
    <w:basedOn w:val="1"/>
    <w:qFormat/>
    <w:uiPriority w:val="0"/>
    <w:pPr>
      <w:tabs>
        <w:tab w:val="right" w:leader="dot" w:pos="8789"/>
      </w:tabs>
      <w:spacing w:before="120"/>
      <w:ind w:left="1276" w:firstLine="482"/>
    </w:pPr>
    <w:rPr>
      <w:rFonts w:ascii="Times New Roman" w:hAnsi="Times New Roman"/>
      <w:sz w:val="24"/>
      <w:szCs w:val="24"/>
    </w:rPr>
  </w:style>
  <w:style w:type="paragraph" w:customStyle="1" w:styleId="1581">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582">
    <w:name w:val="样式 四号 首行缩进:  2字符"/>
    <w:basedOn w:val="1"/>
    <w:qFormat/>
    <w:uiPriority w:val="99"/>
    <w:pPr>
      <w:adjustRightInd w:val="0"/>
      <w:spacing w:line="360" w:lineRule="auto"/>
      <w:ind w:right="240" w:rightChars="100" w:firstLine="480" w:firstLineChars="200"/>
    </w:pPr>
    <w:rPr>
      <w:rFonts w:ascii="Times New Roman" w:hAnsi="Times New Roman"/>
      <w:sz w:val="24"/>
      <w:szCs w:val="32"/>
    </w:rPr>
  </w:style>
  <w:style w:type="paragraph" w:customStyle="1" w:styleId="1583">
    <w:name w:val="CM48"/>
    <w:basedOn w:val="107"/>
    <w:next w:val="107"/>
    <w:qFormat/>
    <w:uiPriority w:val="0"/>
    <w:pPr>
      <w:spacing w:line="468" w:lineRule="atLeast"/>
    </w:pPr>
    <w:rPr>
      <w:rFonts w:ascii="宋体" w:hAnsi="Times New Roman" w:eastAsia="宋体" w:cs="Times New Roman"/>
      <w:color w:val="auto"/>
    </w:rPr>
  </w:style>
  <w:style w:type="paragraph" w:customStyle="1" w:styleId="1584">
    <w:name w:val="表格小五（1）"/>
    <w:basedOn w:val="1"/>
    <w:qFormat/>
    <w:uiPriority w:val="0"/>
    <w:pPr>
      <w:adjustRightInd w:val="0"/>
      <w:snapToGrid w:val="0"/>
      <w:spacing w:line="240" w:lineRule="exact"/>
    </w:pPr>
    <w:rPr>
      <w:rFonts w:ascii="Times New Roman" w:hAnsi="Times New Roman"/>
      <w:sz w:val="18"/>
      <w:szCs w:val="18"/>
      <w:lang w:val="de-DE"/>
    </w:rPr>
  </w:style>
  <w:style w:type="paragraph" w:customStyle="1" w:styleId="1585">
    <w:name w:val="引用1"/>
    <w:basedOn w:val="1"/>
    <w:next w:val="1"/>
    <w:qFormat/>
    <w:uiPriority w:val="0"/>
    <w:pPr>
      <w:widowControl/>
      <w:jc w:val="left"/>
    </w:pPr>
    <w:rPr>
      <w:rFonts w:ascii="Calibri" w:hAnsi="Calibri"/>
      <w:i/>
      <w:kern w:val="0"/>
      <w:sz w:val="24"/>
      <w:szCs w:val="24"/>
      <w:lang w:eastAsia="en-US" w:bidi="en-US"/>
    </w:rPr>
  </w:style>
  <w:style w:type="paragraph" w:customStyle="1" w:styleId="1586">
    <w:name w:val="正文1 Char Char"/>
    <w:basedOn w:val="1"/>
    <w:qFormat/>
    <w:uiPriority w:val="0"/>
    <w:pPr>
      <w:adjustRightInd w:val="0"/>
      <w:snapToGrid w:val="0"/>
      <w:spacing w:line="516" w:lineRule="exact"/>
      <w:ind w:firstLine="200" w:firstLineChars="200"/>
    </w:pPr>
    <w:rPr>
      <w:rFonts w:ascii="Times New Roman" w:hAnsi="Times New Roman" w:eastAsia="仿宋_GB2312"/>
      <w:color w:val="000000"/>
      <w:sz w:val="26"/>
      <w:szCs w:val="26"/>
      <w:u w:color="000000"/>
    </w:rPr>
  </w:style>
  <w:style w:type="paragraph" w:customStyle="1" w:styleId="1587">
    <w:name w:val="日期1"/>
    <w:basedOn w:val="1"/>
    <w:next w:val="1"/>
    <w:qFormat/>
    <w:uiPriority w:val="0"/>
    <w:pPr>
      <w:autoSpaceDE w:val="0"/>
      <w:autoSpaceDN w:val="0"/>
      <w:adjustRightInd w:val="0"/>
      <w:spacing w:line="360" w:lineRule="atLeast"/>
      <w:jc w:val="left"/>
    </w:pPr>
    <w:rPr>
      <w:rFonts w:ascii="Times New Roman" w:hAnsi="Times New Roman"/>
      <w:kern w:val="0"/>
      <w:sz w:val="24"/>
    </w:rPr>
  </w:style>
  <w:style w:type="paragraph" w:customStyle="1" w:styleId="1588">
    <w:name w:val="样式 (中文) 仿宋_GB2312 四号 行距: 固定值 22 磅 首行缩进:  1 字符"/>
    <w:basedOn w:val="1"/>
    <w:qFormat/>
    <w:uiPriority w:val="0"/>
    <w:pPr>
      <w:spacing w:line="440" w:lineRule="exact"/>
      <w:ind w:firstLine="280" w:firstLineChars="100"/>
    </w:pPr>
    <w:rPr>
      <w:rFonts w:ascii="Times New Roman" w:hAnsi="Times New Roman" w:eastAsia="仿宋_GB2312"/>
      <w:sz w:val="24"/>
    </w:rPr>
  </w:style>
  <w:style w:type="paragraph" w:customStyle="1" w:styleId="1589">
    <w:name w:val="表项"/>
    <w:basedOn w:val="1"/>
    <w:qFormat/>
    <w:uiPriority w:val="0"/>
    <w:pPr>
      <w:adjustRightInd w:val="0"/>
      <w:spacing w:before="60" w:after="60" w:line="288" w:lineRule="auto"/>
      <w:jc w:val="center"/>
    </w:pPr>
    <w:rPr>
      <w:rFonts w:ascii="Times New Roman" w:hAnsi="Times New Roman" w:eastAsia="楷体"/>
      <w:kern w:val="44"/>
      <w:sz w:val="18"/>
      <w:lang w:val="en-GB"/>
    </w:rPr>
  </w:style>
  <w:style w:type="paragraph" w:customStyle="1" w:styleId="1590">
    <w:name w:val="样式 标题 4 + 华文细黑 非加粗"/>
    <w:basedOn w:val="1"/>
    <w:qFormat/>
    <w:uiPriority w:val="0"/>
    <w:pPr>
      <w:pBdr>
        <w:top w:val="single" w:color="auto" w:sz="6" w:space="1"/>
        <w:left w:val="single" w:color="auto" w:sz="6" w:space="4"/>
        <w:right w:val="single" w:color="auto" w:sz="6" w:space="4"/>
      </w:pBdr>
    </w:pPr>
    <w:rPr>
      <w:rFonts w:ascii="华文细黑" w:hAnsi="华文细黑" w:eastAsia="华文细黑"/>
      <w:b/>
      <w:bCs/>
      <w:szCs w:val="24"/>
    </w:rPr>
  </w:style>
  <w:style w:type="paragraph" w:customStyle="1" w:styleId="1591">
    <w:name w:val="Char5"/>
    <w:basedOn w:val="1"/>
    <w:qFormat/>
    <w:uiPriority w:val="0"/>
    <w:pPr>
      <w:widowControl/>
      <w:spacing w:after="160" w:line="240" w:lineRule="exact"/>
      <w:jc w:val="left"/>
    </w:pPr>
    <w:rPr>
      <w:rFonts w:eastAsia="Times New Roman" w:cs="Verdana"/>
      <w:b/>
      <w:kern w:val="0"/>
      <w:sz w:val="24"/>
      <w:szCs w:val="24"/>
      <w:lang w:eastAsia="en-US"/>
    </w:rPr>
  </w:style>
  <w:style w:type="paragraph" w:customStyle="1" w:styleId="1592">
    <w:name w:val="样式 (中文) 仿宋_GB2312 小四 首行缩进:  0.85 厘米 行距: 1.5 倍行距3"/>
    <w:basedOn w:val="1"/>
    <w:next w:val="8"/>
    <w:qFormat/>
    <w:uiPriority w:val="0"/>
    <w:pPr>
      <w:widowControl/>
      <w:spacing w:line="360" w:lineRule="auto"/>
      <w:ind w:firstLine="480" w:firstLineChars="200"/>
    </w:pPr>
    <w:rPr>
      <w:rFonts w:ascii="Times New Roman" w:hAnsi="Times New Roman" w:eastAsia="仿宋_GB2312" w:cs="宋体"/>
      <w:sz w:val="24"/>
      <w:szCs w:val="24"/>
      <w:lang w:eastAsia="en-US" w:bidi="en-US"/>
    </w:rPr>
  </w:style>
  <w:style w:type="paragraph" w:customStyle="1" w:styleId="1593">
    <w:name w:val="CM6"/>
    <w:basedOn w:val="107"/>
    <w:next w:val="107"/>
    <w:qFormat/>
    <w:uiPriority w:val="0"/>
    <w:pPr>
      <w:spacing w:after="255"/>
    </w:pPr>
    <w:rPr>
      <w:rFonts w:ascii="宋体" w:hAnsi="Times New Roman" w:eastAsia="宋体" w:cs="Times New Roman"/>
      <w:color w:val="auto"/>
    </w:rPr>
  </w:style>
  <w:style w:type="paragraph" w:customStyle="1" w:styleId="1594">
    <w:name w:val="CM19"/>
    <w:basedOn w:val="107"/>
    <w:next w:val="107"/>
    <w:qFormat/>
    <w:uiPriority w:val="0"/>
    <w:pPr>
      <w:spacing w:line="468" w:lineRule="atLeast"/>
    </w:pPr>
    <w:rPr>
      <w:rFonts w:ascii="宋体" w:hAnsi="Times New Roman" w:eastAsia="宋体" w:cs="Times New Roman"/>
      <w:color w:val="auto"/>
    </w:rPr>
  </w:style>
  <w:style w:type="paragraph" w:customStyle="1" w:styleId="1595">
    <w:name w:val="CM15"/>
    <w:basedOn w:val="107"/>
    <w:next w:val="107"/>
    <w:qFormat/>
    <w:uiPriority w:val="0"/>
    <w:pPr>
      <w:spacing w:after="145"/>
    </w:pPr>
    <w:rPr>
      <w:rFonts w:ascii="宋体" w:hAnsi="Times New Roman" w:eastAsia="宋体" w:cs="Times New Roman"/>
      <w:color w:val="auto"/>
    </w:rPr>
  </w:style>
  <w:style w:type="paragraph" w:customStyle="1" w:styleId="1596">
    <w:name w:val="CM123"/>
    <w:basedOn w:val="107"/>
    <w:next w:val="107"/>
    <w:qFormat/>
    <w:uiPriority w:val="0"/>
    <w:pPr>
      <w:spacing w:after="160"/>
    </w:pPr>
    <w:rPr>
      <w:rFonts w:ascii="宋体" w:hAnsi="Times New Roman" w:eastAsia="宋体" w:cs="Times New Roman"/>
      <w:color w:val="auto"/>
    </w:rPr>
  </w:style>
  <w:style w:type="paragraph" w:customStyle="1" w:styleId="1597">
    <w:name w:val="段"/>
    <w:qFormat/>
    <w:uiPriority w:val="0"/>
    <w:pPr>
      <w:autoSpaceDE w:val="0"/>
      <w:autoSpaceDN w:val="0"/>
      <w:spacing w:after="200" w:line="276" w:lineRule="auto"/>
      <w:ind w:firstLine="200" w:firstLineChars="200"/>
      <w:jc w:val="both"/>
    </w:pPr>
    <w:rPr>
      <w:rFonts w:ascii="宋体" w:hAnsi="Calibri" w:eastAsia="宋体" w:cs="Times New Roman"/>
      <w:sz w:val="21"/>
      <w:szCs w:val="22"/>
      <w:lang w:val="en-US" w:eastAsia="zh-CN" w:bidi="ar-SA"/>
    </w:rPr>
  </w:style>
  <w:style w:type="paragraph" w:customStyle="1" w:styleId="1598">
    <w:name w:val="CM12"/>
    <w:basedOn w:val="1"/>
    <w:next w:val="1"/>
    <w:qFormat/>
    <w:uiPriority w:val="0"/>
    <w:pPr>
      <w:autoSpaceDE w:val="0"/>
      <w:autoSpaceDN w:val="0"/>
      <w:adjustRightInd w:val="0"/>
      <w:spacing w:line="480" w:lineRule="atLeast"/>
      <w:jc w:val="left"/>
    </w:pPr>
    <w:rPr>
      <w:rFonts w:ascii="宋体" w:hAnsi="Times New Roman"/>
      <w:kern w:val="0"/>
      <w:sz w:val="24"/>
      <w:szCs w:val="24"/>
    </w:rPr>
  </w:style>
  <w:style w:type="paragraph" w:customStyle="1" w:styleId="1599">
    <w:name w:val="宏福正文-2"/>
    <w:basedOn w:val="85"/>
    <w:qFormat/>
    <w:uiPriority w:val="0"/>
    <w:pPr>
      <w:spacing w:before="240" w:after="0" w:line="400" w:lineRule="atLeast"/>
      <w:ind w:firstLine="567" w:firstLineChars="0"/>
    </w:pPr>
    <w:rPr>
      <w:rFonts w:ascii="Times New Roman" w:hAnsi="Times New Roman" w:eastAsia="宋体" w:cs="Times New Roman"/>
      <w:szCs w:val="20"/>
    </w:rPr>
  </w:style>
  <w:style w:type="paragraph" w:customStyle="1" w:styleId="1600">
    <w:name w:val="wenzi"/>
    <w:basedOn w:val="1"/>
    <w:qFormat/>
    <w:uiPriority w:val="99"/>
    <w:pPr>
      <w:widowControl/>
      <w:spacing w:before="100" w:beforeAutospacing="1" w:after="100" w:afterAutospacing="1" w:line="360" w:lineRule="atLeast"/>
      <w:jc w:val="left"/>
    </w:pPr>
    <w:rPr>
      <w:rFonts w:ascii="宋体" w:hAnsi="宋体"/>
      <w:color w:val="000000"/>
      <w:kern w:val="0"/>
      <w:sz w:val="18"/>
      <w:szCs w:val="18"/>
    </w:rPr>
  </w:style>
  <w:style w:type="paragraph" w:customStyle="1" w:styleId="1601">
    <w:name w:val="Char1"/>
    <w:basedOn w:val="7"/>
    <w:qFormat/>
    <w:uiPriority w:val="0"/>
    <w:pPr>
      <w:keepLines w:val="0"/>
      <w:widowControl/>
      <w:tabs>
        <w:tab w:val="left" w:pos="360"/>
        <w:tab w:val="left" w:pos="900"/>
      </w:tabs>
      <w:snapToGrid w:val="0"/>
      <w:spacing w:before="120" w:after="120" w:line="360" w:lineRule="auto"/>
      <w:ind w:left="542" w:leftChars="-12" w:firstLine="200" w:firstLineChars="200"/>
    </w:pPr>
    <w:rPr>
      <w:rFonts w:ascii="Cambria" w:hAnsi="Cambria" w:eastAsia="黑体" w:cs="Times New Roman"/>
      <w:b w:val="0"/>
      <w:bCs w:val="0"/>
      <w:snapToGrid w:val="0"/>
      <w:sz w:val="24"/>
      <w:szCs w:val="24"/>
      <w:lang w:eastAsia="en-US" w:bidi="en-US"/>
    </w:rPr>
  </w:style>
  <w:style w:type="paragraph" w:customStyle="1" w:styleId="1602">
    <w:name w:val="Body Text 21"/>
    <w:basedOn w:val="1"/>
    <w:qFormat/>
    <w:uiPriority w:val="0"/>
    <w:pPr>
      <w:widowControl/>
      <w:autoSpaceDE w:val="0"/>
      <w:autoSpaceDN w:val="0"/>
      <w:adjustRightInd w:val="0"/>
      <w:spacing w:line="480" w:lineRule="exact"/>
      <w:ind w:firstLine="540" w:firstLineChars="200"/>
      <w:textAlignment w:val="baseline"/>
    </w:pPr>
    <w:rPr>
      <w:rFonts w:ascii="Times New Roman" w:hAnsi="Tms Rmn"/>
      <w:kern w:val="0"/>
      <w:sz w:val="24"/>
      <w:szCs w:val="24"/>
      <w:lang w:eastAsia="en-US" w:bidi="en-US"/>
    </w:rPr>
  </w:style>
  <w:style w:type="paragraph" w:customStyle="1" w:styleId="1603">
    <w:name w:val="表格（5号）"/>
    <w:qFormat/>
    <w:uiPriority w:val="0"/>
    <w:pPr>
      <w:adjustRightInd w:val="0"/>
      <w:snapToGrid w:val="0"/>
      <w:spacing w:after="200" w:line="276" w:lineRule="auto"/>
      <w:jc w:val="center"/>
    </w:pPr>
    <w:rPr>
      <w:rFonts w:ascii="Calibri" w:hAnsi="Calibri" w:eastAsia="仿宋_GB2312" w:cs="Times New Roman"/>
      <w:color w:val="000000"/>
      <w:sz w:val="21"/>
      <w:szCs w:val="22"/>
      <w:lang w:val="en-US" w:eastAsia="zh-CN" w:bidi="ar-SA"/>
    </w:rPr>
  </w:style>
  <w:style w:type="paragraph" w:customStyle="1" w:styleId="1604">
    <w:name w:val="表体"/>
    <w:basedOn w:val="46"/>
    <w:qFormat/>
    <w:uiPriority w:val="0"/>
    <w:pPr>
      <w:widowControl/>
      <w:adjustRightInd w:val="0"/>
      <w:snapToGrid w:val="0"/>
      <w:spacing w:after="0" w:line="240" w:lineRule="atLeast"/>
      <w:ind w:left="-96" w:right="-85" w:firstLine="200" w:firstLineChars="200"/>
      <w:jc w:val="center"/>
      <w:textAlignment w:val="baseline"/>
    </w:pPr>
    <w:rPr>
      <w:rFonts w:ascii="仿宋_GB2312" w:eastAsia="仿宋_GB2312" w:cs="Times New Roman"/>
      <w:spacing w:val="-6"/>
      <w:kern w:val="0"/>
      <w:sz w:val="24"/>
      <w:szCs w:val="24"/>
      <w:lang w:eastAsia="en-US" w:bidi="en-US"/>
    </w:rPr>
  </w:style>
  <w:style w:type="paragraph" w:customStyle="1" w:styleId="1605">
    <w:name w:val="CM133"/>
    <w:basedOn w:val="107"/>
    <w:next w:val="107"/>
    <w:qFormat/>
    <w:uiPriority w:val="0"/>
    <w:pPr>
      <w:spacing w:after="333"/>
    </w:pPr>
    <w:rPr>
      <w:rFonts w:ascii="宋体" w:hAnsi="Times New Roman" w:eastAsia="宋体" w:cs="Times New Roman"/>
      <w:color w:val="auto"/>
    </w:rPr>
  </w:style>
  <w:style w:type="paragraph" w:customStyle="1" w:styleId="1606">
    <w:name w:val="表中"/>
    <w:basedOn w:val="1"/>
    <w:qFormat/>
    <w:uiPriority w:val="99"/>
    <w:pPr>
      <w:spacing w:before="60" w:after="60" w:line="300" w:lineRule="atLeast"/>
      <w:jc w:val="center"/>
    </w:pPr>
    <w:rPr>
      <w:rFonts w:ascii="宋体" w:hAnsi="Times New Roman"/>
      <w:color w:val="000000"/>
      <w:sz w:val="24"/>
    </w:rPr>
  </w:style>
  <w:style w:type="paragraph" w:customStyle="1" w:styleId="1607">
    <w:name w:val="样式 样式 标题 4 + 段前: 7.8 磅 段后: 0 磅 行距: 单倍行距 + 五号"/>
    <w:basedOn w:val="165"/>
    <w:qFormat/>
    <w:uiPriority w:val="0"/>
    <w:pPr>
      <w:numPr>
        <w:numId w:val="0"/>
      </w:numPr>
      <w:tabs>
        <w:tab w:val="left" w:pos="864"/>
        <w:tab w:val="left" w:pos="2240"/>
      </w:tabs>
      <w:spacing w:after="0"/>
      <w:ind w:left="864" w:hanging="864"/>
    </w:pPr>
    <w:rPr>
      <w:iCs/>
      <w:sz w:val="24"/>
    </w:rPr>
  </w:style>
  <w:style w:type="paragraph" w:customStyle="1" w:styleId="160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0"/>
      <w:szCs w:val="24"/>
      <w:lang w:eastAsia="en-US" w:bidi="en-US"/>
    </w:rPr>
  </w:style>
  <w:style w:type="paragraph" w:customStyle="1" w:styleId="160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0"/>
      <w:szCs w:val="24"/>
      <w:lang w:eastAsia="en-US" w:bidi="en-US"/>
    </w:rPr>
  </w:style>
  <w:style w:type="paragraph" w:customStyle="1" w:styleId="1610">
    <w:name w:val="CM11"/>
    <w:basedOn w:val="107"/>
    <w:next w:val="107"/>
    <w:qFormat/>
    <w:uiPriority w:val="0"/>
    <w:pPr>
      <w:spacing w:line="480" w:lineRule="atLeast"/>
    </w:pPr>
    <w:rPr>
      <w:rFonts w:ascii="宋体" w:hAnsi="Times New Roman" w:eastAsia="宋体" w:cs="Times New Roman"/>
      <w:color w:val="auto"/>
    </w:rPr>
  </w:style>
  <w:style w:type="paragraph" w:customStyle="1" w:styleId="1611">
    <w:name w:val="（空格行"/>
    <w:basedOn w:val="1"/>
    <w:qFormat/>
    <w:uiPriority w:val="0"/>
    <w:pPr>
      <w:ind w:firstLine="480" w:firstLineChars="200"/>
    </w:pPr>
    <w:rPr>
      <w:rFonts w:ascii="Times New Roman" w:hAnsi="Times New Roman" w:eastAsia="仿宋_GB2312"/>
      <w:sz w:val="24"/>
      <w:szCs w:val="24"/>
    </w:rPr>
  </w:style>
  <w:style w:type="paragraph" w:customStyle="1" w:styleId="1612">
    <w:name w:val="目录4"/>
    <w:basedOn w:val="1"/>
    <w:qFormat/>
    <w:uiPriority w:val="0"/>
    <w:pPr>
      <w:tabs>
        <w:tab w:val="left" w:leader="dot" w:pos="7370"/>
      </w:tabs>
      <w:spacing w:line="317" w:lineRule="atLeast"/>
      <w:ind w:firstLine="629"/>
    </w:pPr>
    <w:rPr>
      <w:rFonts w:ascii="Times New Roman" w:hAnsi="Times New Roman"/>
      <w:color w:val="000000"/>
      <w:szCs w:val="24"/>
      <w:u w:color="000000"/>
    </w:rPr>
  </w:style>
  <w:style w:type="paragraph" w:customStyle="1" w:styleId="1613">
    <w:name w:val="质报书正文"/>
    <w:basedOn w:val="1"/>
    <w:qFormat/>
    <w:uiPriority w:val="99"/>
    <w:pPr>
      <w:widowControl/>
      <w:spacing w:line="360" w:lineRule="auto"/>
      <w:ind w:firstLine="480" w:firstLineChars="200"/>
    </w:pPr>
    <w:rPr>
      <w:rFonts w:ascii="Times New Roman" w:hAnsi="Times New Roman"/>
      <w:kern w:val="0"/>
      <w:sz w:val="24"/>
      <w:szCs w:val="24"/>
      <w:lang w:eastAsia="en-US" w:bidi="en-US"/>
    </w:rPr>
  </w:style>
  <w:style w:type="paragraph" w:customStyle="1" w:styleId="1614">
    <w:name w:val="图框文字"/>
    <w:basedOn w:val="1"/>
    <w:qFormat/>
    <w:uiPriority w:val="0"/>
    <w:pPr>
      <w:jc w:val="center"/>
    </w:pPr>
    <w:rPr>
      <w:szCs w:val="24"/>
    </w:rPr>
  </w:style>
  <w:style w:type="paragraph" w:customStyle="1" w:styleId="1615">
    <w:name w:val="p15"/>
    <w:basedOn w:val="1"/>
    <w:qFormat/>
    <w:uiPriority w:val="0"/>
    <w:pPr>
      <w:widowControl/>
      <w:snapToGrid w:val="0"/>
      <w:spacing w:line="288" w:lineRule="auto"/>
      <w:ind w:firstLine="420"/>
      <w:textAlignment w:val="baseline"/>
    </w:pPr>
    <w:rPr>
      <w:rFonts w:ascii="宋体" w:hAnsi="宋体"/>
      <w:kern w:val="0"/>
      <w:sz w:val="28"/>
    </w:rPr>
  </w:style>
  <w:style w:type="paragraph" w:customStyle="1" w:styleId="1616">
    <w:name w:val="列表1"/>
    <w:basedOn w:val="1"/>
    <w:next w:val="22"/>
    <w:qFormat/>
    <w:uiPriority w:val="0"/>
    <w:pPr>
      <w:widowControl/>
      <w:spacing w:before="60" w:line="240" w:lineRule="exact"/>
      <w:ind w:firstLine="200" w:firstLineChars="200"/>
      <w:jc w:val="center"/>
    </w:pPr>
    <w:rPr>
      <w:rFonts w:ascii="Times New Roman" w:hAnsi="Times New Roman"/>
      <w:sz w:val="24"/>
      <w:szCs w:val="24"/>
      <w:lang w:eastAsia="en-US" w:bidi="en-US"/>
    </w:rPr>
  </w:style>
  <w:style w:type="paragraph" w:customStyle="1" w:styleId="1617">
    <w:name w:val="[No paragraph style]"/>
    <w:qFormat/>
    <w:uiPriority w:val="0"/>
    <w:pPr>
      <w:widowControl w:val="0"/>
      <w:autoSpaceDE w:val="0"/>
      <w:autoSpaceDN w:val="0"/>
      <w:adjustRightInd w:val="0"/>
      <w:spacing w:line="420" w:lineRule="auto"/>
      <w:jc w:val="both"/>
      <w:textAlignment w:val="center"/>
    </w:pPr>
    <w:rPr>
      <w:rFonts w:ascii="宋体" w:hAnsi="Times New Roman" w:eastAsia="宋体" w:cs="Times New Roman"/>
      <w:color w:val="000000"/>
      <w:sz w:val="18"/>
      <w:lang w:val="en-US" w:eastAsia="zh-CN" w:bidi="ar-SA"/>
    </w:rPr>
  </w:style>
  <w:style w:type="paragraph" w:customStyle="1" w:styleId="1618">
    <w:name w:val="表格03"/>
    <w:basedOn w:val="1"/>
    <w:qFormat/>
    <w:uiPriority w:val="0"/>
    <w:pPr>
      <w:widowControl/>
      <w:spacing w:line="400" w:lineRule="exact"/>
      <w:ind w:firstLine="200" w:firstLineChars="200"/>
      <w:jc w:val="center"/>
    </w:pPr>
    <w:rPr>
      <w:rFonts w:ascii="Times New Roman" w:hAnsi="Times New Roman"/>
      <w:sz w:val="24"/>
      <w:szCs w:val="24"/>
      <w:lang w:eastAsia="en-US" w:bidi="en-US"/>
    </w:rPr>
  </w:style>
  <w:style w:type="paragraph" w:customStyle="1" w:styleId="1619">
    <w:name w:val="gb1"/>
    <w:basedOn w:val="1"/>
    <w:qFormat/>
    <w:uiPriority w:val="0"/>
    <w:pPr>
      <w:widowControl/>
      <w:tabs>
        <w:tab w:val="left" w:pos="227"/>
      </w:tabs>
      <w:overflowPunct w:val="0"/>
      <w:autoSpaceDE w:val="0"/>
      <w:autoSpaceDN w:val="0"/>
      <w:adjustRightInd w:val="0"/>
      <w:spacing w:before="120" w:after="120"/>
    </w:pPr>
    <w:rPr>
      <w:rFonts w:eastAsia="仿宋体"/>
      <w:kern w:val="0"/>
    </w:rPr>
  </w:style>
  <w:style w:type="paragraph" w:customStyle="1" w:styleId="1620">
    <w:name w:val="样式 四号 首行缩进:  2 字符"/>
    <w:basedOn w:val="1"/>
    <w:qFormat/>
    <w:uiPriority w:val="0"/>
    <w:pPr>
      <w:widowControl/>
      <w:spacing w:line="480" w:lineRule="atLeast"/>
      <w:ind w:firstLine="200" w:firstLineChars="200"/>
    </w:pPr>
    <w:rPr>
      <w:rFonts w:ascii="Times New Roman" w:hAnsi="Times New Roman"/>
      <w:sz w:val="24"/>
      <w:szCs w:val="24"/>
      <w:lang w:eastAsia="en-US" w:bidi="en-US"/>
    </w:rPr>
  </w:style>
  <w:style w:type="paragraph" w:customStyle="1" w:styleId="1621">
    <w:name w:val="正文样式"/>
    <w:qFormat/>
    <w:uiPriority w:val="0"/>
    <w:pPr>
      <w:tabs>
        <w:tab w:val="left" w:pos="630"/>
        <w:tab w:val="left" w:pos="1260"/>
      </w:tabs>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paragraph" w:customStyle="1" w:styleId="1622">
    <w:name w:val="表格表头"/>
    <w:basedOn w:val="46"/>
    <w:qFormat/>
    <w:uiPriority w:val="99"/>
    <w:pPr>
      <w:adjustRightInd w:val="0"/>
      <w:spacing w:after="0" w:line="312" w:lineRule="atLeast"/>
      <w:ind w:firstLine="0"/>
      <w:jc w:val="center"/>
    </w:pPr>
    <w:rPr>
      <w:rFonts w:hint="eastAsia" w:eastAsia="宋体" w:cs="Times New Roman"/>
      <w:b/>
      <w:kern w:val="0"/>
      <w:sz w:val="28"/>
    </w:rPr>
  </w:style>
  <w:style w:type="paragraph" w:customStyle="1" w:styleId="1623">
    <w:name w:val="CM13"/>
    <w:basedOn w:val="107"/>
    <w:next w:val="107"/>
    <w:qFormat/>
    <w:uiPriority w:val="0"/>
    <w:pPr>
      <w:spacing w:after="168"/>
    </w:pPr>
    <w:rPr>
      <w:rFonts w:ascii="宋体" w:hAnsi="Times New Roman" w:eastAsia="宋体" w:cs="Times New Roman"/>
      <w:color w:val="auto"/>
    </w:rPr>
  </w:style>
  <w:style w:type="paragraph" w:customStyle="1" w:styleId="1624">
    <w:name w:val="样式 样式 正文 + 首行缩进:  2 字符 段前: 0.5 行1 + 首行缩进:  2 字符"/>
    <w:basedOn w:val="1"/>
    <w:qFormat/>
    <w:uiPriority w:val="0"/>
    <w:pPr>
      <w:widowControl/>
      <w:snapToGrid w:val="0"/>
      <w:spacing w:beforeLines="50" w:line="360" w:lineRule="exact"/>
      <w:ind w:firstLine="420" w:firstLineChars="200"/>
    </w:pPr>
    <w:rPr>
      <w:rFonts w:ascii="Times New Roman" w:hAnsi="Times New Roman" w:cs="宋体"/>
      <w:kern w:val="21"/>
      <w:sz w:val="24"/>
      <w:szCs w:val="21"/>
      <w:lang w:eastAsia="en-US" w:bidi="en-US"/>
    </w:rPr>
  </w:style>
  <w:style w:type="paragraph" w:customStyle="1" w:styleId="1625">
    <w:name w:val="3盐田"/>
    <w:qFormat/>
    <w:uiPriority w:val="0"/>
    <w:pPr>
      <w:tabs>
        <w:tab w:val="left" w:pos="720"/>
      </w:tabs>
      <w:spacing w:before="156" w:line="400" w:lineRule="exact"/>
      <w:ind w:left="720" w:hanging="360"/>
      <w:outlineLvl w:val="2"/>
    </w:pPr>
    <w:rPr>
      <w:rFonts w:ascii="Times New Roman" w:hAnsi="Times New Roman" w:eastAsia="黑体" w:cs="宋体"/>
      <w:b/>
      <w:bCs/>
      <w:snapToGrid w:val="0"/>
      <w:kern w:val="2"/>
      <w:sz w:val="28"/>
      <w:lang w:val="en-US" w:eastAsia="zh-CN" w:bidi="ar-SA"/>
    </w:rPr>
  </w:style>
  <w:style w:type="paragraph" w:customStyle="1" w:styleId="1626">
    <w:name w:val="表1"/>
    <w:basedOn w:val="1"/>
    <w:qFormat/>
    <w:uiPriority w:val="0"/>
    <w:pPr>
      <w:adjustRightInd w:val="0"/>
      <w:spacing w:line="0" w:lineRule="atLeast"/>
      <w:jc w:val="center"/>
    </w:pPr>
    <w:rPr>
      <w:rFonts w:ascii="Times New Roman" w:hAnsi="Times New Roman"/>
      <w:kern w:val="0"/>
      <w:sz w:val="28"/>
    </w:rPr>
  </w:style>
  <w:style w:type="paragraph" w:customStyle="1" w:styleId="1627">
    <w:name w:val="_Style 12"/>
    <w:basedOn w:val="1"/>
    <w:qFormat/>
    <w:uiPriority w:val="0"/>
    <w:pPr>
      <w:widowControl/>
      <w:spacing w:line="360" w:lineRule="auto"/>
      <w:ind w:firstLine="200" w:firstLineChars="200"/>
    </w:pPr>
    <w:rPr>
      <w:rFonts w:ascii="Times New Roman" w:hAnsi="Times New Roman"/>
      <w:sz w:val="24"/>
      <w:szCs w:val="24"/>
      <w:lang w:eastAsia="en-US" w:bidi="en-US"/>
    </w:rPr>
  </w:style>
  <w:style w:type="paragraph" w:customStyle="1" w:styleId="1628">
    <w:name w:val="鲍二级标题 Char"/>
    <w:basedOn w:val="1"/>
    <w:next w:val="1"/>
    <w:qFormat/>
    <w:uiPriority w:val="0"/>
    <w:pPr>
      <w:widowControl/>
      <w:tabs>
        <w:tab w:val="left" w:pos="420"/>
      </w:tabs>
      <w:spacing w:line="360" w:lineRule="auto"/>
      <w:ind w:left="420" w:hanging="420" w:firstLineChars="200"/>
    </w:pPr>
    <w:rPr>
      <w:rFonts w:ascii="Times New Roman" w:hAnsi="Times New Roman" w:eastAsia="仿宋_GB2312"/>
      <w:b/>
      <w:kern w:val="28"/>
      <w:sz w:val="30"/>
      <w:szCs w:val="32"/>
      <w:lang w:eastAsia="en-US" w:bidi="en-US"/>
    </w:rPr>
  </w:style>
  <w:style w:type="paragraph" w:customStyle="1" w:styleId="1629">
    <w:name w:val="标题3+3"/>
    <w:basedOn w:val="1"/>
    <w:qFormat/>
    <w:uiPriority w:val="0"/>
    <w:pPr>
      <w:widowControl/>
      <w:spacing w:after="160" w:line="240" w:lineRule="exact"/>
      <w:jc w:val="left"/>
    </w:pPr>
    <w:rPr>
      <w:rFonts w:ascii="Verdana" w:hAnsi="Verdana"/>
      <w:kern w:val="0"/>
      <w:sz w:val="28"/>
      <w:lang w:eastAsia="en-US"/>
    </w:rPr>
  </w:style>
  <w:style w:type="paragraph" w:customStyle="1" w:styleId="1630">
    <w:name w:val="表体1"/>
    <w:basedOn w:val="1604"/>
    <w:qFormat/>
    <w:uiPriority w:val="99"/>
    <w:pPr>
      <w:widowControl w:val="0"/>
      <w:ind w:firstLine="0" w:firstLineChars="0"/>
      <w:textAlignment w:val="auto"/>
    </w:pPr>
    <w:rPr>
      <w:rFonts w:hint="eastAsia"/>
      <w:w w:val="90"/>
      <w:szCs w:val="20"/>
      <w:lang w:eastAsia="zh-CN" w:bidi="ar-SA"/>
    </w:rPr>
  </w:style>
  <w:style w:type="paragraph" w:customStyle="1" w:styleId="1631">
    <w:name w:val="三级条标题"/>
    <w:basedOn w:val="1632"/>
    <w:next w:val="1"/>
    <w:qFormat/>
    <w:uiPriority w:val="0"/>
    <w:pPr>
      <w:tabs>
        <w:tab w:val="left" w:pos="360"/>
      </w:tabs>
      <w:outlineLvl w:val="4"/>
    </w:pPr>
  </w:style>
  <w:style w:type="paragraph" w:customStyle="1" w:styleId="1632">
    <w:name w:val="二级条标题"/>
    <w:basedOn w:val="1633"/>
    <w:next w:val="1"/>
    <w:qFormat/>
    <w:uiPriority w:val="0"/>
    <w:pPr>
      <w:tabs>
        <w:tab w:val="left" w:pos="360"/>
      </w:tabs>
      <w:outlineLvl w:val="3"/>
    </w:pPr>
  </w:style>
  <w:style w:type="paragraph" w:customStyle="1" w:styleId="1633">
    <w:name w:val="一级条标题"/>
    <w:basedOn w:val="5"/>
    <w:next w:val="1"/>
    <w:qFormat/>
    <w:uiPriority w:val="0"/>
    <w:pPr>
      <w:keepNext w:val="0"/>
      <w:keepLines w:val="0"/>
      <w:widowControl/>
      <w:tabs>
        <w:tab w:val="left" w:pos="360"/>
      </w:tabs>
      <w:spacing w:before="0" w:after="0" w:line="240" w:lineRule="auto"/>
      <w:outlineLvl w:val="2"/>
    </w:pPr>
    <w:rPr>
      <w:rFonts w:ascii="黑体" w:hAnsi="Times New Roman" w:eastAsia="黑体" w:cs="Times New Roman"/>
      <w:b w:val="0"/>
      <w:bCs w:val="0"/>
      <w:kern w:val="0"/>
      <w:sz w:val="21"/>
      <w:szCs w:val="20"/>
    </w:rPr>
  </w:style>
  <w:style w:type="paragraph" w:customStyle="1" w:styleId="1634">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1635">
    <w:name w:val="正文中对齐"/>
    <w:basedOn w:val="1"/>
    <w:qFormat/>
    <w:uiPriority w:val="0"/>
    <w:pPr>
      <w:snapToGrid w:val="0"/>
      <w:spacing w:before="60" w:after="60" w:line="60" w:lineRule="atLeast"/>
      <w:jc w:val="center"/>
    </w:pPr>
    <w:rPr>
      <w:rFonts w:ascii="Times New Roman" w:hAnsi="Times New Roman"/>
      <w:sz w:val="24"/>
    </w:rPr>
  </w:style>
  <w:style w:type="paragraph" w:customStyle="1" w:styleId="1636">
    <w:name w:val="14"/>
    <w:basedOn w:val="1"/>
    <w:next w:val="69"/>
    <w:qFormat/>
    <w:uiPriority w:val="99"/>
    <w:pPr>
      <w:spacing w:line="400" w:lineRule="exact"/>
      <w:ind w:firstLine="567"/>
    </w:pPr>
    <w:rPr>
      <w:rFonts w:ascii="宋体" w:hAnsi="Times New Roman"/>
      <w:sz w:val="28"/>
    </w:rPr>
  </w:style>
  <w:style w:type="paragraph" w:customStyle="1" w:styleId="1637">
    <w:name w:val="插表头"/>
    <w:basedOn w:val="1"/>
    <w:qFormat/>
    <w:uiPriority w:val="0"/>
    <w:pPr>
      <w:widowControl/>
      <w:spacing w:beforeLines="50" w:line="360" w:lineRule="exact"/>
      <w:ind w:firstLine="200" w:firstLineChars="200"/>
    </w:pPr>
    <w:rPr>
      <w:rFonts w:ascii="Times New Roman" w:hAnsi="Times New Roman" w:cs="宋体"/>
      <w:b/>
      <w:sz w:val="24"/>
      <w:szCs w:val="21"/>
      <w:lang w:eastAsia="en-US" w:bidi="en-US"/>
    </w:rPr>
  </w:style>
  <w:style w:type="paragraph" w:customStyle="1" w:styleId="1638">
    <w:name w:val="样式 标题 4款标题1.1.1段款标题1.1.1.1四四级标题Heading4Subsection4 dash...10"/>
    <w:basedOn w:val="8"/>
    <w:qFormat/>
    <w:uiPriority w:val="99"/>
    <w:pPr>
      <w:keepNext w:val="0"/>
      <w:keepLines w:val="0"/>
      <w:tabs>
        <w:tab w:val="left" w:pos="720"/>
        <w:tab w:val="left" w:pos="850"/>
      </w:tabs>
      <w:spacing w:beforeLines="50" w:after="0" w:line="240" w:lineRule="auto"/>
      <w:ind w:left="720" w:hanging="720"/>
    </w:pPr>
    <w:rPr>
      <w:rFonts w:ascii="Times New Roman" w:hAnsi="Times New Roman" w:eastAsia="宋体" w:cs="Times New Roman"/>
      <w:sz w:val="24"/>
      <w:szCs w:val="24"/>
    </w:rPr>
  </w:style>
  <w:style w:type="paragraph" w:customStyle="1" w:styleId="1639">
    <w:name w:val="CM3"/>
    <w:basedOn w:val="107"/>
    <w:next w:val="107"/>
    <w:qFormat/>
    <w:uiPriority w:val="0"/>
    <w:pPr>
      <w:spacing w:line="480" w:lineRule="atLeast"/>
    </w:pPr>
    <w:rPr>
      <w:rFonts w:ascii="宋体" w:hAnsi="Times New Roman" w:eastAsia="宋体" w:cs="Times New Roman"/>
      <w:color w:val="auto"/>
    </w:rPr>
  </w:style>
  <w:style w:type="paragraph" w:customStyle="1" w:styleId="1640">
    <w:name w:val="正文1-1"/>
    <w:basedOn w:val="1"/>
    <w:next w:val="1"/>
    <w:qFormat/>
    <w:uiPriority w:val="0"/>
    <w:pPr>
      <w:widowControl/>
      <w:adjustRightInd w:val="0"/>
      <w:snapToGrid w:val="0"/>
      <w:spacing w:line="360" w:lineRule="auto"/>
      <w:ind w:firstLine="200" w:firstLineChars="200"/>
      <w:jc w:val="left"/>
    </w:pPr>
    <w:rPr>
      <w:rFonts w:ascii="Times New Roman" w:hAnsi="Times New Roman" w:cs="宋体"/>
      <w:kern w:val="0"/>
      <w:sz w:val="24"/>
      <w:szCs w:val="24"/>
    </w:rPr>
  </w:style>
  <w:style w:type="paragraph" w:customStyle="1" w:styleId="1641">
    <w:name w:val="xl38"/>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0"/>
      <w:szCs w:val="24"/>
      <w:lang w:eastAsia="en-US" w:bidi="en-US"/>
    </w:rPr>
  </w:style>
  <w:style w:type="paragraph" w:customStyle="1" w:styleId="1642">
    <w:name w:val="Char41"/>
    <w:basedOn w:val="1"/>
    <w:qFormat/>
    <w:uiPriority w:val="0"/>
    <w:pPr>
      <w:widowControl/>
      <w:spacing w:line="360" w:lineRule="auto"/>
      <w:ind w:firstLine="200" w:firstLineChars="200"/>
    </w:pPr>
    <w:rPr>
      <w:rFonts w:ascii="Times New Roman" w:hAnsi="Times New Roman" w:cs="宋体"/>
      <w:sz w:val="24"/>
      <w:szCs w:val="24"/>
      <w:lang w:eastAsia="en-US" w:bidi="en-US"/>
    </w:rPr>
  </w:style>
  <w:style w:type="paragraph" w:customStyle="1" w:styleId="1643">
    <w:name w:val="表内容"/>
    <w:basedOn w:val="1"/>
    <w:qFormat/>
    <w:uiPriority w:val="0"/>
    <w:pPr>
      <w:ind w:firstLine="105"/>
      <w:jc w:val="center"/>
    </w:pPr>
    <w:rPr>
      <w:rFonts w:ascii="Times New Roman" w:hAnsi="Times New Roman" w:eastAsia="楷体_GB2312"/>
      <w:spacing w:val="-18"/>
      <w:sz w:val="18"/>
      <w:szCs w:val="21"/>
    </w:rPr>
  </w:style>
  <w:style w:type="paragraph" w:customStyle="1" w:styleId="1644">
    <w:name w:val="ls15"/>
    <w:basedOn w:val="1"/>
    <w:qFormat/>
    <w:uiPriority w:val="99"/>
    <w:pPr>
      <w:widowControl/>
      <w:spacing w:before="100" w:beforeAutospacing="1" w:after="100" w:afterAutospacing="1" w:line="360" w:lineRule="auto"/>
      <w:jc w:val="left"/>
    </w:pPr>
    <w:rPr>
      <w:rFonts w:ascii="Arial Unicode MS" w:hAnsi="Arial Unicode MS" w:eastAsia="Arial Unicode MS" w:cs="Arial Unicode MS"/>
      <w:color w:val="000000"/>
      <w:kern w:val="0"/>
      <w:sz w:val="18"/>
      <w:szCs w:val="18"/>
    </w:rPr>
  </w:style>
  <w:style w:type="paragraph" w:customStyle="1" w:styleId="1645">
    <w:name w:val="内部地址"/>
    <w:basedOn w:val="1"/>
    <w:qFormat/>
    <w:uiPriority w:val="0"/>
    <w:rPr>
      <w:rFonts w:ascii="Roman PS" w:hAnsi="Roman PS"/>
    </w:rPr>
  </w:style>
  <w:style w:type="paragraph" w:customStyle="1" w:styleId="1646">
    <w:name w:val="涪陵表格"/>
    <w:basedOn w:val="22"/>
    <w:qFormat/>
    <w:uiPriority w:val="99"/>
    <w:pPr>
      <w:spacing w:line="360" w:lineRule="auto"/>
      <w:ind w:left="0" w:firstLine="0"/>
      <w:jc w:val="center"/>
    </w:pPr>
    <w:rPr>
      <w:rFonts w:ascii="宋体" w:cs="Times New Roman"/>
      <w:position w:val="-3"/>
      <w:sz w:val="24"/>
    </w:rPr>
  </w:style>
  <w:style w:type="paragraph" w:customStyle="1" w:styleId="1647">
    <w:name w:val="样式 四号 行距: 固定值 25 磅"/>
    <w:basedOn w:val="1"/>
    <w:qFormat/>
    <w:uiPriority w:val="0"/>
    <w:pPr>
      <w:spacing w:line="480" w:lineRule="atLeast"/>
      <w:ind w:firstLine="200" w:firstLineChars="200"/>
    </w:pPr>
    <w:rPr>
      <w:rFonts w:ascii="Times New Roman" w:hAnsi="Times New Roman"/>
      <w:sz w:val="24"/>
      <w:szCs w:val="24"/>
    </w:rPr>
  </w:style>
  <w:style w:type="paragraph" w:customStyle="1" w:styleId="1648">
    <w:name w:val="正文m"/>
    <w:basedOn w:val="1"/>
    <w:qFormat/>
    <w:uiPriority w:val="99"/>
    <w:pPr>
      <w:spacing w:beforeLines="50" w:line="500" w:lineRule="exact"/>
      <w:ind w:firstLine="510"/>
    </w:pPr>
    <w:rPr>
      <w:rFonts w:ascii="Times New Roman" w:hAnsi="Times New Roman"/>
      <w:sz w:val="24"/>
    </w:rPr>
  </w:style>
  <w:style w:type="paragraph" w:customStyle="1" w:styleId="1649">
    <w:name w:val="默认段落字体 Para Char Char Char Char"/>
    <w:basedOn w:val="1"/>
    <w:qFormat/>
    <w:uiPriority w:val="0"/>
    <w:pPr>
      <w:widowControl/>
      <w:spacing w:line="360" w:lineRule="auto"/>
      <w:ind w:firstLine="200" w:firstLineChars="200"/>
    </w:pPr>
    <w:rPr>
      <w:rFonts w:ascii="Times New Roman" w:hAnsi="Times New Roman"/>
      <w:sz w:val="24"/>
      <w:szCs w:val="24"/>
      <w:lang w:eastAsia="en-US" w:bidi="en-US"/>
    </w:rPr>
  </w:style>
  <w:style w:type="paragraph" w:customStyle="1" w:styleId="1650">
    <w:name w:val="Char Char Char1 Char Char Char Char Char Char Char"/>
    <w:basedOn w:val="1"/>
    <w:qFormat/>
    <w:uiPriority w:val="0"/>
    <w:rPr>
      <w:rFonts w:ascii="Tahoma" w:hAnsi="Tahoma"/>
      <w:sz w:val="24"/>
    </w:rPr>
  </w:style>
  <w:style w:type="paragraph" w:customStyle="1" w:styleId="1651">
    <w:name w:val="样式 标题 1 + 段后: 1 行"/>
    <w:basedOn w:val="5"/>
    <w:qFormat/>
    <w:uiPriority w:val="0"/>
    <w:pPr>
      <w:spacing w:before="0" w:after="312" w:line="360" w:lineRule="auto"/>
    </w:pPr>
    <w:rPr>
      <w:rFonts w:ascii="黑体" w:hAnsi="宋体" w:eastAsia="黑体" w:cs="Times New Roman"/>
      <w:sz w:val="32"/>
      <w:szCs w:val="20"/>
      <w:lang w:eastAsia="en-US" w:bidi="en-US"/>
    </w:rPr>
  </w:style>
  <w:style w:type="paragraph" w:customStyle="1" w:styleId="1652">
    <w:name w:val="Char1 Char Char Char"/>
    <w:basedOn w:val="1"/>
    <w:qFormat/>
    <w:uiPriority w:val="0"/>
    <w:pPr>
      <w:spacing w:afterLines="50" w:line="560" w:lineRule="exact"/>
    </w:pPr>
    <w:rPr>
      <w:rFonts w:ascii="Calibri" w:hAnsi="Calibri"/>
      <w:szCs w:val="22"/>
    </w:rPr>
  </w:style>
  <w:style w:type="paragraph" w:customStyle="1" w:styleId="1653">
    <w:name w:val="公式样式1"/>
    <w:basedOn w:val="1"/>
    <w:qFormat/>
    <w:uiPriority w:val="0"/>
    <w:pPr>
      <w:widowControl/>
      <w:spacing w:line="360" w:lineRule="auto"/>
      <w:ind w:firstLine="200" w:firstLineChars="200"/>
      <w:jc w:val="center"/>
    </w:pPr>
    <w:rPr>
      <w:rFonts w:ascii="Times New Roman" w:hAnsi="Times New Roman"/>
      <w:color w:val="FF0000"/>
      <w:sz w:val="24"/>
      <w:szCs w:val="24"/>
      <w:lang w:eastAsia="en-US" w:bidi="en-US"/>
    </w:rPr>
  </w:style>
  <w:style w:type="paragraph" w:customStyle="1" w:styleId="1654">
    <w:name w:val="样式 正文文本 + 仿宋_GB2312"/>
    <w:basedOn w:val="2"/>
    <w:qFormat/>
    <w:uiPriority w:val="0"/>
    <w:pPr>
      <w:spacing w:after="0" w:line="360" w:lineRule="auto"/>
    </w:pPr>
    <w:rPr>
      <w:rFonts w:ascii="Arial" w:hAnsi="Arial" w:eastAsia="仿宋_GB2312" w:cs="Times New Roman"/>
      <w:sz w:val="28"/>
      <w:szCs w:val="28"/>
    </w:rPr>
  </w:style>
  <w:style w:type="paragraph" w:customStyle="1" w:styleId="1655">
    <w:name w:val="默认段落字体 Para Char"/>
    <w:basedOn w:val="1"/>
    <w:next w:val="1"/>
    <w:qFormat/>
    <w:uiPriority w:val="0"/>
    <w:pPr>
      <w:widowControl/>
      <w:spacing w:line="360" w:lineRule="auto"/>
      <w:ind w:firstLine="200" w:firstLineChars="200"/>
    </w:pPr>
    <w:rPr>
      <w:rFonts w:ascii="Times New Roman" w:hAnsi="Times New Roman" w:cs="宋体"/>
      <w:sz w:val="24"/>
      <w:szCs w:val="24"/>
      <w:lang w:eastAsia="en-US" w:bidi="en-US"/>
    </w:rPr>
  </w:style>
  <w:style w:type="paragraph" w:customStyle="1" w:styleId="1656">
    <w:name w:val="样式a1"/>
    <w:basedOn w:val="1"/>
    <w:qFormat/>
    <w:uiPriority w:val="0"/>
    <w:pPr>
      <w:widowControl/>
      <w:spacing w:line="336" w:lineRule="auto"/>
      <w:ind w:firstLine="200" w:firstLineChars="200"/>
    </w:pPr>
    <w:rPr>
      <w:rFonts w:ascii="楷体_GB2312" w:hAnsi="Times New Roman" w:eastAsia="楷体_GB2312"/>
      <w:sz w:val="32"/>
      <w:szCs w:val="24"/>
      <w:lang w:eastAsia="en-US" w:bidi="en-US"/>
    </w:rPr>
  </w:style>
  <w:style w:type="paragraph" w:customStyle="1" w:styleId="1657">
    <w:name w:val="表格(另)"/>
    <w:basedOn w:val="174"/>
    <w:next w:val="1"/>
    <w:qFormat/>
    <w:uiPriority w:val="99"/>
    <w:pPr>
      <w:adjustRightInd/>
      <w:snapToGrid/>
      <w:spacing w:line="320" w:lineRule="exact"/>
      <w:ind w:left="-20" w:leftChars="-20" w:right="-20" w:rightChars="-20"/>
      <w:textAlignment w:val="auto"/>
    </w:pPr>
    <w:rPr>
      <w:rFonts w:hint="eastAsia" w:eastAsia="Arial"/>
      <w:snapToGrid/>
      <w:kern w:val="2"/>
      <w:sz w:val="21"/>
      <w:szCs w:val="21"/>
    </w:rPr>
  </w:style>
  <w:style w:type="paragraph" w:customStyle="1" w:styleId="1658">
    <w:name w:val="正文文字缩进"/>
    <w:basedOn w:val="1"/>
    <w:next w:val="1"/>
    <w:qFormat/>
    <w:uiPriority w:val="0"/>
    <w:pPr>
      <w:widowControl/>
      <w:autoSpaceDE w:val="0"/>
      <w:autoSpaceDN w:val="0"/>
      <w:adjustRightInd w:val="0"/>
      <w:spacing w:line="360" w:lineRule="auto"/>
      <w:ind w:firstLine="200" w:firstLineChars="200"/>
    </w:pPr>
    <w:rPr>
      <w:rFonts w:ascii="Times New Roman" w:hAnsi="Times New Roman"/>
      <w:kern w:val="0"/>
      <w:sz w:val="24"/>
      <w:szCs w:val="24"/>
      <w:lang w:eastAsia="en-US" w:bidi="en-US"/>
    </w:rPr>
  </w:style>
  <w:style w:type="paragraph" w:customStyle="1" w:styleId="1659">
    <w:name w:val="玮标题3 Char Char Char Char Char Char"/>
    <w:basedOn w:val="1"/>
    <w:next w:val="1"/>
    <w:qFormat/>
    <w:uiPriority w:val="0"/>
    <w:pPr>
      <w:keepNext/>
      <w:keepLines/>
      <w:widowControl/>
      <w:adjustRightInd w:val="0"/>
      <w:spacing w:beforeLines="50" w:afterLines="50" w:line="360" w:lineRule="auto"/>
      <w:ind w:firstLine="200" w:firstLineChars="200"/>
    </w:pPr>
    <w:rPr>
      <w:rFonts w:ascii="Times New Roman" w:hAnsi="Times New Roman"/>
      <w:b/>
      <w:bCs/>
      <w:sz w:val="24"/>
      <w:szCs w:val="24"/>
      <w:lang w:eastAsia="en-US" w:bidi="en-US"/>
    </w:rPr>
  </w:style>
  <w:style w:type="paragraph" w:customStyle="1" w:styleId="1660">
    <w:name w:val="编号1"/>
    <w:basedOn w:val="1"/>
    <w:qFormat/>
    <w:uiPriority w:val="0"/>
    <w:pPr>
      <w:widowControl/>
      <w:tabs>
        <w:tab w:val="left" w:pos="360"/>
        <w:tab w:val="left" w:pos="1230"/>
      </w:tabs>
      <w:spacing w:line="360" w:lineRule="auto"/>
      <w:ind w:left="1230" w:hanging="720" w:firstLineChars="200"/>
    </w:pPr>
    <w:rPr>
      <w:rFonts w:ascii="Times New Roman" w:hAnsi="Times New Roman"/>
      <w:sz w:val="24"/>
      <w:szCs w:val="24"/>
      <w:lang w:eastAsia="en-US" w:bidi="en-US"/>
    </w:rPr>
  </w:style>
  <w:style w:type="paragraph" w:customStyle="1" w:styleId="166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1662">
    <w:name w:val="表"/>
    <w:basedOn w:val="1"/>
    <w:qFormat/>
    <w:uiPriority w:val="0"/>
    <w:pPr>
      <w:widowControl/>
      <w:snapToGrid w:val="0"/>
      <w:spacing w:line="360" w:lineRule="auto"/>
      <w:ind w:firstLine="200" w:firstLineChars="200"/>
      <w:jc w:val="center"/>
    </w:pPr>
    <w:rPr>
      <w:rFonts w:ascii="Times New Roman" w:hAnsi="Times New Roman"/>
      <w:spacing w:val="2"/>
      <w:sz w:val="24"/>
      <w:szCs w:val="24"/>
      <w:lang w:eastAsia="en-US" w:bidi="en-US"/>
    </w:rPr>
  </w:style>
  <w:style w:type="paragraph" w:customStyle="1" w:styleId="1663">
    <w:name w:val="样式 正文 + 首行缩进:  2 字符 段前: 0.5 行"/>
    <w:basedOn w:val="1"/>
    <w:qFormat/>
    <w:uiPriority w:val="0"/>
    <w:pPr>
      <w:widowControl/>
      <w:snapToGrid w:val="0"/>
      <w:spacing w:beforeLines="50" w:line="360" w:lineRule="exact"/>
      <w:ind w:firstLine="420" w:firstLineChars="200"/>
    </w:pPr>
    <w:rPr>
      <w:rFonts w:ascii="Times New Roman" w:hAnsi="Times New Roman" w:cs="宋体"/>
      <w:kern w:val="21"/>
      <w:sz w:val="24"/>
      <w:szCs w:val="21"/>
      <w:lang w:eastAsia="en-US" w:bidi="en-US"/>
    </w:rPr>
  </w:style>
  <w:style w:type="paragraph" w:customStyle="1" w:styleId="1664">
    <w:name w:val="纯文本11"/>
    <w:basedOn w:val="1"/>
    <w:qFormat/>
    <w:uiPriority w:val="0"/>
    <w:pPr>
      <w:widowControl/>
      <w:adjustRightInd w:val="0"/>
      <w:spacing w:line="360" w:lineRule="auto"/>
      <w:ind w:firstLine="200" w:firstLineChars="200"/>
      <w:textAlignment w:val="baseline"/>
    </w:pPr>
    <w:rPr>
      <w:rFonts w:ascii="Times New Roman" w:hAnsi="Courier New" w:eastAsia="仿宋_GB2312"/>
      <w:sz w:val="28"/>
      <w:szCs w:val="24"/>
      <w:lang w:eastAsia="en-US" w:bidi="en-US"/>
    </w:rPr>
  </w:style>
  <w:style w:type="paragraph" w:customStyle="1" w:styleId="1665">
    <w:name w:val="xl22"/>
    <w:basedOn w:val="1"/>
    <w:qFormat/>
    <w:uiPriority w:val="0"/>
    <w:pPr>
      <w:widowControl/>
      <w:spacing w:before="100" w:after="100" w:line="360" w:lineRule="auto"/>
      <w:ind w:firstLine="200" w:firstLineChars="200"/>
      <w:jc w:val="center"/>
    </w:pPr>
    <w:rPr>
      <w:rFonts w:ascii="Times New Roman" w:hAnsi="Times New Roman"/>
      <w:kern w:val="0"/>
      <w:sz w:val="24"/>
      <w:szCs w:val="24"/>
      <w:lang w:eastAsia="en-US" w:bidi="en-US"/>
    </w:rPr>
  </w:style>
  <w:style w:type="paragraph" w:customStyle="1" w:styleId="1666">
    <w:name w:val="7"/>
    <w:basedOn w:val="1"/>
    <w:next w:val="69"/>
    <w:qFormat/>
    <w:uiPriority w:val="0"/>
    <w:pPr>
      <w:spacing w:line="520" w:lineRule="atLeast"/>
      <w:ind w:firstLine="652"/>
    </w:pPr>
    <w:rPr>
      <w:rFonts w:ascii="Times New Roman" w:hAnsi="Times New Roman"/>
      <w:sz w:val="28"/>
      <w:szCs w:val="24"/>
    </w:rPr>
  </w:style>
  <w:style w:type="paragraph" w:customStyle="1" w:styleId="1667">
    <w:name w:val="样式 样式 样式 8888 + 段前: 0.5 行 + 段前: 0.5 行 字距调整四号 + 段前: 0.5 行"/>
    <w:basedOn w:val="1"/>
    <w:next w:val="1"/>
    <w:qFormat/>
    <w:uiPriority w:val="0"/>
    <w:pPr>
      <w:widowControl/>
      <w:spacing w:before="120" w:line="440" w:lineRule="exact"/>
      <w:ind w:firstLine="200" w:firstLineChars="200"/>
      <w:outlineLvl w:val="1"/>
    </w:pPr>
    <w:rPr>
      <w:rFonts w:ascii="黑体" w:hAnsi="Times New Roman" w:eastAsia="黑体"/>
      <w:sz w:val="30"/>
      <w:szCs w:val="24"/>
      <w:lang w:eastAsia="en-US" w:bidi="en-US"/>
    </w:rPr>
  </w:style>
  <w:style w:type="paragraph" w:customStyle="1" w:styleId="1668">
    <w:name w:val="四级条标题"/>
    <w:basedOn w:val="1631"/>
    <w:next w:val="1"/>
    <w:qFormat/>
    <w:uiPriority w:val="0"/>
    <w:pPr>
      <w:outlineLvl w:val="5"/>
    </w:pPr>
  </w:style>
  <w:style w:type="paragraph" w:customStyle="1" w:styleId="1669">
    <w:name w:val="玮标题2 Char"/>
    <w:basedOn w:val="1"/>
    <w:next w:val="1"/>
    <w:qFormat/>
    <w:uiPriority w:val="0"/>
    <w:pPr>
      <w:keepNext/>
      <w:keepLines/>
      <w:widowControl/>
      <w:adjustRightInd w:val="0"/>
      <w:spacing w:beforeLines="50" w:line="420" w:lineRule="exact"/>
      <w:ind w:firstLine="200" w:firstLineChars="200"/>
      <w:outlineLvl w:val="1"/>
    </w:pPr>
    <w:rPr>
      <w:rFonts w:ascii="Times New Roman" w:hAnsi="Times New Roman" w:eastAsia="仿宋_GB2312"/>
      <w:b/>
      <w:bCs/>
      <w:sz w:val="30"/>
      <w:szCs w:val="28"/>
      <w:lang w:eastAsia="en-US" w:bidi="en-US"/>
    </w:rPr>
  </w:style>
  <w:style w:type="paragraph" w:customStyle="1" w:styleId="1670">
    <w:name w:val="公式"/>
    <w:basedOn w:val="1"/>
    <w:qFormat/>
    <w:uiPriority w:val="0"/>
    <w:pPr>
      <w:widowControl/>
      <w:adjustRightInd w:val="0"/>
      <w:spacing w:before="60" w:line="394" w:lineRule="atLeast"/>
      <w:ind w:firstLine="200" w:firstLineChars="200"/>
      <w:jc w:val="center"/>
      <w:textAlignment w:val="baseline"/>
    </w:pPr>
    <w:rPr>
      <w:rFonts w:ascii="Times New Roman" w:hAnsi="Times New Roman"/>
      <w:kern w:val="0"/>
      <w:sz w:val="24"/>
      <w:szCs w:val="24"/>
      <w:lang w:eastAsia="en-US" w:bidi="en-US"/>
    </w:rPr>
  </w:style>
  <w:style w:type="paragraph" w:customStyle="1" w:styleId="1671">
    <w:name w:val="表格表体"/>
    <w:basedOn w:val="46"/>
    <w:qFormat/>
    <w:uiPriority w:val="0"/>
    <w:pPr>
      <w:widowControl/>
      <w:adjustRightInd w:val="0"/>
      <w:spacing w:after="0" w:line="312" w:lineRule="atLeast"/>
      <w:ind w:firstLine="200" w:firstLineChars="200"/>
      <w:jc w:val="distribute"/>
      <w:textAlignment w:val="baseline"/>
    </w:pPr>
    <w:rPr>
      <w:rFonts w:ascii="仿宋_GB2312" w:hAnsi="仿宋_GB2312" w:eastAsia="宋体" w:cs="Times New Roman"/>
      <w:b/>
      <w:kern w:val="0"/>
      <w:sz w:val="24"/>
      <w:szCs w:val="24"/>
      <w:lang w:eastAsia="en-US" w:bidi="en-US"/>
    </w:rPr>
  </w:style>
  <w:style w:type="paragraph" w:customStyle="1" w:styleId="1672">
    <w:name w:val="xl55"/>
    <w:basedOn w:val="1"/>
    <w:qFormat/>
    <w:uiPriority w:val="0"/>
    <w:pPr>
      <w:widowControl/>
      <w:pBdr>
        <w:bottom w:val="single" w:color="auto" w:sz="4" w:space="0"/>
      </w:pBdr>
      <w:spacing w:before="100" w:beforeAutospacing="1" w:after="100" w:afterAutospacing="1" w:line="360" w:lineRule="auto"/>
      <w:ind w:firstLine="200" w:firstLineChars="200"/>
      <w:jc w:val="center"/>
      <w:textAlignment w:val="center"/>
    </w:pPr>
    <w:rPr>
      <w:rFonts w:ascii="Times New Roman" w:hAnsi="Times New Roman"/>
      <w:kern w:val="0"/>
      <w:sz w:val="24"/>
      <w:szCs w:val="24"/>
      <w:lang w:eastAsia="en-US" w:bidi="en-US"/>
    </w:rPr>
  </w:style>
  <w:style w:type="paragraph" w:customStyle="1" w:styleId="1673">
    <w:name w:val="Char Char Char Char Char Char Char Char Char"/>
    <w:basedOn w:val="1"/>
    <w:qFormat/>
    <w:uiPriority w:val="0"/>
    <w:pPr>
      <w:widowControl/>
      <w:spacing w:line="360" w:lineRule="auto"/>
      <w:ind w:firstLine="200" w:firstLineChars="200"/>
    </w:pPr>
    <w:rPr>
      <w:rFonts w:ascii="Times New Roman" w:hAnsi="Times New Roman"/>
      <w:sz w:val="24"/>
      <w:szCs w:val="24"/>
      <w:lang w:eastAsia="en-US" w:bidi="en-US"/>
    </w:rPr>
  </w:style>
  <w:style w:type="paragraph" w:customStyle="1" w:styleId="1674">
    <w:name w:val="五黑左对齐"/>
    <w:basedOn w:val="1"/>
    <w:qFormat/>
    <w:uiPriority w:val="0"/>
    <w:pPr>
      <w:widowControl/>
      <w:adjustRightInd w:val="0"/>
      <w:snapToGrid w:val="0"/>
      <w:spacing w:line="360" w:lineRule="auto"/>
      <w:ind w:firstLine="200" w:firstLineChars="200"/>
    </w:pPr>
    <w:rPr>
      <w:rFonts w:ascii="黑体" w:hAnsi="Times New Roman" w:eastAsia="黑体"/>
      <w:snapToGrid w:val="0"/>
      <w:sz w:val="24"/>
      <w:szCs w:val="21"/>
      <w:lang w:eastAsia="en-US" w:bidi="en-US"/>
    </w:rPr>
  </w:style>
  <w:style w:type="paragraph" w:customStyle="1" w:styleId="1675">
    <w:name w:val="五黑居中"/>
    <w:basedOn w:val="1"/>
    <w:qFormat/>
    <w:uiPriority w:val="0"/>
    <w:pPr>
      <w:widowControl/>
      <w:spacing w:line="360" w:lineRule="auto"/>
      <w:ind w:firstLine="200" w:firstLineChars="200"/>
      <w:jc w:val="center"/>
    </w:pPr>
    <w:rPr>
      <w:rFonts w:ascii="黑体" w:hAnsi="Times New Roman" w:eastAsia="黑体" w:cs="宋体-18030"/>
      <w:snapToGrid w:val="0"/>
      <w:sz w:val="24"/>
      <w:szCs w:val="21"/>
      <w:lang w:eastAsia="en-US" w:bidi="en-US"/>
    </w:rPr>
  </w:style>
  <w:style w:type="paragraph" w:customStyle="1" w:styleId="1676">
    <w:name w:val="小4黑居中行1"/>
    <w:qFormat/>
    <w:uiPriority w:val="99"/>
    <w:pPr>
      <w:widowControl w:val="0"/>
      <w:tabs>
        <w:tab w:val="right" w:leader="middleDot" w:pos="8222"/>
      </w:tabs>
      <w:spacing w:after="200" w:line="276" w:lineRule="auto"/>
      <w:jc w:val="center"/>
    </w:pPr>
    <w:rPr>
      <w:rFonts w:ascii="仿宋_GB2312" w:hAnsi="宋体" w:eastAsia="仿宋_GB2312" w:cs="Times New Roman"/>
      <w:kern w:val="2"/>
      <w:sz w:val="24"/>
      <w:szCs w:val="22"/>
      <w:lang w:val="en-US" w:eastAsia="zh-CN" w:bidi="ar-SA"/>
    </w:rPr>
  </w:style>
  <w:style w:type="paragraph" w:customStyle="1" w:styleId="167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Times New Roman" w:hAnsi="Times New Roman"/>
      <w:kern w:val="0"/>
      <w:sz w:val="20"/>
      <w:szCs w:val="24"/>
      <w:lang w:eastAsia="en-US" w:bidi="en-US"/>
    </w:rPr>
  </w:style>
  <w:style w:type="paragraph" w:customStyle="1" w:styleId="167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4"/>
      <w:szCs w:val="24"/>
      <w:lang w:eastAsia="en-US" w:bidi="en-US"/>
    </w:rPr>
  </w:style>
  <w:style w:type="paragraph" w:customStyle="1" w:styleId="1679">
    <w:name w:val="表格字体"/>
    <w:qFormat/>
    <w:uiPriority w:val="0"/>
    <w:pPr>
      <w:jc w:val="center"/>
    </w:pPr>
    <w:rPr>
      <w:rFonts w:ascii="Arial" w:hAnsi="Arial" w:eastAsia="宋体" w:cs="Times New Roman"/>
      <w:color w:val="000000"/>
      <w:sz w:val="18"/>
      <w:szCs w:val="24"/>
      <w:lang w:val="en-US" w:eastAsia="zh-CN" w:bidi="en-US"/>
    </w:rPr>
  </w:style>
  <w:style w:type="paragraph" w:customStyle="1" w:styleId="1680">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0"/>
      <w:szCs w:val="24"/>
      <w:lang w:eastAsia="en-US" w:bidi="en-US"/>
    </w:rPr>
  </w:style>
  <w:style w:type="paragraph" w:customStyle="1" w:styleId="168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Times New Roman" w:hAnsi="Times New Roman"/>
      <w:kern w:val="0"/>
      <w:sz w:val="24"/>
      <w:szCs w:val="24"/>
      <w:lang w:eastAsia="en-US" w:bidi="en-US"/>
    </w:rPr>
  </w:style>
  <w:style w:type="paragraph" w:customStyle="1" w:styleId="1682">
    <w:name w:val="编号m"/>
    <w:basedOn w:val="1"/>
    <w:qFormat/>
    <w:uiPriority w:val="99"/>
    <w:pPr>
      <w:numPr>
        <w:ilvl w:val="0"/>
        <w:numId w:val="23"/>
      </w:numPr>
      <w:spacing w:line="420" w:lineRule="exact"/>
      <w:ind w:firstLine="0"/>
    </w:pPr>
    <w:rPr>
      <w:rFonts w:ascii="Times New Roman" w:hAnsi="Times New Roman"/>
      <w:sz w:val="24"/>
    </w:rPr>
  </w:style>
  <w:style w:type="paragraph" w:customStyle="1" w:styleId="1683">
    <w:name w:val="xl40"/>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0"/>
      <w:szCs w:val="24"/>
      <w:lang w:eastAsia="en-US" w:bidi="en-US"/>
    </w:rPr>
  </w:style>
  <w:style w:type="paragraph" w:customStyle="1" w:styleId="1684">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0"/>
      <w:szCs w:val="24"/>
      <w:lang w:eastAsia="en-US" w:bidi="en-US"/>
    </w:rPr>
  </w:style>
  <w:style w:type="paragraph" w:customStyle="1" w:styleId="168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Times New Roman" w:hAnsi="Times New Roman"/>
      <w:kern w:val="0"/>
      <w:sz w:val="20"/>
      <w:szCs w:val="24"/>
      <w:lang w:eastAsia="en-US" w:bidi="en-US"/>
    </w:rPr>
  </w:style>
  <w:style w:type="paragraph" w:customStyle="1" w:styleId="1686">
    <w:name w:val="xl33"/>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pPr>
    <w:rPr>
      <w:rFonts w:ascii="Times New Roman" w:hAnsi="Times New Roman"/>
      <w:kern w:val="0"/>
      <w:sz w:val="18"/>
      <w:szCs w:val="24"/>
      <w:lang w:eastAsia="en-US" w:bidi="en-US"/>
    </w:rPr>
  </w:style>
  <w:style w:type="paragraph" w:customStyle="1" w:styleId="1687">
    <w:name w:val="样式 样式 小四 段前: 0.5 磅 行距: 固定值 20 磅1 + 首行缩进:  2 字符 段前: 0 磅 段后: 0.5..."/>
    <w:basedOn w:val="208"/>
    <w:qFormat/>
    <w:uiPriority w:val="0"/>
    <w:pPr>
      <w:adjustRightInd w:val="0"/>
      <w:snapToGrid w:val="0"/>
      <w:spacing w:before="0" w:afterLines="0" w:line="500" w:lineRule="exact"/>
    </w:pPr>
    <w:rPr>
      <w:rFonts w:ascii="Times New Roman" w:hAnsi="Times New Roman"/>
      <w:szCs w:val="24"/>
    </w:rPr>
  </w:style>
  <w:style w:type="paragraph" w:customStyle="1" w:styleId="1688">
    <w:name w:val="标准"/>
    <w:basedOn w:val="1"/>
    <w:qFormat/>
    <w:uiPriority w:val="0"/>
    <w:pPr>
      <w:widowControl/>
      <w:adjustRightInd w:val="0"/>
      <w:spacing w:line="360" w:lineRule="auto"/>
      <w:ind w:firstLine="200" w:firstLineChars="200"/>
      <w:textAlignment w:val="baseline"/>
    </w:pPr>
    <w:rPr>
      <w:rFonts w:ascii="Times New Roman" w:hAnsi="Times New Roman"/>
      <w:kern w:val="0"/>
      <w:sz w:val="28"/>
      <w:szCs w:val="24"/>
      <w:lang w:eastAsia="en-US" w:bidi="en-US"/>
    </w:rPr>
  </w:style>
  <w:style w:type="paragraph" w:customStyle="1" w:styleId="1689">
    <w:name w:val="表文字"/>
    <w:basedOn w:val="1"/>
    <w:qFormat/>
    <w:uiPriority w:val="0"/>
    <w:pPr>
      <w:widowControl/>
      <w:overflowPunct w:val="0"/>
      <w:autoSpaceDE w:val="0"/>
      <w:autoSpaceDN w:val="0"/>
      <w:adjustRightInd w:val="0"/>
      <w:spacing w:line="240" w:lineRule="atLeast"/>
      <w:ind w:firstLine="200" w:firstLineChars="200"/>
      <w:jc w:val="center"/>
      <w:textAlignment w:val="baseline"/>
    </w:pPr>
    <w:rPr>
      <w:rFonts w:ascii="Times New Roman" w:hAnsi="Times New Roman"/>
      <w:kern w:val="0"/>
      <w:sz w:val="24"/>
      <w:szCs w:val="24"/>
      <w:lang w:eastAsia="en-US" w:bidi="en-US"/>
    </w:rPr>
  </w:style>
  <w:style w:type="paragraph" w:customStyle="1" w:styleId="1690">
    <w:name w:val="特殊标题３"/>
    <w:basedOn w:val="1"/>
    <w:qFormat/>
    <w:uiPriority w:val="99"/>
    <w:pPr>
      <w:widowControl/>
      <w:overflowPunct w:val="0"/>
      <w:autoSpaceDE w:val="0"/>
      <w:autoSpaceDN w:val="0"/>
      <w:adjustRightInd w:val="0"/>
      <w:spacing w:line="360" w:lineRule="auto"/>
      <w:ind w:firstLine="200" w:firstLineChars="200"/>
      <w:textAlignment w:val="baseline"/>
    </w:pPr>
    <w:rPr>
      <w:rFonts w:ascii="Times New Roman" w:hAnsi="Times New Roman" w:eastAsia="仿宋_GB2312"/>
      <w:kern w:val="0"/>
      <w:sz w:val="28"/>
      <w:szCs w:val="24"/>
      <w:lang w:eastAsia="en-US" w:bidi="en-US"/>
    </w:rPr>
  </w:style>
  <w:style w:type="paragraph" w:customStyle="1" w:styleId="1691">
    <w:name w:val="xl39"/>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kern w:val="0"/>
      <w:sz w:val="20"/>
      <w:szCs w:val="24"/>
      <w:lang w:eastAsia="en-US" w:bidi="en-US"/>
    </w:rPr>
  </w:style>
  <w:style w:type="paragraph" w:customStyle="1" w:styleId="1692">
    <w:name w:val="小四表文左齐"/>
    <w:basedOn w:val="1"/>
    <w:qFormat/>
    <w:uiPriority w:val="99"/>
    <w:pPr>
      <w:widowControl/>
      <w:spacing w:line="360" w:lineRule="auto"/>
      <w:ind w:firstLine="200" w:firstLineChars="200"/>
      <w:jc w:val="center"/>
    </w:pPr>
    <w:rPr>
      <w:rFonts w:ascii="Times New Roman" w:hAnsi="Times New Roman"/>
      <w:sz w:val="24"/>
      <w:szCs w:val="24"/>
      <w:lang w:eastAsia="en-US" w:bidi="en-US"/>
    </w:rPr>
  </w:style>
  <w:style w:type="paragraph" w:customStyle="1" w:styleId="1693">
    <w:name w:val="xl41"/>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pPr>
    <w:rPr>
      <w:rFonts w:ascii="Times New Roman" w:hAnsi="Times New Roman"/>
      <w:kern w:val="0"/>
      <w:sz w:val="24"/>
      <w:szCs w:val="24"/>
      <w:lang w:eastAsia="en-US" w:bidi="en-US"/>
    </w:rPr>
  </w:style>
  <w:style w:type="paragraph" w:customStyle="1" w:styleId="1694">
    <w:name w:val="reader-word-layer reader-word-s2-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9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Times New Roman" w:hAnsi="Times New Roman"/>
      <w:kern w:val="0"/>
      <w:sz w:val="20"/>
      <w:szCs w:val="24"/>
      <w:lang w:eastAsia="en-US" w:bidi="en-US"/>
    </w:rPr>
  </w:style>
  <w:style w:type="paragraph" w:customStyle="1" w:styleId="1696">
    <w:name w:val="15"/>
    <w:basedOn w:val="1"/>
    <w:qFormat/>
    <w:uiPriority w:val="99"/>
    <w:pPr>
      <w:widowControl/>
      <w:snapToGrid w:val="0"/>
      <w:spacing w:before="100" w:beforeAutospacing="1" w:after="100" w:afterAutospacing="1" w:line="360" w:lineRule="auto"/>
      <w:ind w:firstLine="200" w:firstLineChars="200"/>
    </w:pPr>
    <w:rPr>
      <w:rFonts w:ascii="Times New Roman" w:hAnsi="Times New Roman"/>
      <w:kern w:val="0"/>
      <w:sz w:val="24"/>
      <w:szCs w:val="24"/>
      <w:lang w:eastAsia="en-US" w:bidi="en-US"/>
    </w:rPr>
  </w:style>
  <w:style w:type="paragraph" w:customStyle="1" w:styleId="1697">
    <w:name w:val="16"/>
    <w:basedOn w:val="1"/>
    <w:qFormat/>
    <w:uiPriority w:val="99"/>
    <w:pPr>
      <w:widowControl/>
      <w:snapToGrid w:val="0"/>
      <w:spacing w:before="156" w:after="100" w:afterAutospacing="1" w:line="360" w:lineRule="auto"/>
      <w:ind w:firstLine="200" w:firstLineChars="200"/>
      <w:jc w:val="center"/>
    </w:pPr>
    <w:rPr>
      <w:rFonts w:ascii="Times New Roman" w:hAnsi="Times New Roman" w:cs="宋体"/>
      <w:b/>
      <w:bCs/>
      <w:kern w:val="0"/>
      <w:sz w:val="24"/>
      <w:szCs w:val="21"/>
      <w:lang w:eastAsia="en-US" w:bidi="en-US"/>
    </w:rPr>
  </w:style>
  <w:style w:type="paragraph" w:customStyle="1" w:styleId="1698">
    <w:name w:val="注解"/>
    <w:basedOn w:val="1"/>
    <w:qFormat/>
    <w:uiPriority w:val="0"/>
    <w:pPr>
      <w:widowControl/>
      <w:adjustRightInd w:val="0"/>
      <w:snapToGrid w:val="0"/>
      <w:spacing w:line="360" w:lineRule="auto"/>
      <w:ind w:left="624" w:right="170" w:hanging="454" w:firstLineChars="200"/>
    </w:pPr>
    <w:rPr>
      <w:rFonts w:ascii="Times New Roman" w:hAnsi="Times New Roman"/>
      <w:color w:val="000000"/>
      <w:sz w:val="15"/>
      <w:szCs w:val="24"/>
      <w:lang w:eastAsia="en-US" w:bidi="en-US"/>
    </w:rPr>
  </w:style>
  <w:style w:type="paragraph" w:customStyle="1" w:styleId="1699">
    <w:name w:val="奉读大示，心折殊深。"/>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1700">
    <w:name w:val="Decimal Aligned"/>
    <w:basedOn w:val="1"/>
    <w:qFormat/>
    <w:uiPriority w:val="0"/>
    <w:pPr>
      <w:widowControl/>
      <w:tabs>
        <w:tab w:val="decimal" w:pos="360"/>
      </w:tabs>
      <w:spacing w:after="200" w:line="276" w:lineRule="auto"/>
      <w:ind w:firstLine="200" w:firstLineChars="200"/>
    </w:pPr>
    <w:rPr>
      <w:rFonts w:ascii="Times New Roman" w:hAnsi="Times New Roman"/>
      <w:kern w:val="0"/>
      <w:sz w:val="22"/>
      <w:szCs w:val="22"/>
      <w:lang w:eastAsia="en-US" w:bidi="en-US"/>
    </w:rPr>
  </w:style>
  <w:style w:type="paragraph" w:customStyle="1" w:styleId="1701">
    <w:name w:val="4"/>
    <w:basedOn w:val="1"/>
    <w:next w:val="46"/>
    <w:qFormat/>
    <w:uiPriority w:val="0"/>
    <w:rPr>
      <w:rFonts w:ascii="宋体" w:hAnsi="Courier New" w:cs="Courier New"/>
      <w:szCs w:val="21"/>
    </w:rPr>
  </w:style>
  <w:style w:type="paragraph" w:customStyle="1" w:styleId="1702">
    <w:name w:val="标准书脚_偶数页"/>
    <w:qFormat/>
    <w:uiPriority w:val="99"/>
    <w:pPr>
      <w:spacing w:before="120"/>
    </w:pPr>
    <w:rPr>
      <w:rFonts w:ascii="Times New Roman" w:hAnsi="Times New Roman" w:eastAsia="宋体" w:cs="Times New Roman"/>
      <w:sz w:val="18"/>
      <w:lang w:val="en-US" w:eastAsia="zh-CN" w:bidi="ar-SA"/>
    </w:rPr>
  </w:style>
  <w:style w:type="paragraph" w:customStyle="1" w:styleId="1703">
    <w:name w:val="Char Char Char1 Char"/>
    <w:basedOn w:val="1"/>
    <w:qFormat/>
    <w:uiPriority w:val="0"/>
    <w:pPr>
      <w:spacing w:line="360" w:lineRule="auto"/>
      <w:ind w:firstLine="200" w:firstLineChars="200"/>
    </w:pPr>
    <w:rPr>
      <w:rFonts w:ascii="Times New Roman" w:hAnsi="Times New Roman"/>
    </w:rPr>
  </w:style>
  <w:style w:type="paragraph" w:customStyle="1" w:styleId="1704">
    <w:name w:val="p0"/>
    <w:basedOn w:val="1"/>
    <w:qFormat/>
    <w:uiPriority w:val="0"/>
    <w:pPr>
      <w:widowControl/>
      <w:spacing w:line="360" w:lineRule="auto"/>
      <w:ind w:firstLine="200" w:firstLineChars="200"/>
    </w:pPr>
    <w:rPr>
      <w:rFonts w:ascii="Times New Roman" w:hAnsi="Times New Roman"/>
      <w:kern w:val="0"/>
      <w:szCs w:val="21"/>
    </w:rPr>
  </w:style>
  <w:style w:type="paragraph" w:customStyle="1" w:styleId="1705">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1706">
    <w:name w:val="列表段落1"/>
    <w:basedOn w:val="1"/>
    <w:qFormat/>
    <w:uiPriority w:val="0"/>
    <w:pPr>
      <w:widowControl/>
      <w:ind w:left="720"/>
      <w:contextualSpacing/>
      <w:jc w:val="left"/>
    </w:pPr>
    <w:rPr>
      <w:rFonts w:ascii="Calibri" w:hAnsi="Calibri"/>
      <w:kern w:val="0"/>
      <w:sz w:val="24"/>
      <w:szCs w:val="24"/>
      <w:lang w:eastAsia="en-US" w:bidi="en-US"/>
    </w:rPr>
  </w:style>
  <w:style w:type="paragraph" w:customStyle="1" w:styleId="1707">
    <w:name w:val="表格文本"/>
    <w:basedOn w:val="1"/>
    <w:next w:val="1"/>
    <w:qFormat/>
    <w:uiPriority w:val="0"/>
    <w:pPr>
      <w:spacing w:line="240" w:lineRule="exact"/>
    </w:pPr>
    <w:rPr>
      <w:rFonts w:ascii="Times New Roman" w:hAnsi="Times New Roman"/>
    </w:rPr>
  </w:style>
  <w:style w:type="paragraph" w:customStyle="1" w:styleId="1708">
    <w:name w:val="明显引用1"/>
    <w:basedOn w:val="1"/>
    <w:next w:val="1"/>
    <w:qFormat/>
    <w:uiPriority w:val="0"/>
    <w:pPr>
      <w:widowControl/>
      <w:ind w:left="720" w:right="720"/>
      <w:jc w:val="left"/>
    </w:pPr>
    <w:rPr>
      <w:rFonts w:ascii="Calibri" w:hAnsi="Calibri"/>
      <w:b/>
      <w:i/>
      <w:kern w:val="0"/>
      <w:sz w:val="24"/>
      <w:szCs w:val="22"/>
      <w:lang w:eastAsia="en-US" w:bidi="en-US"/>
    </w:rPr>
  </w:style>
  <w:style w:type="paragraph" w:customStyle="1" w:styleId="1709">
    <w:name w:val="TOC 标题111"/>
    <w:basedOn w:val="5"/>
    <w:next w:val="1"/>
    <w:qFormat/>
    <w:uiPriority w:val="0"/>
    <w:pPr>
      <w:keepLines w:val="0"/>
      <w:widowControl/>
      <w:spacing w:before="240" w:after="60" w:line="240" w:lineRule="auto"/>
      <w:jc w:val="left"/>
      <w:outlineLvl w:val="9"/>
    </w:pPr>
    <w:rPr>
      <w:rFonts w:ascii="Cambria" w:hAnsi="Cambria" w:eastAsia="宋体" w:cs="Times New Roman"/>
      <w:kern w:val="32"/>
      <w:sz w:val="32"/>
      <w:szCs w:val="32"/>
      <w:lang w:eastAsia="en-US" w:bidi="en-US"/>
    </w:rPr>
  </w:style>
  <w:style w:type="paragraph" w:customStyle="1" w:styleId="1710">
    <w:name w:val="12"/>
    <w:basedOn w:val="1"/>
    <w:next w:val="51"/>
    <w:qFormat/>
    <w:uiPriority w:val="0"/>
    <w:pPr>
      <w:spacing w:line="560" w:lineRule="exact"/>
      <w:ind w:firstLine="624"/>
    </w:pPr>
    <w:rPr>
      <w:rFonts w:ascii="仿宋_GB2312" w:hAnsi="Times New Roman" w:eastAsia="仿宋_GB2312"/>
      <w:sz w:val="28"/>
    </w:rPr>
  </w:style>
  <w:style w:type="paragraph" w:customStyle="1" w:styleId="1711">
    <w:name w:val="样式 正文1 + 段前: 0.1 行"/>
    <w:basedOn w:val="326"/>
    <w:qFormat/>
    <w:uiPriority w:val="99"/>
    <w:pPr>
      <w:snapToGrid w:val="0"/>
      <w:spacing w:beforeLines="10" w:line="440" w:lineRule="atLeast"/>
      <w:ind w:firstLine="567"/>
      <w:jc w:val="both"/>
    </w:pPr>
    <w:rPr>
      <w:rFonts w:ascii="Times New Roman" w:hAnsi="Times New Roman" w:cs="Times New Roman"/>
      <w:kern w:val="2"/>
      <w:szCs w:val="22"/>
    </w:rPr>
  </w:style>
  <w:style w:type="paragraph" w:customStyle="1" w:styleId="1712">
    <w:name w:val="样式 样式 首行缩进:  2 字符1 + 首行缩进:  2 字符"/>
    <w:basedOn w:val="1"/>
    <w:qFormat/>
    <w:uiPriority w:val="99"/>
    <w:pPr>
      <w:spacing w:line="480" w:lineRule="exact"/>
      <w:ind w:firstLine="200" w:firstLineChars="200"/>
    </w:pPr>
    <w:rPr>
      <w:rFonts w:ascii="Times New Roman" w:hAnsi="Times New Roman" w:eastAsia="楷体_GB2312" w:cs="宋体"/>
      <w:sz w:val="24"/>
    </w:rPr>
  </w:style>
  <w:style w:type="paragraph" w:customStyle="1" w:styleId="1713">
    <w:name w:val="表文小"/>
    <w:qFormat/>
    <w:uiPriority w:val="0"/>
    <w:pPr>
      <w:jc w:val="center"/>
    </w:pPr>
    <w:rPr>
      <w:rFonts w:ascii="Times New Roman" w:hAnsi="Times New Roman" w:eastAsia="仿宋_GB2312" w:cs="Times New Roman"/>
      <w:sz w:val="15"/>
      <w:lang w:val="en-US" w:eastAsia="zh-CN" w:bidi="ar-SA"/>
    </w:rPr>
  </w:style>
  <w:style w:type="paragraph" w:customStyle="1" w:styleId="1714">
    <w:name w:val="封2"/>
    <w:basedOn w:val="1"/>
    <w:qFormat/>
    <w:uiPriority w:val="0"/>
    <w:pPr>
      <w:snapToGrid w:val="0"/>
      <w:spacing w:before="50" w:line="400" w:lineRule="exact"/>
    </w:pPr>
    <w:rPr>
      <w:rFonts w:ascii="Times New Roman" w:hAnsi="Times New Roman" w:eastAsia="仿宋_GB2312"/>
      <w:sz w:val="24"/>
      <w:szCs w:val="24"/>
    </w:rPr>
  </w:style>
  <w:style w:type="paragraph" w:customStyle="1" w:styleId="1715">
    <w:name w:val="CM7"/>
    <w:basedOn w:val="107"/>
    <w:next w:val="107"/>
    <w:qFormat/>
    <w:uiPriority w:val="0"/>
    <w:pPr>
      <w:spacing w:line="523" w:lineRule="atLeast"/>
    </w:pPr>
    <w:rPr>
      <w:rFonts w:ascii="宋体" w:hAnsi="Times New Roman" w:eastAsia="宋体" w:cs="Times New Roman"/>
      <w:color w:val="auto"/>
    </w:rPr>
  </w:style>
  <w:style w:type="paragraph" w:customStyle="1" w:styleId="1716">
    <w:name w:val="CM8"/>
    <w:basedOn w:val="107"/>
    <w:next w:val="107"/>
    <w:qFormat/>
    <w:uiPriority w:val="0"/>
    <w:pPr>
      <w:spacing w:line="520" w:lineRule="atLeast"/>
    </w:pPr>
    <w:rPr>
      <w:rFonts w:ascii="宋体" w:hAnsi="Times New Roman" w:eastAsia="宋体" w:cs="Times New Roman"/>
      <w:color w:val="auto"/>
    </w:rPr>
  </w:style>
  <w:style w:type="paragraph" w:customStyle="1" w:styleId="1717">
    <w:name w:val="单元格"/>
    <w:basedOn w:val="1"/>
    <w:qFormat/>
    <w:uiPriority w:val="0"/>
    <w:pPr>
      <w:snapToGrid w:val="0"/>
      <w:spacing w:line="400" w:lineRule="exact"/>
      <w:jc w:val="center"/>
    </w:pPr>
    <w:rPr>
      <w:rFonts w:hint="eastAsia" w:ascii="黑体" w:hAnsi="Times New Roman" w:eastAsia="黑体"/>
      <w:b/>
      <w:szCs w:val="24"/>
    </w:rPr>
  </w:style>
  <w:style w:type="paragraph" w:customStyle="1" w:styleId="1718">
    <w:name w:val="样式 标题 2 + 首行缩进:  2 字符"/>
    <w:basedOn w:val="6"/>
    <w:qFormat/>
    <w:uiPriority w:val="99"/>
    <w:pPr>
      <w:spacing w:line="412" w:lineRule="auto"/>
      <w:jc w:val="left"/>
    </w:pPr>
    <w:rPr>
      <w:rFonts w:cs="宋体"/>
      <w:kern w:val="2"/>
      <w:sz w:val="36"/>
      <w:szCs w:val="20"/>
    </w:rPr>
  </w:style>
  <w:style w:type="paragraph" w:customStyle="1" w:styleId="1719">
    <w:name w:val="样式 题注 + (西文) Times New Roman (中文) 仿宋_GB2312 四号 段前: 0 磅 段后: 0..."/>
    <w:basedOn w:val="24"/>
    <w:qFormat/>
    <w:uiPriority w:val="0"/>
    <w:pPr>
      <w:adjustRightInd/>
      <w:snapToGrid/>
      <w:spacing w:before="0" w:line="440" w:lineRule="exact"/>
      <w:ind w:firstLine="280" w:firstLineChars="100"/>
      <w:jc w:val="both"/>
    </w:pPr>
    <w:rPr>
      <w:rFonts w:ascii="Times New Roman" w:hAnsi="Times New Roman" w:eastAsia="仿宋_GB2312" w:cs="Times New Roman"/>
      <w:snapToGrid/>
      <w:kern w:val="2"/>
    </w:rPr>
  </w:style>
  <w:style w:type="paragraph" w:customStyle="1" w:styleId="1720">
    <w:name w:val="四级无标题条"/>
    <w:basedOn w:val="1"/>
    <w:qFormat/>
    <w:uiPriority w:val="0"/>
    <w:rPr>
      <w:rFonts w:ascii="Times New Roman" w:hAnsi="Times New Roman"/>
      <w:szCs w:val="24"/>
    </w:rPr>
  </w:style>
  <w:style w:type="paragraph" w:customStyle="1" w:styleId="1721">
    <w:name w:val="CM2"/>
    <w:basedOn w:val="107"/>
    <w:next w:val="107"/>
    <w:qFormat/>
    <w:uiPriority w:val="0"/>
    <w:rPr>
      <w:rFonts w:ascii="宋体" w:hAnsi="Times New Roman" w:eastAsia="宋体" w:cs="Times New Roman"/>
      <w:color w:val="auto"/>
    </w:rPr>
  </w:style>
  <w:style w:type="paragraph" w:customStyle="1" w:styleId="1722">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723">
    <w:name w:val="PP 行"/>
    <w:basedOn w:val="58"/>
    <w:qFormat/>
    <w:uiPriority w:val="0"/>
    <w:rPr>
      <w:rFonts w:ascii="Roman PS" w:hAnsi="Roman PS" w:eastAsia="宋体" w:cs="Times New Roman"/>
      <w:szCs w:val="20"/>
    </w:rPr>
  </w:style>
  <w:style w:type="paragraph" w:customStyle="1" w:styleId="1724">
    <w:name w:val="表格样式1"/>
    <w:qFormat/>
    <w:uiPriority w:val="0"/>
    <w:pPr>
      <w:tabs>
        <w:tab w:val="center" w:pos="546"/>
      </w:tabs>
      <w:spacing w:line="440" w:lineRule="exact"/>
      <w:jc w:val="center"/>
    </w:pPr>
    <w:rPr>
      <w:rFonts w:ascii="Times New Roman" w:hAnsi="Times New Roman" w:eastAsia="仿宋_GB2312" w:cs="Times New Roman"/>
      <w:iCs/>
      <w:sz w:val="21"/>
      <w:lang w:val="en-US" w:eastAsia="zh-CN" w:bidi="ar-SA"/>
    </w:rPr>
  </w:style>
  <w:style w:type="paragraph" w:customStyle="1" w:styleId="1725">
    <w:name w:val="样式 (中文) 仿宋_GB2312 四号 首行缩进:  1.01 厘米 行距: 固定值 22 磅"/>
    <w:basedOn w:val="1"/>
    <w:qFormat/>
    <w:uiPriority w:val="0"/>
    <w:pPr>
      <w:spacing w:line="440" w:lineRule="exact"/>
      <w:ind w:firstLine="570"/>
    </w:pPr>
    <w:rPr>
      <w:rFonts w:ascii="Times New Roman" w:hAnsi="Times New Roman" w:eastAsia="仿宋_GB2312"/>
      <w:sz w:val="24"/>
    </w:rPr>
  </w:style>
  <w:style w:type="paragraph" w:customStyle="1" w:styleId="1726">
    <w:name w:val="1-正文"/>
    <w:basedOn w:val="1"/>
    <w:qFormat/>
    <w:uiPriority w:val="0"/>
    <w:pPr>
      <w:widowControl/>
      <w:autoSpaceDE w:val="0"/>
      <w:autoSpaceDN w:val="0"/>
      <w:spacing w:line="360" w:lineRule="auto"/>
      <w:ind w:firstLine="480" w:firstLineChars="200"/>
      <w:jc w:val="left"/>
    </w:pPr>
    <w:rPr>
      <w:rFonts w:ascii="宋体" w:hAnsi="宋体"/>
      <w:kern w:val="0"/>
      <w:sz w:val="24"/>
      <w:szCs w:val="24"/>
    </w:rPr>
  </w:style>
  <w:style w:type="paragraph" w:customStyle="1" w:styleId="1727">
    <w:name w:val="Char Char2 Char Char Char Char Char Char Char Char Char Char"/>
    <w:basedOn w:val="28"/>
    <w:qFormat/>
    <w:uiPriority w:val="0"/>
    <w:pPr>
      <w:shd w:val="clear" w:color="auto" w:fill="000080"/>
      <w:spacing w:line="436" w:lineRule="exact"/>
    </w:pPr>
    <w:rPr>
      <w:rFonts w:ascii="Tahoma" w:hAnsi="Tahoma" w:cs="Times New Roman"/>
      <w:b/>
      <w:kern w:val="2"/>
      <w:sz w:val="24"/>
      <w:szCs w:val="24"/>
    </w:rPr>
  </w:style>
  <w:style w:type="paragraph" w:customStyle="1" w:styleId="1728">
    <w:name w:val="表图题"/>
    <w:basedOn w:val="1"/>
    <w:qFormat/>
    <w:uiPriority w:val="0"/>
    <w:pPr>
      <w:spacing w:line="440" w:lineRule="exact"/>
      <w:jc w:val="center"/>
    </w:pPr>
    <w:rPr>
      <w:rFonts w:ascii="Times New Roman" w:hAnsi="Times New Roman" w:eastAsia="华文细黑"/>
      <w:b/>
      <w:szCs w:val="21"/>
    </w:rPr>
  </w:style>
  <w:style w:type="paragraph" w:customStyle="1" w:styleId="1729">
    <w:name w:val="Char Char26 Char Char Char Char"/>
    <w:basedOn w:val="1"/>
    <w:qFormat/>
    <w:uiPriority w:val="0"/>
    <w:rPr>
      <w:rFonts w:ascii="Calibri" w:hAnsi="Calibri" w:cs="Calibri"/>
      <w:szCs w:val="24"/>
    </w:rPr>
  </w:style>
  <w:style w:type="paragraph" w:customStyle="1" w:styleId="1730">
    <w:name w:val="封面正文"/>
    <w:qFormat/>
    <w:uiPriority w:val="0"/>
    <w:pPr>
      <w:jc w:val="both"/>
    </w:pPr>
    <w:rPr>
      <w:rFonts w:ascii="Times New Roman" w:hAnsi="Times New Roman" w:eastAsia="宋体" w:cs="Times New Roman"/>
      <w:lang w:val="en-US" w:eastAsia="zh-CN" w:bidi="ar-SA"/>
    </w:rPr>
  </w:style>
  <w:style w:type="paragraph" w:customStyle="1" w:styleId="1731">
    <w:name w:val="样式 (中文) 仿宋_GB2312 四号 行距: 固定值 22 磅 首行缩进:  2 字符"/>
    <w:basedOn w:val="1"/>
    <w:qFormat/>
    <w:uiPriority w:val="0"/>
    <w:pPr>
      <w:spacing w:line="440" w:lineRule="exact"/>
      <w:ind w:firstLine="560" w:firstLineChars="200"/>
    </w:pPr>
    <w:rPr>
      <w:rFonts w:ascii="Times New Roman" w:hAnsi="Times New Roman" w:eastAsia="仿宋_GB2312"/>
      <w:sz w:val="24"/>
    </w:rPr>
  </w:style>
  <w:style w:type="paragraph" w:customStyle="1" w:styleId="1732">
    <w:name w:val="五级条标题"/>
    <w:basedOn w:val="1668"/>
    <w:next w:val="1"/>
    <w:qFormat/>
    <w:uiPriority w:val="0"/>
    <w:pPr>
      <w:outlineLvl w:val="6"/>
    </w:pPr>
  </w:style>
  <w:style w:type="paragraph" w:customStyle="1" w:styleId="1733">
    <w:name w:val="red1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734">
    <w:name w:val="9"/>
    <w:basedOn w:val="1"/>
    <w:next w:val="69"/>
    <w:qFormat/>
    <w:uiPriority w:val="0"/>
    <w:pPr>
      <w:spacing w:after="120"/>
      <w:ind w:left="420"/>
    </w:pPr>
    <w:rPr>
      <w:rFonts w:ascii="Times New Roman" w:hAnsi="Times New Roman"/>
      <w:sz w:val="16"/>
      <w:szCs w:val="16"/>
    </w:rPr>
  </w:style>
  <w:style w:type="paragraph" w:customStyle="1" w:styleId="1735">
    <w:name w:val="首缩"/>
    <w:basedOn w:val="1"/>
    <w:qFormat/>
    <w:uiPriority w:val="0"/>
    <w:pPr>
      <w:adjustRightInd w:val="0"/>
      <w:snapToGrid w:val="0"/>
      <w:spacing w:line="500" w:lineRule="exact"/>
      <w:ind w:firstLine="200" w:firstLineChars="200"/>
    </w:pPr>
    <w:rPr>
      <w:rFonts w:ascii="Times New Roman" w:hAnsi="Times New Roman" w:eastAsia="仿宋_GB2312"/>
      <w:snapToGrid w:val="0"/>
      <w:kern w:val="0"/>
      <w:sz w:val="28"/>
    </w:rPr>
  </w:style>
  <w:style w:type="paragraph" w:customStyle="1" w:styleId="1736">
    <w:name w:val="Char Char2 Char Char Char1 Char Char Char Char Char Char Char"/>
    <w:basedOn w:val="28"/>
    <w:qFormat/>
    <w:uiPriority w:val="0"/>
    <w:pPr>
      <w:shd w:val="clear" w:color="auto" w:fill="000080"/>
      <w:spacing w:line="436" w:lineRule="exact"/>
    </w:pPr>
    <w:rPr>
      <w:rFonts w:ascii="Tahoma" w:hAnsi="Tahoma" w:cs="Times New Roman"/>
      <w:b/>
      <w:kern w:val="2"/>
      <w:sz w:val="24"/>
      <w:szCs w:val="24"/>
    </w:rPr>
  </w:style>
  <w:style w:type="paragraph" w:customStyle="1" w:styleId="1737">
    <w:name w:val="正文五"/>
    <w:basedOn w:val="1"/>
    <w:qFormat/>
    <w:uiPriority w:val="0"/>
    <w:pPr>
      <w:snapToGrid w:val="0"/>
      <w:jc w:val="center"/>
    </w:pPr>
    <w:rPr>
      <w:rFonts w:ascii="Times New Roman" w:hAnsi="Times New Roman"/>
      <w:szCs w:val="28"/>
    </w:rPr>
  </w:style>
  <w:style w:type="paragraph" w:customStyle="1" w:styleId="1738">
    <w:name w:val="样式 题注 + (西文) Times New Roman 小四 加粗 首行缩进:  2 字符 行距: 固定值 25 磅"/>
    <w:basedOn w:val="24"/>
    <w:qFormat/>
    <w:uiPriority w:val="0"/>
    <w:pPr>
      <w:spacing w:beforeLines="50" w:line="240" w:lineRule="auto"/>
      <w:jc w:val="center"/>
    </w:pPr>
    <w:rPr>
      <w:rFonts w:ascii="Times New Roman" w:hAnsi="宋体" w:eastAsia="宋体" w:cs="Times New Roman"/>
      <w:b/>
      <w:bCs/>
      <w:snapToGrid/>
      <w:kern w:val="2"/>
      <w:szCs w:val="21"/>
    </w:rPr>
  </w:style>
  <w:style w:type="paragraph" w:customStyle="1" w:styleId="1739">
    <w:name w:val="说明正文"/>
    <w:basedOn w:val="2"/>
    <w:qFormat/>
    <w:uiPriority w:val="0"/>
    <w:pPr>
      <w:snapToGrid w:val="0"/>
      <w:spacing w:after="0" w:line="440" w:lineRule="exact"/>
      <w:ind w:firstLine="480" w:firstLineChars="200"/>
    </w:pPr>
    <w:rPr>
      <w:rFonts w:ascii="Times New Roman" w:hAnsi="Times New Roman" w:eastAsia="宋体" w:cs="Times New Roman"/>
      <w:spacing w:val="6"/>
      <w:kern w:val="24"/>
      <w:szCs w:val="20"/>
    </w:rPr>
  </w:style>
  <w:style w:type="paragraph" w:customStyle="1" w:styleId="1740">
    <w:name w:val="报告书表格"/>
    <w:basedOn w:val="1"/>
    <w:qFormat/>
    <w:uiPriority w:val="0"/>
    <w:pPr>
      <w:adjustRightInd w:val="0"/>
      <w:spacing w:before="60" w:after="60" w:line="240" w:lineRule="atLeast"/>
      <w:jc w:val="center"/>
    </w:pPr>
    <w:rPr>
      <w:rFonts w:ascii="Times New Roman" w:hAnsi="Times New Roman"/>
      <w:kern w:val="0"/>
    </w:rPr>
  </w:style>
  <w:style w:type="paragraph" w:customStyle="1" w:styleId="1741">
    <w:name w:val="6"/>
    <w:basedOn w:val="1"/>
    <w:next w:val="51"/>
    <w:qFormat/>
    <w:uiPriority w:val="0"/>
    <w:pPr>
      <w:spacing w:line="560" w:lineRule="exact"/>
      <w:ind w:firstLine="624"/>
    </w:pPr>
    <w:rPr>
      <w:rFonts w:ascii="仿宋_GB2312" w:hAnsi="Times New Roman" w:eastAsia="仿宋_GB2312"/>
      <w:sz w:val="28"/>
    </w:rPr>
  </w:style>
  <w:style w:type="paragraph" w:customStyle="1" w:styleId="1742">
    <w:name w:val="二级无标题条"/>
    <w:basedOn w:val="1"/>
    <w:qFormat/>
    <w:uiPriority w:val="99"/>
    <w:rPr>
      <w:rFonts w:ascii="Times New Roman" w:hAnsi="Times New Roman"/>
      <w:szCs w:val="24"/>
    </w:rPr>
  </w:style>
  <w:style w:type="paragraph" w:customStyle="1" w:styleId="1743">
    <w:name w:val="表内-文字"/>
    <w:basedOn w:val="1"/>
    <w:qFormat/>
    <w:uiPriority w:val="99"/>
    <w:pPr>
      <w:spacing w:line="320" w:lineRule="exact"/>
      <w:jc w:val="center"/>
    </w:pPr>
    <w:rPr>
      <w:rFonts w:ascii="Times New Roman" w:hAnsi="Times New Roman" w:eastAsia="楷体_GB2312" w:cs="宋体"/>
      <w:bCs/>
      <w:color w:val="000000"/>
      <w:szCs w:val="21"/>
    </w:rPr>
  </w:style>
  <w:style w:type="paragraph" w:customStyle="1" w:styleId="1744">
    <w:name w:val="13"/>
    <w:basedOn w:val="1"/>
    <w:next w:val="46"/>
    <w:qFormat/>
    <w:uiPriority w:val="0"/>
    <w:rPr>
      <w:rFonts w:ascii="宋体" w:hAnsi="Courier New" w:cs="Courier New"/>
      <w:szCs w:val="21"/>
    </w:rPr>
  </w:style>
  <w:style w:type="paragraph" w:customStyle="1" w:styleId="1745">
    <w:name w:val="表体注"/>
    <w:basedOn w:val="1604"/>
    <w:qFormat/>
    <w:uiPriority w:val="99"/>
    <w:pPr>
      <w:widowControl w:val="0"/>
      <w:ind w:firstLine="0" w:firstLineChars="0"/>
      <w:jc w:val="both"/>
      <w:textAlignment w:val="auto"/>
    </w:pPr>
    <w:rPr>
      <w:rFonts w:hint="eastAsia"/>
      <w:szCs w:val="20"/>
      <w:lang w:eastAsia="zh-CN" w:bidi="ar-SA"/>
    </w:rPr>
  </w:style>
  <w:style w:type="paragraph" w:customStyle="1" w:styleId="1746">
    <w:name w:val="Char Char Char Char Char Char Char Char Char1 Char Char Char Char Char Char Char Char Char Char Char Char Char"/>
    <w:basedOn w:val="5"/>
    <w:qFormat/>
    <w:uiPriority w:val="99"/>
    <w:pPr>
      <w:snapToGrid w:val="0"/>
      <w:spacing w:before="240" w:after="240" w:line="348" w:lineRule="auto"/>
    </w:pPr>
    <w:rPr>
      <w:rFonts w:ascii="Tahoma" w:hAnsi="Tahoma" w:eastAsia="黑体" w:cs="Times New Roman"/>
      <w:bCs w:val="0"/>
      <w:kern w:val="2"/>
      <w:sz w:val="24"/>
      <w:szCs w:val="20"/>
    </w:rPr>
  </w:style>
  <w:style w:type="paragraph" w:customStyle="1" w:styleId="1747">
    <w:name w:val="日期2"/>
    <w:basedOn w:val="1"/>
    <w:next w:val="1"/>
    <w:qFormat/>
    <w:uiPriority w:val="99"/>
    <w:pPr>
      <w:autoSpaceDE w:val="0"/>
      <w:autoSpaceDN w:val="0"/>
      <w:adjustRightInd w:val="0"/>
      <w:spacing w:line="360" w:lineRule="atLeast"/>
      <w:jc w:val="left"/>
    </w:pPr>
    <w:rPr>
      <w:rFonts w:ascii="Times New Roman" w:hAnsi="Times New Roman" w:eastAsia="楷体_GB2312"/>
      <w:kern w:val="0"/>
      <w:sz w:val="24"/>
    </w:rPr>
  </w:style>
  <w:style w:type="paragraph" w:customStyle="1" w:styleId="1748">
    <w:name w:val="正文001"/>
    <w:basedOn w:val="1"/>
    <w:link w:val="1749"/>
    <w:qFormat/>
    <w:uiPriority w:val="0"/>
    <w:pPr>
      <w:spacing w:before="60" w:line="500" w:lineRule="atLeast"/>
      <w:ind w:firstLine="482"/>
    </w:pPr>
    <w:rPr>
      <w:rFonts w:ascii="Times New Roman" w:hAnsi="Times New Roman"/>
      <w:sz w:val="24"/>
      <w:szCs w:val="24"/>
      <w:lang w:eastAsia="en-US"/>
    </w:rPr>
  </w:style>
  <w:style w:type="character" w:customStyle="1" w:styleId="1749">
    <w:name w:val="正文001 Char"/>
    <w:link w:val="1748"/>
    <w:qFormat/>
    <w:locked/>
    <w:uiPriority w:val="0"/>
    <w:rPr>
      <w:rFonts w:ascii="Times New Roman" w:hAnsi="Times New Roman" w:eastAsia="宋体" w:cs="Times New Roman"/>
      <w:kern w:val="2"/>
      <w:sz w:val="24"/>
      <w:szCs w:val="24"/>
      <w:lang w:eastAsia="en-US"/>
    </w:rPr>
  </w:style>
  <w:style w:type="paragraph" w:customStyle="1" w:styleId="1750">
    <w:name w:val="Char Char Char Char Char Char"/>
    <w:basedOn w:val="1"/>
    <w:qFormat/>
    <w:uiPriority w:val="0"/>
    <w:rPr>
      <w:rFonts w:ascii="Times New Roman" w:hAnsi="Times New Roman"/>
      <w:sz w:val="24"/>
      <w:szCs w:val="24"/>
    </w:rPr>
  </w:style>
  <w:style w:type="paragraph" w:customStyle="1" w:styleId="1751">
    <w:name w:val="表格小四"/>
    <w:basedOn w:val="1"/>
    <w:qFormat/>
    <w:uiPriority w:val="99"/>
    <w:pPr>
      <w:spacing w:beforeLines="30"/>
      <w:jc w:val="center"/>
    </w:pPr>
    <w:rPr>
      <w:rFonts w:ascii="Times New Roman" w:hAnsi="Times New Roman"/>
      <w:sz w:val="24"/>
    </w:rPr>
  </w:style>
  <w:style w:type="paragraph" w:customStyle="1" w:styleId="1752">
    <w:name w:val="参考文献行"/>
    <w:basedOn w:val="2"/>
    <w:qFormat/>
    <w:uiPriority w:val="0"/>
    <w:pPr>
      <w:spacing w:after="0"/>
      <w:jc w:val="center"/>
    </w:pPr>
    <w:rPr>
      <w:rFonts w:ascii="仿宋_GB2312" w:hAnsi="Times New Roman" w:eastAsia="仿宋_GB2312" w:cs="Times New Roman"/>
      <w:szCs w:val="20"/>
    </w:rPr>
  </w:style>
  <w:style w:type="paragraph" w:customStyle="1" w:styleId="1753">
    <w:name w:val="样式 标题2 + 首行缩进:  1 字符 段前: 0.5 行"/>
    <w:basedOn w:val="1"/>
    <w:qFormat/>
    <w:uiPriority w:val="99"/>
    <w:pPr>
      <w:spacing w:beforeLines="50" w:line="500" w:lineRule="atLeast"/>
      <w:ind w:firstLine="281" w:firstLineChars="100"/>
      <w:jc w:val="left"/>
      <w:outlineLvl w:val="1"/>
    </w:pPr>
    <w:rPr>
      <w:rFonts w:ascii="Times New Roman" w:hAnsi="Times New Roman" w:cs="宋体"/>
      <w:b/>
      <w:bCs/>
      <w:sz w:val="28"/>
    </w:rPr>
  </w:style>
  <w:style w:type="paragraph" w:customStyle="1" w:styleId="1754">
    <w:name w:val="正文01"/>
    <w:basedOn w:val="1"/>
    <w:qFormat/>
    <w:uiPriority w:val="0"/>
    <w:pPr>
      <w:spacing w:before="60" w:line="460" w:lineRule="exact"/>
      <w:ind w:firstLine="200" w:firstLineChars="200"/>
    </w:pPr>
    <w:rPr>
      <w:rFonts w:ascii="Times New Roman" w:hAnsi="Times New Roman"/>
      <w:sz w:val="24"/>
      <w:szCs w:val="24"/>
    </w:rPr>
  </w:style>
  <w:style w:type="paragraph" w:customStyle="1" w:styleId="1755">
    <w:name w:val="表格（第一行）"/>
    <w:basedOn w:val="174"/>
    <w:next w:val="174"/>
    <w:qFormat/>
    <w:uiPriority w:val="0"/>
    <w:pPr>
      <w:adjustRightInd/>
      <w:snapToGrid/>
      <w:spacing w:line="320" w:lineRule="exact"/>
      <w:jc w:val="both"/>
      <w:textAlignment w:val="auto"/>
    </w:pPr>
    <w:rPr>
      <w:rFonts w:hint="eastAsia" w:eastAsia="宋体"/>
      <w:b/>
      <w:snapToGrid/>
      <w:color w:val="000000"/>
      <w:kern w:val="2"/>
      <w:sz w:val="21"/>
      <w:szCs w:val="18"/>
    </w:rPr>
  </w:style>
  <w:style w:type="paragraph" w:customStyle="1" w:styleId="1756">
    <w:name w:val="条目"/>
    <w:basedOn w:val="1"/>
    <w:qFormat/>
    <w:uiPriority w:val="99"/>
    <w:pPr>
      <w:adjustRightInd w:val="0"/>
      <w:spacing w:beforeLines="20" w:line="400" w:lineRule="atLeast"/>
      <w:ind w:left="400" w:leftChars="400"/>
    </w:pPr>
    <w:rPr>
      <w:rFonts w:ascii="Times New Roman" w:hAnsi="Times New Roman"/>
      <w:kern w:val="0"/>
      <w:sz w:val="24"/>
    </w:rPr>
  </w:style>
  <w:style w:type="paragraph" w:customStyle="1" w:styleId="1757">
    <w:name w:val="标题3 Char Char Char Char"/>
    <w:basedOn w:val="1"/>
    <w:qFormat/>
    <w:uiPriority w:val="0"/>
    <w:pPr>
      <w:spacing w:line="560" w:lineRule="exact"/>
      <w:ind w:right="1224" w:rightChars="583" w:firstLine="600" w:firstLineChars="250"/>
    </w:pPr>
    <w:rPr>
      <w:rFonts w:ascii="Times New Roman" w:hAnsi="Times New Roman" w:eastAsia="黑体"/>
      <w:sz w:val="30"/>
      <w:szCs w:val="30"/>
    </w:rPr>
  </w:style>
  <w:style w:type="paragraph" w:customStyle="1" w:styleId="1758">
    <w:name w:val="样式 表内文字 + 10 磅 首行缩进:  0.63 厘米"/>
    <w:basedOn w:val="46"/>
    <w:qFormat/>
    <w:uiPriority w:val="99"/>
    <w:pPr>
      <w:adjustRightInd w:val="0"/>
      <w:snapToGrid w:val="0"/>
      <w:spacing w:after="0" w:line="320" w:lineRule="exact"/>
      <w:ind w:firstLine="360"/>
      <w:jc w:val="center"/>
    </w:pPr>
    <w:rPr>
      <w:rFonts w:ascii="Times New Roman" w:hAnsi="Times New Roman" w:eastAsia="楷体_GB2312" w:cs="Times New Roman"/>
      <w:kern w:val="0"/>
      <w:sz w:val="20"/>
    </w:rPr>
  </w:style>
  <w:style w:type="paragraph" w:customStyle="1" w:styleId="1759">
    <w:name w:val="样式 正文001 + 首行缩进:  2 字符"/>
    <w:basedOn w:val="1"/>
    <w:qFormat/>
    <w:uiPriority w:val="99"/>
    <w:pPr>
      <w:spacing w:line="500" w:lineRule="atLeast"/>
      <w:ind w:firstLine="480" w:firstLineChars="200"/>
    </w:pPr>
    <w:rPr>
      <w:rFonts w:ascii="Times New Roman" w:hAnsi="Times New Roman" w:cs="宋体"/>
      <w:sz w:val="24"/>
    </w:rPr>
  </w:style>
  <w:style w:type="paragraph" w:customStyle="1" w:styleId="1760">
    <w:name w:val="二级标题"/>
    <w:qFormat/>
    <w:uiPriority w:val="99"/>
    <w:pPr>
      <w:spacing w:beforeLines="50"/>
      <w:outlineLvl w:val="1"/>
    </w:pPr>
    <w:rPr>
      <w:rFonts w:ascii="Times New Roman" w:hAnsi="Times New Roman" w:eastAsia="黑体" w:cs="Times New Roman"/>
      <w:b/>
      <w:kern w:val="2"/>
      <w:sz w:val="30"/>
      <w:szCs w:val="30"/>
      <w:lang w:val="en-US" w:eastAsia="zh-CN" w:bidi="ar-SA"/>
    </w:rPr>
  </w:style>
  <w:style w:type="paragraph" w:customStyle="1" w:styleId="1761">
    <w:name w:val="CM1"/>
    <w:basedOn w:val="107"/>
    <w:next w:val="107"/>
    <w:qFormat/>
    <w:uiPriority w:val="0"/>
    <w:rPr>
      <w:rFonts w:ascii="宋体" w:hAnsi="Times New Roman" w:eastAsia="宋体" w:cs="Times New Roman"/>
      <w:color w:val="auto"/>
    </w:rPr>
  </w:style>
  <w:style w:type="paragraph" w:customStyle="1" w:styleId="1762">
    <w:name w:val="CM4"/>
    <w:basedOn w:val="107"/>
    <w:next w:val="107"/>
    <w:qFormat/>
    <w:uiPriority w:val="0"/>
    <w:pPr>
      <w:spacing w:after="695"/>
    </w:pPr>
    <w:rPr>
      <w:rFonts w:ascii="宋体" w:hAnsi="Times New Roman" w:eastAsia="宋体" w:cs="Times New Roman"/>
      <w:color w:val="auto"/>
    </w:rPr>
  </w:style>
  <w:style w:type="paragraph" w:customStyle="1" w:styleId="1763">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rPr>
  </w:style>
  <w:style w:type="paragraph" w:customStyle="1" w:styleId="1764">
    <w:name w:val="自定义缩进"/>
    <w:basedOn w:val="1"/>
    <w:qFormat/>
    <w:uiPriority w:val="0"/>
    <w:pPr>
      <w:keepNext/>
      <w:spacing w:line="336" w:lineRule="auto"/>
      <w:ind w:firstLine="480" w:firstLineChars="200"/>
      <w:jc w:val="left"/>
    </w:pPr>
    <w:rPr>
      <w:rFonts w:ascii="宋体" w:hAnsi="宋体"/>
      <w:kern w:val="0"/>
      <w:sz w:val="24"/>
      <w:szCs w:val="24"/>
    </w:rPr>
  </w:style>
  <w:style w:type="paragraph" w:customStyle="1" w:styleId="1765">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766">
    <w:name w:val="CM14"/>
    <w:basedOn w:val="107"/>
    <w:next w:val="107"/>
    <w:qFormat/>
    <w:uiPriority w:val="0"/>
    <w:pPr>
      <w:spacing w:after="448"/>
    </w:pPr>
    <w:rPr>
      <w:rFonts w:ascii="宋体" w:hAnsi="Times New Roman" w:eastAsia="宋体" w:cs="Times New Roman"/>
      <w:color w:val="auto"/>
    </w:rPr>
  </w:style>
  <w:style w:type="paragraph" w:customStyle="1" w:styleId="1767">
    <w:name w:val="报告表正文"/>
    <w:basedOn w:val="1"/>
    <w:qFormat/>
    <w:uiPriority w:val="0"/>
    <w:pPr>
      <w:adjustRightInd w:val="0"/>
      <w:spacing w:line="300" w:lineRule="auto"/>
      <w:ind w:left="113" w:right="113"/>
    </w:pPr>
    <w:rPr>
      <w:rFonts w:ascii="Times New Roman" w:hAnsi="Times New Roman"/>
      <w:kern w:val="0"/>
      <w:sz w:val="24"/>
    </w:rPr>
  </w:style>
  <w:style w:type="paragraph" w:customStyle="1" w:styleId="1768">
    <w:name w:val="目录1"/>
    <w:basedOn w:val="1"/>
    <w:next w:val="1"/>
    <w:qFormat/>
    <w:uiPriority w:val="0"/>
    <w:pPr>
      <w:adjustRightInd w:val="0"/>
      <w:snapToGrid w:val="0"/>
      <w:spacing w:before="120" w:after="120" w:line="420" w:lineRule="atLeast"/>
    </w:pPr>
    <w:rPr>
      <w:rFonts w:ascii="Times New Roman" w:hAnsi="Times New Roman"/>
      <w:b/>
      <w:sz w:val="24"/>
    </w:rPr>
  </w:style>
  <w:style w:type="paragraph" w:customStyle="1" w:styleId="1769">
    <w:name w:val="xl48"/>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kern w:val="0"/>
      <w:sz w:val="20"/>
    </w:rPr>
  </w:style>
  <w:style w:type="paragraph" w:customStyle="1" w:styleId="177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177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1772">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Arial Unicode MS"/>
      <w:kern w:val="0"/>
      <w:sz w:val="22"/>
      <w:szCs w:val="22"/>
    </w:rPr>
  </w:style>
  <w:style w:type="paragraph" w:customStyle="1" w:styleId="177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Arial Unicode MS"/>
      <w:kern w:val="0"/>
      <w:sz w:val="22"/>
      <w:szCs w:val="22"/>
    </w:rPr>
  </w:style>
  <w:style w:type="paragraph" w:customStyle="1" w:styleId="1774">
    <w:name w:val="xl46"/>
    <w:basedOn w:val="1"/>
    <w:qFormat/>
    <w:uiPriority w:val="0"/>
    <w:pPr>
      <w:widowControl/>
      <w:pBdr>
        <w:lef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775">
    <w:name w:val="表格居中"/>
    <w:basedOn w:val="1"/>
    <w:link w:val="1776"/>
    <w:qFormat/>
    <w:uiPriority w:val="0"/>
    <w:pPr>
      <w:jc w:val="center"/>
    </w:pPr>
    <w:rPr>
      <w:rFonts w:ascii="Times New Roman" w:hAnsi="Times New Roman"/>
      <w:sz w:val="24"/>
    </w:rPr>
  </w:style>
  <w:style w:type="character" w:customStyle="1" w:styleId="1776">
    <w:name w:val="表格居中 Char Char"/>
    <w:link w:val="1775"/>
    <w:qFormat/>
    <w:uiPriority w:val="0"/>
    <w:rPr>
      <w:rFonts w:ascii="Times New Roman" w:hAnsi="Times New Roman" w:eastAsia="宋体" w:cs="Times New Roman"/>
      <w:kern w:val="2"/>
      <w:sz w:val="24"/>
    </w:rPr>
  </w:style>
  <w:style w:type="paragraph" w:customStyle="1" w:styleId="1777">
    <w:name w:val="3级标题"/>
    <w:basedOn w:val="1"/>
    <w:qFormat/>
    <w:uiPriority w:val="0"/>
    <w:pPr>
      <w:spacing w:before="300" w:line="460" w:lineRule="exact"/>
      <w:outlineLvl w:val="2"/>
    </w:pPr>
    <w:rPr>
      <w:rFonts w:ascii="Times New Roman" w:hAnsi="Times New Roman"/>
      <w:b/>
      <w:sz w:val="24"/>
      <w:szCs w:val="24"/>
    </w:rPr>
  </w:style>
  <w:style w:type="paragraph" w:customStyle="1" w:styleId="1778">
    <w:name w:val="目录"/>
    <w:basedOn w:val="166"/>
    <w:next w:val="166"/>
    <w:qFormat/>
    <w:uiPriority w:val="0"/>
    <w:pPr>
      <w:widowControl w:val="0"/>
      <w:pBdr>
        <w:bottom w:val="single" w:color="auto" w:sz="12" w:space="1"/>
      </w:pBdr>
      <w:spacing w:before="960" w:after="960"/>
      <w:ind w:firstLine="0" w:firstLineChars="0"/>
      <w:jc w:val="right"/>
    </w:pPr>
    <w:rPr>
      <w:rFonts w:ascii="Times New Roman" w:hAnsi="Times New Roman" w:eastAsia="黑体" w:cs="Times New Roman"/>
      <w:b/>
      <w:bCs w:val="0"/>
      <w:i/>
      <w:snapToGrid/>
      <w:kern w:val="2"/>
      <w:sz w:val="32"/>
    </w:rPr>
  </w:style>
  <w:style w:type="paragraph" w:customStyle="1" w:styleId="1779">
    <w:name w:val="基准页眉样式"/>
    <w:basedOn w:val="2"/>
    <w:qFormat/>
    <w:uiPriority w:val="99"/>
    <w:pPr>
      <w:spacing w:after="0" w:line="240" w:lineRule="atLeast"/>
      <w:jc w:val="center"/>
    </w:pPr>
    <w:rPr>
      <w:rFonts w:ascii="宋体" w:hAnsi="Times New Roman" w:eastAsia="宋体" w:cs="Times New Roman"/>
      <w:color w:val="000000"/>
      <w:szCs w:val="20"/>
    </w:rPr>
  </w:style>
  <w:style w:type="paragraph" w:customStyle="1" w:styleId="1780">
    <w:name w:val="样式 表内格式 + 黑色 两端对齐"/>
    <w:basedOn w:val="336"/>
    <w:qFormat/>
    <w:uiPriority w:val="99"/>
    <w:pPr>
      <w:jc w:val="both"/>
    </w:pPr>
    <w:rPr>
      <w:rFonts w:ascii="Times New Roman" w:hAnsi="Times New Roman" w:cs="宋体"/>
      <w:color w:val="000000"/>
    </w:rPr>
  </w:style>
  <w:style w:type="paragraph" w:customStyle="1" w:styleId="1781">
    <w:name w:val="默认段落字体 Para Char Char Char Char Char Char Char Char Char Char Char"/>
    <w:basedOn w:val="7"/>
    <w:qFormat/>
    <w:uiPriority w:val="99"/>
    <w:pPr>
      <w:keepNext w:val="0"/>
      <w:keepLines w:val="0"/>
      <w:tabs>
        <w:tab w:val="left" w:pos="360"/>
        <w:tab w:val="left" w:pos="900"/>
      </w:tabs>
      <w:snapToGrid w:val="0"/>
      <w:spacing w:before="120" w:after="120" w:line="360" w:lineRule="auto"/>
      <w:ind w:left="542" w:leftChars="-12" w:firstLine="200" w:firstLineChars="200"/>
    </w:pPr>
    <w:rPr>
      <w:rFonts w:ascii="楷体_GB2312" w:hAnsi="Times New Roman" w:eastAsia="宋体" w:cs="Times New Roman"/>
      <w:b w:val="0"/>
      <w:bCs w:val="0"/>
      <w:color w:val="FF0000"/>
      <w:kern w:val="2"/>
      <w:sz w:val="24"/>
      <w:szCs w:val="24"/>
    </w:rPr>
  </w:style>
  <w:style w:type="paragraph" w:customStyle="1" w:styleId="1782">
    <w:name w:val="CM5"/>
    <w:basedOn w:val="1"/>
    <w:next w:val="1"/>
    <w:qFormat/>
    <w:uiPriority w:val="0"/>
    <w:pPr>
      <w:autoSpaceDE w:val="0"/>
      <w:autoSpaceDN w:val="0"/>
      <w:adjustRightInd w:val="0"/>
      <w:spacing w:line="480" w:lineRule="atLeast"/>
      <w:jc w:val="left"/>
    </w:pPr>
    <w:rPr>
      <w:rFonts w:ascii="黑体" w:hAnsi="Times New Roman" w:eastAsia="黑体"/>
      <w:kern w:val="0"/>
      <w:sz w:val="24"/>
      <w:szCs w:val="24"/>
    </w:rPr>
  </w:style>
  <w:style w:type="paragraph" w:customStyle="1" w:styleId="1783">
    <w:name w:val="Char11"/>
    <w:basedOn w:val="1"/>
    <w:qFormat/>
    <w:uiPriority w:val="0"/>
    <w:rPr>
      <w:rFonts w:ascii="Times New Roman" w:hAnsi="Times New Roman"/>
      <w:szCs w:val="24"/>
    </w:rPr>
  </w:style>
  <w:style w:type="paragraph" w:customStyle="1" w:styleId="1784">
    <w:name w:val="Char Char Char1 Char Char Char Char Char Char Char Char Char Char"/>
    <w:basedOn w:val="1"/>
    <w:qFormat/>
    <w:uiPriority w:val="0"/>
    <w:rPr>
      <w:rFonts w:ascii="Times New Roman" w:hAnsi="Times New Roman"/>
      <w:szCs w:val="24"/>
    </w:rPr>
  </w:style>
  <w:style w:type="paragraph" w:customStyle="1" w:styleId="1785">
    <w:name w:val="Char3 Char Char Char Char Char Char"/>
    <w:basedOn w:val="1"/>
    <w:qFormat/>
    <w:uiPriority w:val="99"/>
    <w:pPr>
      <w:spacing w:line="360" w:lineRule="auto"/>
      <w:ind w:firstLine="200" w:firstLineChars="200"/>
    </w:pPr>
    <w:rPr>
      <w:rFonts w:ascii="宋体" w:hAnsi="宋体" w:cs="宋体"/>
      <w:sz w:val="24"/>
      <w:szCs w:val="24"/>
    </w:rPr>
  </w:style>
  <w:style w:type="paragraph" w:customStyle="1" w:styleId="1786">
    <w:name w:val="style2"/>
    <w:basedOn w:val="1"/>
    <w:qFormat/>
    <w:uiPriority w:val="0"/>
    <w:pPr>
      <w:widowControl/>
      <w:spacing w:before="100" w:beforeAutospacing="1" w:after="100" w:afterAutospacing="1"/>
      <w:jc w:val="left"/>
    </w:pPr>
    <w:rPr>
      <w:rFonts w:ascii="宋体" w:hAnsi="宋体"/>
      <w:kern w:val="0"/>
      <w:sz w:val="24"/>
      <w:szCs w:val="28"/>
    </w:rPr>
  </w:style>
  <w:style w:type="paragraph" w:customStyle="1" w:styleId="1787">
    <w:name w:val="样式"/>
    <w:basedOn w:val="1"/>
    <w:next w:val="69"/>
    <w:link w:val="1788"/>
    <w:qFormat/>
    <w:uiPriority w:val="0"/>
    <w:pPr>
      <w:tabs>
        <w:tab w:val="left" w:pos="6720"/>
      </w:tabs>
      <w:spacing w:line="360" w:lineRule="auto"/>
      <w:ind w:firstLine="480" w:firstLineChars="200"/>
    </w:pPr>
    <w:rPr>
      <w:rFonts w:ascii="楷体_GB2312" w:hAnsi="Times New Roman" w:eastAsia="楷体_GB2312"/>
      <w:sz w:val="24"/>
      <w:szCs w:val="24"/>
      <w:lang w:eastAsia="en-US"/>
    </w:rPr>
  </w:style>
  <w:style w:type="character" w:customStyle="1" w:styleId="1788">
    <w:name w:val="样式 Char"/>
    <w:link w:val="1787"/>
    <w:qFormat/>
    <w:locked/>
    <w:uiPriority w:val="0"/>
    <w:rPr>
      <w:rFonts w:ascii="楷体_GB2312" w:hAnsi="Times New Roman" w:eastAsia="楷体_GB2312" w:cs="Times New Roman"/>
      <w:kern w:val="2"/>
      <w:sz w:val="24"/>
      <w:szCs w:val="24"/>
      <w:lang w:eastAsia="en-US"/>
    </w:rPr>
  </w:style>
  <w:style w:type="paragraph" w:customStyle="1" w:styleId="1789">
    <w:name w:val="Char Char2 Char"/>
    <w:basedOn w:val="1"/>
    <w:qFormat/>
    <w:uiPriority w:val="99"/>
    <w:pPr>
      <w:spacing w:line="360" w:lineRule="auto"/>
      <w:ind w:firstLine="200" w:firstLineChars="200"/>
    </w:pPr>
    <w:rPr>
      <w:rFonts w:ascii="宋体" w:hAnsi="宋体" w:cs="宋体"/>
      <w:sz w:val="24"/>
      <w:szCs w:val="24"/>
    </w:rPr>
  </w:style>
  <w:style w:type="paragraph" w:customStyle="1" w:styleId="1790">
    <w:name w:val="1."/>
    <w:basedOn w:val="1"/>
    <w:qFormat/>
    <w:uiPriority w:val="0"/>
    <w:pPr>
      <w:tabs>
        <w:tab w:val="left" w:pos="1455"/>
        <w:tab w:val="left" w:pos="3000"/>
      </w:tabs>
      <w:spacing w:line="264" w:lineRule="auto"/>
      <w:ind w:left="1455" w:hanging="1455"/>
    </w:pPr>
    <w:rPr>
      <w:rFonts w:ascii="Times New Roman" w:hAnsi="Times New Roman"/>
      <w:sz w:val="24"/>
    </w:rPr>
  </w:style>
  <w:style w:type="paragraph" w:customStyle="1" w:styleId="1791">
    <w:name w:val="Char3"/>
    <w:basedOn w:val="1"/>
    <w:qFormat/>
    <w:uiPriority w:val="0"/>
    <w:pPr>
      <w:spacing w:line="360" w:lineRule="auto"/>
      <w:ind w:firstLine="200" w:firstLineChars="200"/>
    </w:pPr>
    <w:rPr>
      <w:rFonts w:ascii="Times New Roman" w:hAnsi="Times New Roman"/>
      <w:sz w:val="24"/>
    </w:rPr>
  </w:style>
  <w:style w:type="paragraph" w:customStyle="1" w:styleId="1792">
    <w:name w:val="样式 标题 2节h2l22nd levelTitre2Header 2节标题 1.1Header 2nd Pag..."/>
    <w:basedOn w:val="6"/>
    <w:qFormat/>
    <w:uiPriority w:val="99"/>
    <w:pPr>
      <w:adjustRightInd w:val="0"/>
      <w:snapToGrid w:val="0"/>
      <w:spacing w:before="0" w:after="0" w:line="360" w:lineRule="auto"/>
      <w:ind w:firstLine="560" w:firstLineChars="200"/>
    </w:pPr>
    <w:rPr>
      <w:rFonts w:eastAsia="宋体" w:cs="宋体"/>
      <w:bCs w:val="0"/>
      <w:sz w:val="28"/>
      <w:szCs w:val="20"/>
    </w:rPr>
  </w:style>
  <w:style w:type="paragraph" w:customStyle="1" w:styleId="1793">
    <w:name w:val="k正文"/>
    <w:basedOn w:val="1"/>
    <w:qFormat/>
    <w:uiPriority w:val="99"/>
    <w:pPr>
      <w:adjustRightInd w:val="0"/>
      <w:snapToGrid w:val="0"/>
      <w:spacing w:line="360" w:lineRule="auto"/>
      <w:ind w:firstLine="539"/>
    </w:pPr>
    <w:rPr>
      <w:rFonts w:ascii="Times New Roman" w:hAnsi="Times New Roman" w:eastAsia="仿宋_GB2312"/>
      <w:sz w:val="28"/>
    </w:rPr>
  </w:style>
  <w:style w:type="paragraph" w:customStyle="1" w:styleId="1794">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795">
    <w:name w:val="标表"/>
    <w:basedOn w:val="174"/>
    <w:qFormat/>
    <w:uiPriority w:val="99"/>
    <w:pPr>
      <w:spacing w:before="100" w:beforeAutospacing="1" w:after="100" w:afterAutospacing="1" w:line="240" w:lineRule="auto"/>
      <w:ind w:firstLine="200" w:firstLineChars="200"/>
      <w:textAlignment w:val="auto"/>
    </w:pPr>
    <w:rPr>
      <w:rFonts w:hint="eastAsia" w:ascii="Times New Roman" w:hAnsi="Times New Roman" w:eastAsia="宋体"/>
      <w:b/>
      <w:snapToGrid/>
      <w:sz w:val="21"/>
    </w:rPr>
  </w:style>
  <w:style w:type="paragraph" w:customStyle="1" w:styleId="1796">
    <w:name w:val="heading"/>
    <w:basedOn w:val="1"/>
    <w:next w:val="1"/>
    <w:qFormat/>
    <w:uiPriority w:val="99"/>
    <w:pPr>
      <w:keepNext/>
      <w:keepLines/>
      <w:tabs>
        <w:tab w:val="left" w:pos="425"/>
        <w:tab w:val="left" w:pos="1320"/>
      </w:tabs>
      <w:spacing w:line="360" w:lineRule="auto"/>
      <w:ind w:left="425" w:hanging="425"/>
      <w:outlineLvl w:val="1"/>
    </w:pPr>
    <w:rPr>
      <w:rFonts w:ascii="宋体" w:hAnsi="Arial Black"/>
      <w:sz w:val="24"/>
    </w:rPr>
  </w:style>
  <w:style w:type="paragraph" w:customStyle="1" w:styleId="1797">
    <w:name w:val="图注"/>
    <w:basedOn w:val="1"/>
    <w:next w:val="1"/>
    <w:qFormat/>
    <w:uiPriority w:val="99"/>
    <w:pPr>
      <w:snapToGrid w:val="0"/>
      <w:spacing w:before="60" w:line="360" w:lineRule="auto"/>
      <w:jc w:val="center"/>
    </w:pPr>
    <w:rPr>
      <w:rFonts w:ascii="Times New Roman" w:hAnsi="宋体"/>
      <w:sz w:val="24"/>
      <w:szCs w:val="24"/>
    </w:rPr>
  </w:style>
  <w:style w:type="paragraph" w:customStyle="1" w:styleId="1798">
    <w:name w:val="table format"/>
    <w:basedOn w:val="1"/>
    <w:qFormat/>
    <w:uiPriority w:val="0"/>
    <w:pPr>
      <w:adjustRightInd w:val="0"/>
      <w:snapToGrid w:val="0"/>
      <w:spacing w:line="320" w:lineRule="exact"/>
      <w:jc w:val="center"/>
    </w:pPr>
    <w:rPr>
      <w:rFonts w:ascii="Times New Roman" w:hAnsi="Times New Roman" w:eastAsia="仿宋_GB2312"/>
      <w:color w:val="000000"/>
      <w:kern w:val="0"/>
      <w:sz w:val="24"/>
      <w:u w:color="000000"/>
    </w:rPr>
  </w:style>
  <w:style w:type="paragraph" w:customStyle="1" w:styleId="1799">
    <w:name w:val="图文框"/>
    <w:basedOn w:val="1"/>
    <w:qFormat/>
    <w:uiPriority w:val="0"/>
    <w:pPr>
      <w:spacing w:line="280" w:lineRule="exact"/>
      <w:jc w:val="center"/>
    </w:pPr>
    <w:rPr>
      <w:rFonts w:ascii="Times New Roman" w:hAnsi="Times New Roman"/>
    </w:rPr>
  </w:style>
  <w:style w:type="paragraph" w:customStyle="1" w:styleId="1800">
    <w:name w:val="表格 1"/>
    <w:basedOn w:val="1"/>
    <w:qFormat/>
    <w:uiPriority w:val="0"/>
    <w:pPr>
      <w:spacing w:line="360" w:lineRule="exact"/>
      <w:jc w:val="center"/>
    </w:pPr>
    <w:rPr>
      <w:rFonts w:cs="宋体"/>
    </w:rPr>
  </w:style>
  <w:style w:type="paragraph" w:customStyle="1" w:styleId="1801">
    <w:name w:val="样式 楷体_GB2312 四号 首行缩进:  2 字符"/>
    <w:basedOn w:val="1"/>
    <w:qFormat/>
    <w:uiPriority w:val="99"/>
    <w:pPr>
      <w:ind w:firstLine="560" w:firstLineChars="200"/>
    </w:pPr>
    <w:rPr>
      <w:rFonts w:ascii="楷体_GB2312" w:hAnsi="楷体_GB2312" w:eastAsia="仿宋_GB2312"/>
      <w:sz w:val="28"/>
    </w:rPr>
  </w:style>
  <w:style w:type="paragraph" w:customStyle="1" w:styleId="1802">
    <w:name w:val="正文首行缩进1"/>
    <w:basedOn w:val="2"/>
    <w:qFormat/>
    <w:uiPriority w:val="99"/>
    <w:pPr>
      <w:adjustRightInd w:val="0"/>
      <w:spacing w:line="312" w:lineRule="atLeast"/>
      <w:ind w:firstLine="420"/>
    </w:pPr>
    <w:rPr>
      <w:rFonts w:ascii="Times New Roman" w:hAnsi="Times New Roman" w:eastAsia="宋体" w:cs="Times New Roman"/>
      <w:kern w:val="0"/>
      <w:sz w:val="27"/>
      <w:szCs w:val="20"/>
    </w:rPr>
  </w:style>
  <w:style w:type="paragraph" w:customStyle="1" w:styleId="1803">
    <w:name w:val="流程图"/>
    <w:basedOn w:val="1"/>
    <w:qFormat/>
    <w:uiPriority w:val="99"/>
    <w:pPr>
      <w:tabs>
        <w:tab w:val="left" w:pos="0"/>
      </w:tabs>
      <w:autoSpaceDE w:val="0"/>
      <w:autoSpaceDN w:val="0"/>
      <w:adjustRightInd w:val="0"/>
      <w:spacing w:line="240" w:lineRule="atLeast"/>
      <w:jc w:val="center"/>
    </w:pPr>
    <w:rPr>
      <w:rFonts w:ascii="宋体" w:hAnsi="Times New Roman"/>
    </w:rPr>
  </w:style>
  <w:style w:type="paragraph" w:customStyle="1" w:styleId="1804">
    <w:name w:val="证书1"/>
    <w:basedOn w:val="1"/>
    <w:qFormat/>
    <w:uiPriority w:val="99"/>
    <w:pPr>
      <w:spacing w:line="500" w:lineRule="exact"/>
      <w:jc w:val="center"/>
    </w:pPr>
    <w:rPr>
      <w:rFonts w:ascii="隶书" w:hAnsi="Times New Roman" w:eastAsia="隶书"/>
      <w:b/>
      <w:sz w:val="36"/>
      <w:szCs w:val="36"/>
    </w:rPr>
  </w:style>
  <w:style w:type="paragraph" w:customStyle="1" w:styleId="1805">
    <w:name w:val="证书2"/>
    <w:basedOn w:val="1"/>
    <w:qFormat/>
    <w:uiPriority w:val="99"/>
    <w:pPr>
      <w:spacing w:before="156" w:line="400" w:lineRule="exact"/>
      <w:jc w:val="distribute"/>
    </w:pPr>
    <w:rPr>
      <w:rFonts w:ascii="隶书" w:hAnsi="Times New Roman" w:eastAsia="隶书" w:cs="宋体"/>
      <w:b/>
      <w:bCs/>
      <w:sz w:val="32"/>
    </w:rPr>
  </w:style>
  <w:style w:type="paragraph" w:customStyle="1" w:styleId="1806">
    <w:name w:val="证书3"/>
    <w:basedOn w:val="1"/>
    <w:qFormat/>
    <w:uiPriority w:val="99"/>
    <w:pPr>
      <w:spacing w:line="320" w:lineRule="exact"/>
      <w:ind w:left="-57" w:right="-57"/>
      <w:jc w:val="center"/>
    </w:pPr>
    <w:rPr>
      <w:rFonts w:ascii="隶书" w:hAnsi="宋体" w:eastAsia="隶书" w:cs="宋体"/>
      <w:b/>
      <w:bCs/>
      <w:sz w:val="24"/>
    </w:rPr>
  </w:style>
  <w:style w:type="paragraph" w:customStyle="1" w:styleId="1807">
    <w:name w:val="证书4"/>
    <w:basedOn w:val="1"/>
    <w:qFormat/>
    <w:uiPriority w:val="99"/>
    <w:pPr>
      <w:spacing w:line="400" w:lineRule="exact"/>
      <w:jc w:val="center"/>
    </w:pPr>
    <w:rPr>
      <w:rFonts w:ascii="隶书" w:hAnsi="Times New Roman" w:eastAsia="隶书" w:cs="宋体"/>
      <w:b/>
      <w:bCs/>
      <w:sz w:val="30"/>
    </w:rPr>
  </w:style>
  <w:style w:type="paragraph" w:customStyle="1" w:styleId="1808">
    <w:name w:val="证书5"/>
    <w:basedOn w:val="1"/>
    <w:qFormat/>
    <w:uiPriority w:val="99"/>
    <w:pPr>
      <w:spacing w:line="500" w:lineRule="exact"/>
      <w:jc w:val="center"/>
    </w:pPr>
    <w:rPr>
      <w:rFonts w:ascii="隶书" w:hAnsi="Times New Roman" w:eastAsia="隶书" w:cs="宋体"/>
      <w:b/>
      <w:bCs/>
      <w:sz w:val="44"/>
    </w:rPr>
  </w:style>
  <w:style w:type="paragraph" w:customStyle="1" w:styleId="1809">
    <w:name w:val="段落1"/>
    <w:basedOn w:val="1"/>
    <w:qFormat/>
    <w:uiPriority w:val="99"/>
    <w:pPr>
      <w:adjustRightInd w:val="0"/>
      <w:spacing w:line="440" w:lineRule="exact"/>
      <w:ind w:firstLine="200" w:firstLineChars="200"/>
    </w:pPr>
    <w:rPr>
      <w:rFonts w:ascii="Times New Roman" w:hAnsi="Times New Roman"/>
      <w:spacing w:val="8"/>
      <w:sz w:val="28"/>
    </w:rPr>
  </w:style>
  <w:style w:type="paragraph" w:customStyle="1" w:styleId="1810">
    <w:name w:val="段落2"/>
    <w:basedOn w:val="1"/>
    <w:qFormat/>
    <w:uiPriority w:val="99"/>
    <w:pPr>
      <w:adjustRightInd w:val="0"/>
      <w:spacing w:line="440" w:lineRule="atLeast"/>
    </w:pPr>
    <w:rPr>
      <w:rFonts w:ascii="Times New Roman" w:hAnsi="Times New Roman"/>
      <w:spacing w:val="6"/>
      <w:sz w:val="28"/>
    </w:rPr>
  </w:style>
  <w:style w:type="paragraph" w:customStyle="1" w:styleId="1811">
    <w:name w:val="样式 标表 +"/>
    <w:basedOn w:val="1795"/>
    <w:qFormat/>
    <w:uiPriority w:val="99"/>
    <w:pPr>
      <w:jc w:val="left"/>
    </w:pPr>
  </w:style>
  <w:style w:type="paragraph" w:customStyle="1" w:styleId="1812">
    <w:name w:val="1样式1"/>
    <w:basedOn w:val="5"/>
    <w:qFormat/>
    <w:uiPriority w:val="99"/>
    <w:pPr>
      <w:tabs>
        <w:tab w:val="left" w:pos="2040"/>
      </w:tabs>
      <w:snapToGrid w:val="0"/>
      <w:spacing w:before="120" w:after="60" w:line="288" w:lineRule="auto"/>
      <w:ind w:left="1770" w:leftChars="800" w:hanging="1770" w:hangingChars="200"/>
    </w:pPr>
    <w:rPr>
      <w:rFonts w:ascii="Times New Roman" w:hAnsi="Times New Roman" w:eastAsia="宋体" w:cs="Times New Roman"/>
      <w:bCs w:val="0"/>
      <w:sz w:val="32"/>
      <w:szCs w:val="20"/>
    </w:rPr>
  </w:style>
  <w:style w:type="paragraph" w:customStyle="1" w:styleId="1813">
    <w:name w:val="gray"/>
    <w:basedOn w:val="1"/>
    <w:qFormat/>
    <w:uiPriority w:val="99"/>
    <w:pPr>
      <w:widowControl/>
      <w:spacing w:before="100" w:beforeAutospacing="1" w:after="100" w:afterAutospacing="1" w:line="301" w:lineRule="atLeast"/>
      <w:jc w:val="left"/>
    </w:pPr>
    <w:rPr>
      <w:rFonts w:ascii="宋体" w:hAnsi="宋体"/>
      <w:color w:val="737373"/>
      <w:kern w:val="0"/>
      <w:sz w:val="20"/>
    </w:rPr>
  </w:style>
  <w:style w:type="paragraph" w:customStyle="1" w:styleId="1814">
    <w:name w:val="font0"/>
    <w:basedOn w:val="1"/>
    <w:qFormat/>
    <w:uiPriority w:val="0"/>
    <w:pPr>
      <w:widowControl/>
      <w:spacing w:before="100" w:beforeAutospacing="1" w:after="100" w:afterAutospacing="1"/>
      <w:jc w:val="left"/>
    </w:pPr>
    <w:rPr>
      <w:rFonts w:ascii="Times New Roman" w:hAnsi="Times New Roman" w:eastAsia="Arial Unicode MS"/>
      <w:kern w:val="0"/>
      <w:sz w:val="24"/>
      <w:szCs w:val="24"/>
    </w:rPr>
  </w:style>
  <w:style w:type="paragraph" w:customStyle="1" w:styleId="1815">
    <w:name w:val="font10"/>
    <w:basedOn w:val="1"/>
    <w:qFormat/>
    <w:uiPriority w:val="0"/>
    <w:pPr>
      <w:widowControl/>
      <w:spacing w:before="100" w:beforeAutospacing="1" w:after="100" w:afterAutospacing="1"/>
      <w:jc w:val="left"/>
    </w:pPr>
    <w:rPr>
      <w:rFonts w:ascii="宋体" w:hAnsi="宋体" w:cs="Arial Unicode MS"/>
      <w:kern w:val="0"/>
      <w:sz w:val="22"/>
      <w:szCs w:val="22"/>
    </w:rPr>
  </w:style>
  <w:style w:type="paragraph" w:customStyle="1" w:styleId="1816">
    <w:name w:val="TabHead"/>
    <w:basedOn w:val="1"/>
    <w:qFormat/>
    <w:uiPriority w:val="99"/>
    <w:pPr>
      <w:spacing w:line="360" w:lineRule="auto"/>
      <w:ind w:firstLine="480" w:firstLineChars="200"/>
      <w:jc w:val="center"/>
    </w:pPr>
    <w:rPr>
      <w:rFonts w:ascii="Times New Roman" w:hAnsi="Times New Roman"/>
      <w:sz w:val="24"/>
      <w:szCs w:val="24"/>
    </w:rPr>
  </w:style>
  <w:style w:type="paragraph" w:customStyle="1" w:styleId="1817">
    <w:name w:val="tdbg_mainall"/>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818">
    <w:name w:val="style15"/>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819">
    <w:name w:val="Char Char Char1 Char Char Char Char"/>
    <w:basedOn w:val="1"/>
    <w:next w:val="1"/>
    <w:qFormat/>
    <w:uiPriority w:val="0"/>
    <w:pPr>
      <w:spacing w:line="360" w:lineRule="auto"/>
      <w:ind w:firstLine="200" w:firstLineChars="200"/>
    </w:pPr>
    <w:rPr>
      <w:rFonts w:ascii="宋体" w:hAnsi="宋体" w:cs="宋体"/>
      <w:sz w:val="24"/>
      <w:szCs w:val="21"/>
    </w:rPr>
  </w:style>
  <w:style w:type="paragraph" w:customStyle="1" w:styleId="1820">
    <w:name w:val="正文（首行缩进两字）m"/>
    <w:basedOn w:val="23"/>
    <w:qFormat/>
    <w:uiPriority w:val="99"/>
    <w:pPr>
      <w:tabs>
        <w:tab w:val="left" w:pos="1848"/>
        <w:tab w:val="left" w:pos="6061"/>
        <w:tab w:val="left" w:pos="8665"/>
      </w:tabs>
      <w:snapToGrid w:val="0"/>
      <w:spacing w:beforeLines="50" w:after="0" w:line="460" w:lineRule="exact"/>
      <w:ind w:firstLine="480" w:firstLineChars="200"/>
    </w:pPr>
    <w:rPr>
      <w:rFonts w:ascii="宋体" w:hAnsi="宋体" w:cs="Times New Roman"/>
      <w:kern w:val="2"/>
      <w:sz w:val="24"/>
    </w:rPr>
  </w:style>
  <w:style w:type="paragraph" w:customStyle="1" w:styleId="1821">
    <w:name w:val="文件"/>
    <w:basedOn w:val="1"/>
    <w:qFormat/>
    <w:uiPriority w:val="99"/>
    <w:pPr>
      <w:tabs>
        <w:tab w:val="left" w:pos="1440"/>
        <w:tab w:val="left" w:pos="1680"/>
      </w:tabs>
      <w:spacing w:before="120" w:after="120" w:line="360" w:lineRule="auto"/>
    </w:pPr>
    <w:rPr>
      <w:rFonts w:ascii="黑体" w:hAnsi="Times New Roman" w:eastAsia="黑体"/>
      <w:kern w:val="0"/>
      <w:sz w:val="24"/>
    </w:rPr>
  </w:style>
  <w:style w:type="paragraph" w:customStyle="1" w:styleId="1822">
    <w:name w:val="样2"/>
    <w:basedOn w:val="1"/>
    <w:next w:val="1"/>
    <w:qFormat/>
    <w:uiPriority w:val="99"/>
    <w:pPr>
      <w:adjustRightInd w:val="0"/>
      <w:jc w:val="center"/>
    </w:pPr>
    <w:rPr>
      <w:rFonts w:ascii="Times New Roman" w:hAnsi="Times New Roman"/>
      <w:kern w:val="0"/>
      <w:sz w:val="24"/>
    </w:rPr>
  </w:style>
  <w:style w:type="paragraph" w:customStyle="1" w:styleId="1823">
    <w:name w:val="大表"/>
    <w:basedOn w:val="1"/>
    <w:qFormat/>
    <w:uiPriority w:val="99"/>
    <w:pPr>
      <w:pageBreakBefore/>
      <w:jc w:val="center"/>
    </w:pPr>
    <w:rPr>
      <w:rFonts w:ascii="Times New Roman" w:hAnsi="宋体" w:eastAsia="黑体"/>
      <w:b/>
      <w:bCs/>
      <w:sz w:val="28"/>
      <w:szCs w:val="24"/>
    </w:rPr>
  </w:style>
  <w:style w:type="paragraph" w:customStyle="1" w:styleId="1824">
    <w:name w:val="标3"/>
    <w:basedOn w:val="7"/>
    <w:next w:val="1"/>
    <w:qFormat/>
    <w:uiPriority w:val="99"/>
    <w:pPr>
      <w:autoSpaceDE w:val="0"/>
      <w:autoSpaceDN w:val="0"/>
      <w:adjustRightInd w:val="0"/>
      <w:snapToGrid w:val="0"/>
      <w:spacing w:before="0" w:after="0" w:line="288" w:lineRule="auto"/>
      <w:ind w:firstLine="601"/>
      <w:outlineLvl w:val="9"/>
    </w:pPr>
    <w:rPr>
      <w:rFonts w:ascii="仿宋" w:hAnsi="仿宋" w:eastAsia="宋体" w:cs="Times New Roman"/>
      <w:b w:val="0"/>
      <w:color w:val="000000"/>
      <w:sz w:val="28"/>
      <w:szCs w:val="24"/>
    </w:rPr>
  </w:style>
  <w:style w:type="paragraph" w:customStyle="1" w:styleId="1825">
    <w:name w:val="标2"/>
    <w:basedOn w:val="6"/>
    <w:next w:val="1"/>
    <w:qFormat/>
    <w:uiPriority w:val="99"/>
    <w:pPr>
      <w:autoSpaceDE w:val="0"/>
      <w:autoSpaceDN w:val="0"/>
      <w:adjustRightInd w:val="0"/>
      <w:snapToGrid w:val="0"/>
      <w:spacing w:beforeLines="100" w:afterLines="10" w:line="288" w:lineRule="auto"/>
      <w:ind w:firstLine="601"/>
      <w:outlineLvl w:val="9"/>
    </w:pPr>
    <w:rPr>
      <w:rFonts w:ascii="Times New Roman" w:hAnsi="Times New Roman" w:eastAsia="宋体" w:cs="Times New Roman"/>
      <w:b w:val="0"/>
      <w:color w:val="000000"/>
      <w:sz w:val="30"/>
      <w:szCs w:val="28"/>
    </w:rPr>
  </w:style>
  <w:style w:type="paragraph" w:customStyle="1" w:styleId="1826">
    <w:name w:val="样1"/>
    <w:basedOn w:val="1"/>
    <w:qFormat/>
    <w:uiPriority w:val="99"/>
    <w:pPr>
      <w:autoSpaceDE w:val="0"/>
      <w:autoSpaceDN w:val="0"/>
      <w:adjustRightInd w:val="0"/>
      <w:spacing w:line="360" w:lineRule="auto"/>
      <w:ind w:right="232"/>
      <w:jc w:val="center"/>
    </w:pPr>
    <w:rPr>
      <w:rFonts w:ascii="Times New Roman" w:hAnsi="Times New Roman"/>
      <w:kern w:val="0"/>
      <w:sz w:val="28"/>
    </w:rPr>
  </w:style>
  <w:style w:type="paragraph" w:customStyle="1" w:styleId="1827">
    <w:name w:val="表标题1"/>
    <w:basedOn w:val="1820"/>
    <w:qFormat/>
    <w:uiPriority w:val="99"/>
    <w:pPr>
      <w:jc w:val="center"/>
    </w:pPr>
  </w:style>
  <w:style w:type="paragraph" w:customStyle="1" w:styleId="1828">
    <w:name w:val="表中值"/>
    <w:basedOn w:val="1"/>
    <w:qFormat/>
    <w:uiPriority w:val="99"/>
    <w:pPr>
      <w:keepLines/>
      <w:widowControl/>
      <w:spacing w:line="360" w:lineRule="exact"/>
      <w:jc w:val="center"/>
    </w:pPr>
    <w:rPr>
      <w:rFonts w:ascii="Times New Roman" w:hAnsi="Times New Roman"/>
      <w:spacing w:val="4"/>
      <w:sz w:val="24"/>
      <w:szCs w:val="24"/>
    </w:rPr>
  </w:style>
  <w:style w:type="paragraph" w:customStyle="1" w:styleId="1829">
    <w:name w:val="编号"/>
    <w:basedOn w:val="1820"/>
    <w:qFormat/>
    <w:uiPriority w:val="99"/>
    <w:pPr>
      <w:numPr>
        <w:ilvl w:val="0"/>
        <w:numId w:val="24"/>
      </w:numPr>
      <w:tabs>
        <w:tab w:val="left" w:pos="900"/>
        <w:tab w:val="clear" w:pos="1848"/>
      </w:tabs>
      <w:spacing w:beforeLines="0"/>
      <w:ind w:firstLine="0" w:firstLineChars="0"/>
    </w:pPr>
    <w:rPr>
      <w:rFonts w:ascii="Times New Roman" w:hAnsi="Times New Roman"/>
    </w:rPr>
  </w:style>
  <w:style w:type="paragraph" w:customStyle="1" w:styleId="1830">
    <w:name w:val="li"/>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rPr>
  </w:style>
  <w:style w:type="paragraph" w:customStyle="1" w:styleId="1831">
    <w:name w:val="l13"/>
    <w:basedOn w:val="1"/>
    <w:qFormat/>
    <w:uiPriority w:val="99"/>
    <w:pPr>
      <w:widowControl/>
      <w:spacing w:before="100" w:beforeAutospacing="1" w:after="100" w:afterAutospacing="1"/>
      <w:jc w:val="left"/>
    </w:pPr>
    <w:rPr>
      <w:rFonts w:ascii="Arial Unicode MS" w:hAnsi="Arial Unicode MS" w:eastAsia="Arial Unicode MS" w:cs="Arial Unicode MS"/>
      <w:color w:val="FFFFFF"/>
      <w:kern w:val="0"/>
      <w:sz w:val="18"/>
      <w:szCs w:val="18"/>
    </w:rPr>
  </w:style>
  <w:style w:type="paragraph" w:customStyle="1" w:styleId="1832">
    <w:name w:val="l15"/>
    <w:basedOn w:val="1"/>
    <w:qFormat/>
    <w:uiPriority w:val="99"/>
    <w:pPr>
      <w:widowControl/>
      <w:spacing w:before="100" w:beforeAutospacing="1" w:after="100" w:afterAutospacing="1" w:line="360" w:lineRule="auto"/>
      <w:jc w:val="left"/>
    </w:pPr>
    <w:rPr>
      <w:rFonts w:ascii="Arial Unicode MS" w:hAnsi="Arial Unicode MS" w:eastAsia="Arial Unicode MS" w:cs="Arial Unicode MS"/>
      <w:color w:val="FFFFFF"/>
      <w:kern w:val="0"/>
      <w:sz w:val="18"/>
      <w:szCs w:val="18"/>
    </w:rPr>
  </w:style>
  <w:style w:type="paragraph" w:customStyle="1" w:styleId="1833">
    <w:name w:val="f14"/>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8"/>
      <w:szCs w:val="18"/>
    </w:rPr>
  </w:style>
  <w:style w:type="paragraph" w:customStyle="1" w:styleId="1834">
    <w:name w:val="fs14"/>
    <w:basedOn w:val="1"/>
    <w:qFormat/>
    <w:uiPriority w:val="99"/>
    <w:pPr>
      <w:widowControl/>
      <w:pBdr>
        <w:top w:val="single" w:color="022E49" w:sz="6" w:space="0"/>
        <w:left w:val="single" w:color="022E49" w:sz="6" w:space="0"/>
        <w:bottom w:val="single" w:color="022E49" w:sz="6" w:space="0"/>
        <w:right w:val="single" w:color="022E49" w:sz="6" w:space="0"/>
      </w:pBdr>
      <w:spacing w:before="100" w:beforeAutospacing="1" w:after="100" w:afterAutospacing="1"/>
      <w:jc w:val="left"/>
    </w:pPr>
    <w:rPr>
      <w:rFonts w:ascii="Arial Unicode MS" w:hAnsi="Arial Unicode MS" w:eastAsia="Arial Unicode MS" w:cs="Arial Unicode MS"/>
      <w:color w:val="022E49"/>
      <w:kern w:val="0"/>
      <w:szCs w:val="21"/>
    </w:rPr>
  </w:style>
  <w:style w:type="paragraph" w:customStyle="1" w:styleId="1835">
    <w:name w:val="编号3"/>
    <w:basedOn w:val="23"/>
    <w:qFormat/>
    <w:uiPriority w:val="99"/>
    <w:pPr>
      <w:numPr>
        <w:ilvl w:val="1"/>
        <w:numId w:val="23"/>
      </w:numPr>
      <w:snapToGrid w:val="0"/>
      <w:spacing w:after="0" w:line="460" w:lineRule="exact"/>
      <w:ind w:left="0" w:firstLine="567"/>
    </w:pPr>
    <w:rPr>
      <w:rFonts w:cs="Times New Roman"/>
      <w:kern w:val="2"/>
      <w:sz w:val="24"/>
    </w:rPr>
  </w:style>
  <w:style w:type="paragraph" w:customStyle="1" w:styleId="1836">
    <w:name w:val="编号5"/>
    <w:basedOn w:val="1"/>
    <w:qFormat/>
    <w:uiPriority w:val="99"/>
    <w:pPr>
      <w:tabs>
        <w:tab w:val="left" w:pos="420"/>
      </w:tabs>
      <w:spacing w:line="380" w:lineRule="exact"/>
      <w:ind w:firstLine="567"/>
    </w:pPr>
    <w:rPr>
      <w:rFonts w:ascii="Times New Roman" w:hAnsi="Times New Roman"/>
      <w:sz w:val="24"/>
    </w:rPr>
  </w:style>
  <w:style w:type="paragraph" w:customStyle="1" w:styleId="1837">
    <w:name w:val="标注1"/>
    <w:basedOn w:val="1820"/>
    <w:qFormat/>
    <w:uiPriority w:val="99"/>
    <w:pPr>
      <w:tabs>
        <w:tab w:val="left" w:pos="1034"/>
        <w:tab w:val="left" w:pos="3010"/>
      </w:tabs>
      <w:ind w:left="1034" w:hanging="720" w:firstLineChars="0"/>
    </w:pPr>
  </w:style>
  <w:style w:type="paragraph" w:customStyle="1" w:styleId="1838">
    <w:name w:val="正文t"/>
    <w:basedOn w:val="1"/>
    <w:qFormat/>
    <w:uiPriority w:val="99"/>
    <w:pPr>
      <w:spacing w:line="460" w:lineRule="exact"/>
      <w:ind w:firstLine="480" w:firstLineChars="200"/>
    </w:pPr>
    <w:rPr>
      <w:rFonts w:ascii="Times New Roman" w:hAnsi="Times New Roman"/>
      <w:sz w:val="24"/>
    </w:rPr>
  </w:style>
  <w:style w:type="paragraph" w:customStyle="1" w:styleId="1839">
    <w:name w:val="Table1"/>
    <w:basedOn w:val="1"/>
    <w:qFormat/>
    <w:uiPriority w:val="99"/>
    <w:pPr>
      <w:tabs>
        <w:tab w:val="left" w:pos="560"/>
      </w:tabs>
      <w:snapToGrid w:val="0"/>
      <w:spacing w:line="460" w:lineRule="atLeast"/>
      <w:jc w:val="center"/>
    </w:pPr>
    <w:rPr>
      <w:rFonts w:ascii="宋体" w:hAnsi="Times New Roman"/>
      <w:kern w:val="10"/>
      <w:sz w:val="24"/>
    </w:rPr>
  </w:style>
  <w:style w:type="paragraph" w:customStyle="1" w:styleId="1840">
    <w:name w:val="样式 标题 4款标题1.1.1段款标题1.1.1.1四四级标题Heading4Subsection4 dash...1"/>
    <w:basedOn w:val="8"/>
    <w:qFormat/>
    <w:uiPriority w:val="99"/>
    <w:pPr>
      <w:keepNext w:val="0"/>
      <w:keepLines w:val="0"/>
      <w:tabs>
        <w:tab w:val="left" w:pos="288"/>
        <w:tab w:val="left" w:pos="720"/>
      </w:tabs>
      <w:spacing w:beforeLines="50" w:after="0" w:line="240" w:lineRule="auto"/>
      <w:ind w:left="720" w:hanging="720"/>
    </w:pPr>
    <w:rPr>
      <w:rFonts w:ascii="Times New Roman" w:hAnsi="Times New Roman" w:eastAsia="宋体" w:cs="Times New Roman"/>
      <w:sz w:val="24"/>
      <w:szCs w:val="20"/>
    </w:rPr>
  </w:style>
  <w:style w:type="paragraph" w:customStyle="1" w:styleId="1841">
    <w:name w:val="样式 标题 3标题 3 Char Char条标题1.1.1Section头小标题小节标题Sottoparagraf...1"/>
    <w:basedOn w:val="7"/>
    <w:qFormat/>
    <w:uiPriority w:val="99"/>
    <w:pPr>
      <w:keepNext w:val="0"/>
      <w:keepLines w:val="0"/>
      <w:tabs>
        <w:tab w:val="left" w:pos="567"/>
        <w:tab w:val="left" w:pos="1276"/>
      </w:tabs>
      <w:spacing w:beforeLines="50" w:after="60" w:line="360" w:lineRule="auto"/>
      <w:ind w:left="567" w:hanging="567"/>
    </w:pPr>
    <w:rPr>
      <w:rFonts w:ascii="Times New Roman" w:hAnsi="Times New Roman" w:eastAsia="宋体" w:cs="宋体"/>
      <w:kern w:val="2"/>
      <w:sz w:val="24"/>
      <w:szCs w:val="20"/>
    </w:rPr>
  </w:style>
  <w:style w:type="paragraph" w:customStyle="1" w:styleId="1842">
    <w:name w:val="Char Char Char1 Char Char Char Char Char Char Char Char Char Char1"/>
    <w:basedOn w:val="1"/>
    <w:qFormat/>
    <w:uiPriority w:val="99"/>
    <w:rPr>
      <w:rFonts w:ascii="Times New Roman" w:hAnsi="Times New Roman"/>
      <w:szCs w:val="24"/>
    </w:rPr>
  </w:style>
  <w:style w:type="paragraph" w:customStyle="1" w:styleId="1843">
    <w:name w:val="Char3 Char Char Char Char Char Char1"/>
    <w:basedOn w:val="1"/>
    <w:qFormat/>
    <w:uiPriority w:val="99"/>
    <w:pPr>
      <w:spacing w:line="360" w:lineRule="auto"/>
      <w:ind w:firstLine="200" w:firstLineChars="200"/>
    </w:pPr>
    <w:rPr>
      <w:rFonts w:ascii="宋体" w:hAnsi="宋体" w:cs="宋体"/>
      <w:sz w:val="24"/>
      <w:szCs w:val="24"/>
    </w:rPr>
  </w:style>
  <w:style w:type="paragraph" w:customStyle="1" w:styleId="1844">
    <w:name w:val="Char Char2 Char1"/>
    <w:basedOn w:val="1"/>
    <w:qFormat/>
    <w:uiPriority w:val="99"/>
    <w:pPr>
      <w:spacing w:line="360" w:lineRule="auto"/>
      <w:ind w:firstLine="200" w:firstLineChars="200"/>
    </w:pPr>
    <w:rPr>
      <w:rFonts w:ascii="宋体" w:hAnsi="宋体" w:cs="宋体"/>
      <w:sz w:val="24"/>
      <w:szCs w:val="24"/>
    </w:rPr>
  </w:style>
  <w:style w:type="paragraph" w:customStyle="1" w:styleId="1845">
    <w:name w:val="Char31"/>
    <w:basedOn w:val="1"/>
    <w:qFormat/>
    <w:uiPriority w:val="99"/>
    <w:pPr>
      <w:spacing w:line="360" w:lineRule="auto"/>
      <w:ind w:firstLine="200" w:firstLineChars="200"/>
    </w:pPr>
    <w:rPr>
      <w:rFonts w:ascii="Times New Roman" w:hAnsi="Times New Roman"/>
      <w:sz w:val="24"/>
    </w:rPr>
  </w:style>
  <w:style w:type="paragraph" w:customStyle="1" w:styleId="1846">
    <w:name w:val="Char Char Char1 Char Char Char Char1"/>
    <w:basedOn w:val="1"/>
    <w:next w:val="1"/>
    <w:qFormat/>
    <w:uiPriority w:val="99"/>
    <w:pPr>
      <w:spacing w:line="360" w:lineRule="auto"/>
      <w:ind w:firstLine="200" w:firstLineChars="200"/>
    </w:pPr>
    <w:rPr>
      <w:rFonts w:ascii="宋体" w:hAnsi="宋体" w:cs="宋体"/>
      <w:sz w:val="24"/>
      <w:szCs w:val="21"/>
    </w:rPr>
  </w:style>
  <w:style w:type="paragraph" w:customStyle="1" w:styleId="1847">
    <w:name w:val="样式 标题 4款标题1.1.1段款标题1.1.1.1四四级标题Heading4Subsection4 dash..."/>
    <w:basedOn w:val="8"/>
    <w:qFormat/>
    <w:uiPriority w:val="99"/>
    <w:pPr>
      <w:keepNext w:val="0"/>
      <w:keepLines w:val="0"/>
      <w:tabs>
        <w:tab w:val="left" w:pos="720"/>
      </w:tabs>
      <w:spacing w:beforeLines="50" w:after="0" w:line="240" w:lineRule="auto"/>
      <w:ind w:firstLine="127" w:firstLineChars="127"/>
    </w:pPr>
    <w:rPr>
      <w:rFonts w:ascii="Times New Roman" w:hAnsi="Times New Roman" w:eastAsia="宋体" w:cs="Times New Roman"/>
      <w:sz w:val="24"/>
      <w:szCs w:val="20"/>
    </w:rPr>
  </w:style>
  <w:style w:type="paragraph" w:customStyle="1" w:styleId="1848">
    <w:name w:val="样式 样式 标题 4款标题1.1.1段款标题1.1.1.1四四级标题Heading4Subsection4 dash... + ..."/>
    <w:basedOn w:val="1847"/>
    <w:qFormat/>
    <w:uiPriority w:val="99"/>
    <w:pPr>
      <w:ind w:firstLine="720" w:firstLineChars="0"/>
    </w:pPr>
  </w:style>
  <w:style w:type="paragraph" w:customStyle="1" w:styleId="1849">
    <w:name w:val="样式 标题 4款标题1.1.1段款标题1.1.1.1四四级标题Heading4Subsection4 dash...6"/>
    <w:basedOn w:val="8"/>
    <w:qFormat/>
    <w:uiPriority w:val="99"/>
    <w:pPr>
      <w:keepNext w:val="0"/>
      <w:keepLines w:val="0"/>
      <w:tabs>
        <w:tab w:val="left" w:pos="288"/>
      </w:tabs>
      <w:spacing w:beforeLines="50" w:after="0" w:line="240" w:lineRule="auto"/>
    </w:pPr>
    <w:rPr>
      <w:rFonts w:ascii="Times New Roman" w:hAnsi="Times New Roman" w:eastAsia="宋体" w:cs="Times New Roman"/>
      <w:sz w:val="24"/>
      <w:szCs w:val="20"/>
    </w:rPr>
  </w:style>
  <w:style w:type="paragraph" w:customStyle="1" w:styleId="1850">
    <w:name w:val="样式 标题 3标题 3 Char Char条标题1.1.1Section头小标题小节标题Sottoparagraf..."/>
    <w:basedOn w:val="7"/>
    <w:qFormat/>
    <w:uiPriority w:val="99"/>
    <w:pPr>
      <w:keepNext w:val="0"/>
      <w:keepLines w:val="0"/>
      <w:tabs>
        <w:tab w:val="left" w:pos="567"/>
        <w:tab w:val="left" w:pos="1276"/>
      </w:tabs>
      <w:spacing w:beforeLines="50" w:after="60" w:line="360" w:lineRule="auto"/>
      <w:ind w:left="567" w:hanging="607"/>
    </w:pPr>
    <w:rPr>
      <w:rFonts w:ascii="Times New Roman" w:hAnsi="宋体" w:eastAsia="宋体" w:cs="Times New Roman"/>
      <w:kern w:val="2"/>
      <w:sz w:val="24"/>
      <w:szCs w:val="20"/>
    </w:rPr>
  </w:style>
  <w:style w:type="paragraph" w:customStyle="1" w:styleId="1851">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1852">
    <w:name w:val="样式 标题 4款标题1.1.1段款标题1.1.1.1四四级标题Heading4Subsection4 dash...2"/>
    <w:basedOn w:val="8"/>
    <w:qFormat/>
    <w:uiPriority w:val="99"/>
    <w:pPr>
      <w:keepNext w:val="0"/>
      <w:keepLines w:val="0"/>
      <w:tabs>
        <w:tab w:val="left" w:pos="288"/>
      </w:tabs>
      <w:spacing w:beforeLines="50" w:after="0" w:line="240" w:lineRule="auto"/>
    </w:pPr>
    <w:rPr>
      <w:rFonts w:ascii="Times New Roman" w:hAnsi="Times New Roman" w:eastAsia="宋体" w:cs="Times New Roman"/>
      <w:sz w:val="24"/>
      <w:szCs w:val="20"/>
    </w:rPr>
  </w:style>
  <w:style w:type="paragraph" w:customStyle="1" w:styleId="1853">
    <w:name w:val="样式 标题 4款标题1.1.1段款标题1.1.1.1四四级标题Heading4Subsection4 dash...3"/>
    <w:basedOn w:val="8"/>
    <w:qFormat/>
    <w:uiPriority w:val="99"/>
    <w:pPr>
      <w:keepNext w:val="0"/>
      <w:keepLines w:val="0"/>
      <w:tabs>
        <w:tab w:val="left" w:pos="288"/>
      </w:tabs>
      <w:spacing w:beforeLines="50" w:after="0" w:line="240" w:lineRule="auto"/>
    </w:pPr>
    <w:rPr>
      <w:rFonts w:ascii="Times New Roman" w:hAnsi="Times New Roman" w:eastAsia="宋体" w:cs="Times New Roman"/>
      <w:sz w:val="24"/>
      <w:szCs w:val="20"/>
    </w:rPr>
  </w:style>
  <w:style w:type="paragraph" w:customStyle="1" w:styleId="1854">
    <w:name w:val="样式 标题 4款标题1.1.1段款标题1.1.1.1四四级标题Heading4Subsection4 dash...4"/>
    <w:basedOn w:val="8"/>
    <w:qFormat/>
    <w:uiPriority w:val="99"/>
    <w:pPr>
      <w:keepNext w:val="0"/>
      <w:keepLines w:val="0"/>
      <w:tabs>
        <w:tab w:val="left" w:pos="288"/>
      </w:tabs>
      <w:spacing w:beforeLines="50" w:after="0" w:line="240" w:lineRule="auto"/>
    </w:pPr>
    <w:rPr>
      <w:rFonts w:ascii="Times New Roman" w:hAnsi="Times New Roman" w:eastAsia="宋体" w:cs="Times New Roman"/>
      <w:sz w:val="24"/>
      <w:szCs w:val="20"/>
    </w:rPr>
  </w:style>
  <w:style w:type="paragraph" w:customStyle="1" w:styleId="1855">
    <w:name w:val="样式 标题 4款标题1.1.1段款标题1.1.1.1四四级标题Heading4Subsection4 dash...5"/>
    <w:basedOn w:val="8"/>
    <w:qFormat/>
    <w:uiPriority w:val="99"/>
    <w:pPr>
      <w:keepNext w:val="0"/>
      <w:keepLines w:val="0"/>
      <w:tabs>
        <w:tab w:val="left" w:pos="288"/>
      </w:tabs>
      <w:spacing w:beforeLines="50" w:after="0" w:line="240" w:lineRule="auto"/>
    </w:pPr>
    <w:rPr>
      <w:rFonts w:ascii="Times New Roman" w:hAnsi="Times New Roman" w:eastAsia="宋体" w:cs="Times New Roman"/>
      <w:sz w:val="24"/>
      <w:szCs w:val="20"/>
    </w:rPr>
  </w:style>
  <w:style w:type="paragraph" w:customStyle="1" w:styleId="1856">
    <w:name w:val="样式 标题 4款标题1.1.1段款标题1.1.1.1四四级标题Heading4Subsection4 dash...7"/>
    <w:basedOn w:val="8"/>
    <w:qFormat/>
    <w:uiPriority w:val="99"/>
    <w:pPr>
      <w:keepNext w:val="0"/>
      <w:keepLines w:val="0"/>
      <w:tabs>
        <w:tab w:val="left" w:pos="288"/>
      </w:tabs>
      <w:spacing w:beforeLines="50" w:after="0" w:line="240" w:lineRule="auto"/>
    </w:pPr>
    <w:rPr>
      <w:rFonts w:ascii="Times New Roman" w:hAnsi="Times New Roman" w:eastAsia="宋体" w:cs="Times New Roman"/>
      <w:sz w:val="24"/>
      <w:szCs w:val="20"/>
    </w:rPr>
  </w:style>
  <w:style w:type="paragraph" w:customStyle="1" w:styleId="1857">
    <w:name w:val="样式 标题 4款标题1.1.1段款标题1.1.1.1四四级标题Heading4Subsection4 dash...8"/>
    <w:basedOn w:val="8"/>
    <w:qFormat/>
    <w:uiPriority w:val="99"/>
    <w:pPr>
      <w:keepNext w:val="0"/>
      <w:keepLines w:val="0"/>
      <w:tabs>
        <w:tab w:val="left" w:pos="288"/>
      </w:tabs>
      <w:spacing w:beforeLines="50" w:after="0" w:line="240" w:lineRule="auto"/>
    </w:pPr>
    <w:rPr>
      <w:rFonts w:ascii="Times New Roman" w:hAnsi="Times New Roman" w:eastAsia="宋体" w:cs="Times New Roman"/>
      <w:sz w:val="24"/>
      <w:szCs w:val="20"/>
    </w:rPr>
  </w:style>
  <w:style w:type="paragraph" w:customStyle="1" w:styleId="1858">
    <w:name w:val="样式 样式 标题 4款标题1.1.1段款标题1.1.1.1四四级标题Heading4Subsection4 dash...6 +..."/>
    <w:basedOn w:val="1"/>
    <w:qFormat/>
    <w:uiPriority w:val="0"/>
    <w:pPr>
      <w:numPr>
        <w:ilvl w:val="3"/>
        <w:numId w:val="25"/>
      </w:numPr>
      <w:tabs>
        <w:tab w:val="left" w:pos="288"/>
      </w:tabs>
      <w:spacing w:beforeLines="50" w:after="60" w:line="360" w:lineRule="auto"/>
      <w:ind w:firstLine="0"/>
      <w:outlineLvl w:val="3"/>
    </w:pPr>
    <w:rPr>
      <w:rFonts w:ascii="Times New Roman" w:hAnsi="Times New Roman" w:cs="宋体"/>
      <w:b/>
      <w:bCs/>
      <w:sz w:val="24"/>
    </w:rPr>
  </w:style>
  <w:style w:type="paragraph" w:customStyle="1" w:styleId="1859">
    <w:name w:val="样式 标题 4款标题1.1.1段款标题1.1.1.1四四级标题Heading4Subsection4 dash...9"/>
    <w:basedOn w:val="8"/>
    <w:next w:val="1847"/>
    <w:qFormat/>
    <w:uiPriority w:val="99"/>
    <w:pPr>
      <w:keepNext w:val="0"/>
      <w:keepLines w:val="0"/>
      <w:tabs>
        <w:tab w:val="left" w:pos="288"/>
        <w:tab w:val="left" w:pos="720"/>
        <w:tab w:val="left" w:pos="850"/>
      </w:tabs>
      <w:spacing w:beforeLines="50" w:after="0" w:line="240" w:lineRule="auto"/>
      <w:ind w:left="720" w:hanging="720"/>
    </w:pPr>
    <w:rPr>
      <w:rFonts w:ascii="Times New Roman" w:hAnsi="Times New Roman" w:eastAsia="宋体" w:cs="宋体"/>
      <w:sz w:val="24"/>
      <w:szCs w:val="20"/>
    </w:rPr>
  </w:style>
  <w:style w:type="paragraph" w:customStyle="1" w:styleId="1860">
    <w:name w:val="正文王"/>
    <w:basedOn w:val="46"/>
    <w:qFormat/>
    <w:uiPriority w:val="0"/>
    <w:pPr>
      <w:spacing w:after="0" w:line="440" w:lineRule="exact"/>
      <w:ind w:firstLine="0"/>
    </w:pPr>
    <w:rPr>
      <w:rFonts w:ascii="Arial" w:hAnsi="Arial" w:eastAsia="宋体" w:cs="Times New Roman"/>
      <w:snapToGrid w:val="0"/>
      <w:kern w:val="0"/>
      <w:sz w:val="24"/>
    </w:rPr>
  </w:style>
  <w:style w:type="paragraph" w:customStyle="1" w:styleId="1861">
    <w:name w:val="样式 表格中文字 + 居中"/>
    <w:basedOn w:val="1"/>
    <w:qFormat/>
    <w:uiPriority w:val="99"/>
    <w:pPr>
      <w:jc w:val="center"/>
    </w:pPr>
    <w:rPr>
      <w:rFonts w:ascii="Times New Roman" w:hAnsi="Times New Roman" w:cs="宋体"/>
    </w:rPr>
  </w:style>
  <w:style w:type="paragraph" w:customStyle="1" w:styleId="1862">
    <w:name w:val="style39"/>
    <w:basedOn w:val="1"/>
    <w:qFormat/>
    <w:uiPriority w:val="0"/>
    <w:pPr>
      <w:widowControl/>
      <w:spacing w:before="100" w:beforeAutospacing="1" w:after="100" w:afterAutospacing="1"/>
      <w:jc w:val="left"/>
    </w:pPr>
    <w:rPr>
      <w:rFonts w:ascii="宋体" w:hAnsi="宋体" w:cs="宋体"/>
      <w:b/>
      <w:bCs/>
      <w:kern w:val="0"/>
      <w:sz w:val="54"/>
      <w:szCs w:val="54"/>
    </w:rPr>
  </w:style>
  <w:style w:type="paragraph" w:customStyle="1" w:styleId="1863">
    <w:name w:val="样式 标题 4 + 段前: 0.5 行 段后: 0.5 行"/>
    <w:basedOn w:val="8"/>
    <w:qFormat/>
    <w:uiPriority w:val="0"/>
    <w:pPr>
      <w:keepLines w:val="0"/>
      <w:spacing w:beforeLines="50" w:afterLines="50" w:line="240" w:lineRule="auto"/>
    </w:pPr>
    <w:rPr>
      <w:rFonts w:ascii="黑体" w:hAnsi="Courier New" w:cs="Times New Roman"/>
      <w:b w:val="0"/>
      <w:bCs w:val="0"/>
      <w:color w:val="000000"/>
      <w:kern w:val="44"/>
      <w:szCs w:val="20"/>
    </w:rPr>
  </w:style>
  <w:style w:type="paragraph" w:customStyle="1" w:styleId="1864">
    <w:name w:val="宏福4"/>
    <w:basedOn w:val="1599"/>
    <w:qFormat/>
    <w:uiPriority w:val="0"/>
    <w:pPr>
      <w:spacing w:before="0"/>
    </w:pPr>
  </w:style>
  <w:style w:type="paragraph" w:customStyle="1" w:styleId="1865">
    <w:name w:val="Title.2"/>
    <w:qFormat/>
    <w:uiPriority w:val="0"/>
    <w:pPr>
      <w:keepNext/>
      <w:keepLines/>
      <w:spacing w:beforeLines="50"/>
      <w:outlineLvl w:val="1"/>
    </w:pPr>
    <w:rPr>
      <w:rFonts w:ascii="Times New Roman" w:hAnsi="Times New Roman" w:eastAsia="黑体" w:cs="Times New Roman"/>
      <w:sz w:val="28"/>
      <w:lang w:val="en-US" w:eastAsia="zh-CN" w:bidi="ar-SA"/>
    </w:rPr>
  </w:style>
  <w:style w:type="paragraph" w:customStyle="1" w:styleId="1866">
    <w:name w:val="Title.1"/>
    <w:qFormat/>
    <w:uiPriority w:val="0"/>
    <w:pPr>
      <w:keepNext/>
      <w:keepLines/>
      <w:adjustRightInd w:val="0"/>
      <w:snapToGrid w:val="0"/>
      <w:spacing w:beforeLines="100"/>
      <w:outlineLvl w:val="0"/>
    </w:pPr>
    <w:rPr>
      <w:rFonts w:ascii="Times New Roman" w:hAnsi="Times New Roman" w:eastAsia="黑体" w:cs="Times New Roman"/>
      <w:sz w:val="30"/>
      <w:lang w:val="en-US" w:eastAsia="zh-CN" w:bidi="ar-SA"/>
    </w:rPr>
  </w:style>
  <w:style w:type="paragraph" w:customStyle="1" w:styleId="1867">
    <w:name w:val="Title.3"/>
    <w:next w:val="1"/>
    <w:qFormat/>
    <w:uiPriority w:val="0"/>
    <w:pPr>
      <w:keepNext/>
      <w:keepLines/>
      <w:spacing w:beforeLines="50" w:line="360" w:lineRule="auto"/>
      <w:outlineLvl w:val="2"/>
    </w:pPr>
    <w:rPr>
      <w:rFonts w:ascii="Times New Roman" w:hAnsi="Times New Roman" w:eastAsia="仿宋_GB2312" w:cs="Times New Roman"/>
      <w:b/>
      <w:sz w:val="28"/>
      <w:lang w:val="en-US" w:eastAsia="zh-CN" w:bidi="ar-SA"/>
    </w:rPr>
  </w:style>
  <w:style w:type="paragraph" w:customStyle="1" w:styleId="1868">
    <w:name w:val="zhang正文"/>
    <w:basedOn w:val="36"/>
    <w:qFormat/>
    <w:uiPriority w:val="0"/>
    <w:pPr>
      <w:autoSpaceDE w:val="0"/>
      <w:autoSpaceDN w:val="0"/>
      <w:adjustRightInd w:val="0"/>
      <w:snapToGrid w:val="0"/>
      <w:spacing w:after="0" w:line="500" w:lineRule="exact"/>
      <w:ind w:left="0" w:leftChars="0" w:firstLine="539"/>
    </w:pPr>
    <w:rPr>
      <w:rFonts w:ascii="Times New Roman" w:hAnsi="Times New Roman" w:eastAsia="楷体_GB2312" w:cs="Times New Roman"/>
      <w:kern w:val="0"/>
      <w:sz w:val="28"/>
      <w:szCs w:val="20"/>
    </w:rPr>
  </w:style>
  <w:style w:type="paragraph" w:customStyle="1" w:styleId="1869">
    <w:name w:val="T表头"/>
    <w:next w:val="1"/>
    <w:qFormat/>
    <w:uiPriority w:val="0"/>
    <w:pPr>
      <w:keepNext/>
      <w:keepLines/>
      <w:spacing w:line="360" w:lineRule="auto"/>
      <w:jc w:val="center"/>
    </w:pPr>
    <w:rPr>
      <w:rFonts w:ascii="Times New Roman" w:hAnsi="Times New Roman" w:eastAsia="黑体" w:cs="Times New Roman"/>
      <w:sz w:val="28"/>
      <w:lang w:val="en-US" w:eastAsia="zh-CN" w:bidi="ar-SA"/>
    </w:rPr>
  </w:style>
  <w:style w:type="paragraph" w:customStyle="1" w:styleId="1870">
    <w:name w:val="T表格"/>
    <w:qFormat/>
    <w:uiPriority w:val="0"/>
    <w:pPr>
      <w:jc w:val="center"/>
    </w:pPr>
    <w:rPr>
      <w:rFonts w:ascii="Times New Roman" w:hAnsi="Times New Roman" w:eastAsia="宋体" w:cs="Times New Roman"/>
      <w:sz w:val="21"/>
      <w:lang w:val="en-US" w:eastAsia="zh-CN" w:bidi="ar-SA"/>
    </w:rPr>
  </w:style>
  <w:style w:type="paragraph" w:customStyle="1" w:styleId="1871">
    <w:name w:val="样式5 Char Char Char Char Char Char"/>
    <w:basedOn w:val="7"/>
    <w:qFormat/>
    <w:uiPriority w:val="0"/>
    <w:pPr>
      <w:tabs>
        <w:tab w:val="left" w:pos="720"/>
        <w:tab w:val="left" w:pos="1276"/>
      </w:tabs>
      <w:adjustRightInd w:val="0"/>
      <w:spacing w:before="0" w:after="0" w:line="240" w:lineRule="atLeast"/>
    </w:pPr>
    <w:rPr>
      <w:rFonts w:ascii="Arial" w:hAnsi="Arial" w:eastAsia="黑体" w:cs="Times New Roman"/>
      <w:kern w:val="28"/>
      <w:sz w:val="28"/>
      <w:szCs w:val="28"/>
    </w:rPr>
  </w:style>
  <w:style w:type="paragraph" w:customStyle="1" w:styleId="1872">
    <w:name w:val="1文章"/>
    <w:basedOn w:val="1"/>
    <w:qFormat/>
    <w:uiPriority w:val="0"/>
    <w:pPr>
      <w:snapToGrid w:val="0"/>
      <w:spacing w:line="360" w:lineRule="auto"/>
      <w:ind w:firstLine="567"/>
    </w:pPr>
    <w:rPr>
      <w:rFonts w:ascii="Times New Roman" w:hAnsi="Times New Roman" w:eastAsia="楷体_GB2312"/>
      <w:sz w:val="28"/>
    </w:rPr>
  </w:style>
  <w:style w:type="paragraph" w:customStyle="1" w:styleId="1873">
    <w:name w:val="样式 标题 3 + 小三 段前: 6 磅 段后: 6 磅 行距: 单倍行距"/>
    <w:basedOn w:val="7"/>
    <w:qFormat/>
    <w:uiPriority w:val="0"/>
    <w:pPr>
      <w:tabs>
        <w:tab w:val="left" w:pos="720"/>
        <w:tab w:val="left" w:pos="1276"/>
      </w:tabs>
      <w:spacing w:before="120" w:after="120" w:line="240" w:lineRule="auto"/>
    </w:pPr>
    <w:rPr>
      <w:rFonts w:ascii="Times New Roman" w:hAnsi="Times New Roman" w:eastAsia="宋体" w:cs="Times New Roman"/>
      <w:kern w:val="2"/>
      <w:sz w:val="24"/>
      <w:szCs w:val="30"/>
    </w:rPr>
  </w:style>
  <w:style w:type="paragraph" w:customStyle="1" w:styleId="1874">
    <w:name w:val="列表编号码11"/>
    <w:basedOn w:val="1"/>
    <w:qFormat/>
    <w:uiPriority w:val="0"/>
    <w:pPr>
      <w:snapToGrid w:val="0"/>
      <w:ind w:left="-13" w:leftChars="-13" w:hanging="27" w:hangingChars="13"/>
      <w:jc w:val="center"/>
    </w:pPr>
    <w:rPr>
      <w:rFonts w:ascii="Times New Roman" w:hAnsi="Times New Roman"/>
    </w:rPr>
  </w:style>
  <w:style w:type="paragraph" w:customStyle="1" w:styleId="1875">
    <w:name w:val="table name"/>
    <w:basedOn w:val="1"/>
    <w:qFormat/>
    <w:uiPriority w:val="0"/>
    <w:pPr>
      <w:snapToGrid w:val="0"/>
      <w:spacing w:line="360" w:lineRule="auto"/>
      <w:ind w:firstLine="336" w:firstLineChars="140"/>
      <w:jc w:val="left"/>
    </w:pPr>
    <w:rPr>
      <w:rFonts w:ascii="Times New Roman" w:hAnsi="Times New Roman"/>
      <w:kern w:val="0"/>
      <w:sz w:val="24"/>
      <w:szCs w:val="24"/>
      <w:u w:color="000000"/>
    </w:rPr>
  </w:style>
  <w:style w:type="paragraph" w:customStyle="1" w:styleId="1876">
    <w:name w:val="目录2"/>
    <w:basedOn w:val="1"/>
    <w:qFormat/>
    <w:uiPriority w:val="0"/>
    <w:pPr>
      <w:widowControl/>
      <w:tabs>
        <w:tab w:val="left" w:leader="dot" w:pos="7370"/>
      </w:tabs>
      <w:spacing w:line="317" w:lineRule="atLeast"/>
      <w:ind w:firstLine="209"/>
    </w:pPr>
    <w:rPr>
      <w:rFonts w:ascii="Times New Roman" w:hAnsi="Times New Roman" w:eastAsia="仿宋_GB2312"/>
      <w:color w:val="000000"/>
      <w:kern w:val="0"/>
      <w:sz w:val="28"/>
      <w:szCs w:val="28"/>
      <w:u w:color="000000"/>
    </w:rPr>
  </w:style>
  <w:style w:type="paragraph" w:customStyle="1" w:styleId="1877">
    <w:name w:val="文章总标题"/>
    <w:basedOn w:val="1"/>
    <w:qFormat/>
    <w:uiPriority w:val="0"/>
    <w:pPr>
      <w:widowControl/>
      <w:spacing w:before="566" w:after="544" w:line="566" w:lineRule="atLeast"/>
      <w:jc w:val="center"/>
    </w:pPr>
    <w:rPr>
      <w:rFonts w:hAnsi="Times New Roman" w:eastAsia="黑体"/>
      <w:color w:val="000000"/>
      <w:kern w:val="0"/>
      <w:sz w:val="54"/>
      <w:szCs w:val="28"/>
      <w:u w:color="000000"/>
    </w:rPr>
  </w:style>
  <w:style w:type="paragraph" w:customStyle="1" w:styleId="1878">
    <w:name w:val="文章附标题"/>
    <w:basedOn w:val="1"/>
    <w:qFormat/>
    <w:uiPriority w:val="0"/>
    <w:pPr>
      <w:widowControl/>
      <w:spacing w:before="187" w:after="175" w:line="374" w:lineRule="atLeast"/>
      <w:jc w:val="center"/>
    </w:pPr>
    <w:rPr>
      <w:rFonts w:ascii="Times New Roman" w:hAnsi="Times New Roman" w:eastAsia="仿宋_GB2312"/>
      <w:color w:val="000000"/>
      <w:kern w:val="0"/>
      <w:sz w:val="36"/>
      <w:szCs w:val="28"/>
      <w:u w:color="000000"/>
    </w:rPr>
  </w:style>
  <w:style w:type="paragraph" w:customStyle="1" w:styleId="1879">
    <w:name w:val="目录3"/>
    <w:basedOn w:val="1"/>
    <w:qFormat/>
    <w:uiPriority w:val="0"/>
    <w:pPr>
      <w:tabs>
        <w:tab w:val="left" w:leader="dot" w:pos="7370"/>
      </w:tabs>
      <w:spacing w:line="317" w:lineRule="atLeast"/>
      <w:ind w:firstLine="419"/>
    </w:pPr>
    <w:rPr>
      <w:rFonts w:ascii="Times New Roman" w:hAnsi="Times New Roman"/>
      <w:color w:val="000000"/>
      <w:szCs w:val="24"/>
      <w:u w:color="000000"/>
    </w:rPr>
  </w:style>
  <w:style w:type="paragraph" w:customStyle="1" w:styleId="1880">
    <w:name w:val="表体宋旭峰"/>
    <w:basedOn w:val="1"/>
    <w:qFormat/>
    <w:uiPriority w:val="0"/>
    <w:pPr>
      <w:overflowPunct w:val="0"/>
      <w:jc w:val="center"/>
      <w:textAlignment w:val="baseline"/>
    </w:pPr>
    <w:rPr>
      <w:rFonts w:ascii="宋体" w:hAnsi="Courier New" w:cs="Courier New"/>
      <w:snapToGrid w:val="0"/>
      <w:kern w:val="24"/>
      <w:sz w:val="18"/>
    </w:rPr>
  </w:style>
  <w:style w:type="paragraph" w:customStyle="1" w:styleId="1881">
    <w:name w:val="目录标题"/>
    <w:basedOn w:val="1"/>
    <w:qFormat/>
    <w:uiPriority w:val="0"/>
    <w:pPr>
      <w:spacing w:before="566" w:after="544" w:line="566" w:lineRule="atLeast"/>
      <w:ind w:firstLine="419"/>
      <w:jc w:val="center"/>
    </w:pPr>
    <w:rPr>
      <w:rFonts w:hAnsi="Times New Roman" w:eastAsia="黑体"/>
      <w:color w:val="000000"/>
      <w:spacing w:val="566"/>
      <w:sz w:val="54"/>
      <w:szCs w:val="24"/>
      <w:u w:color="000000"/>
    </w:rPr>
  </w:style>
  <w:style w:type="paragraph" w:customStyle="1" w:styleId="1882">
    <w:name w:val="font11"/>
    <w:basedOn w:val="1"/>
    <w:qFormat/>
    <w:uiPriority w:val="0"/>
    <w:pPr>
      <w:widowControl/>
      <w:spacing w:before="100" w:beforeAutospacing="1" w:after="100" w:afterAutospacing="1"/>
      <w:jc w:val="left"/>
    </w:pPr>
    <w:rPr>
      <w:rFonts w:ascii="宋体" w:hAnsi="宋体"/>
      <w:kern w:val="0"/>
      <w:sz w:val="17"/>
      <w:szCs w:val="17"/>
    </w:rPr>
  </w:style>
  <w:style w:type="paragraph" w:customStyle="1" w:styleId="1883">
    <w:name w:val="font12"/>
    <w:basedOn w:val="1"/>
    <w:qFormat/>
    <w:uiPriority w:val="0"/>
    <w:pPr>
      <w:widowControl/>
      <w:spacing w:before="100" w:beforeAutospacing="1" w:after="100" w:afterAutospacing="1"/>
      <w:jc w:val="left"/>
    </w:pPr>
    <w:rPr>
      <w:rFonts w:ascii="宋体" w:hAnsi="宋体"/>
      <w:kern w:val="0"/>
      <w:sz w:val="14"/>
      <w:szCs w:val="14"/>
    </w:rPr>
  </w:style>
  <w:style w:type="paragraph" w:customStyle="1" w:styleId="1884">
    <w:name w:val="font13"/>
    <w:basedOn w:val="1"/>
    <w:qFormat/>
    <w:uiPriority w:val="0"/>
    <w:pPr>
      <w:widowControl/>
      <w:spacing w:before="100" w:beforeAutospacing="1" w:after="100" w:afterAutospacing="1"/>
      <w:jc w:val="left"/>
    </w:pPr>
    <w:rPr>
      <w:rFonts w:ascii="宋体" w:hAnsi="宋体"/>
      <w:color w:val="FF0000"/>
      <w:kern w:val="0"/>
      <w:sz w:val="18"/>
      <w:szCs w:val="18"/>
    </w:rPr>
  </w:style>
  <w:style w:type="paragraph" w:customStyle="1" w:styleId="1885">
    <w:name w:val="font14"/>
    <w:basedOn w:val="1"/>
    <w:qFormat/>
    <w:uiPriority w:val="0"/>
    <w:pPr>
      <w:widowControl/>
      <w:spacing w:before="100" w:beforeAutospacing="1" w:after="100" w:afterAutospacing="1"/>
      <w:jc w:val="left"/>
    </w:pPr>
    <w:rPr>
      <w:rFonts w:ascii="Times New Roman" w:hAnsi="Times New Roman"/>
      <w:kern w:val="0"/>
      <w:sz w:val="17"/>
      <w:szCs w:val="17"/>
    </w:rPr>
  </w:style>
  <w:style w:type="paragraph" w:customStyle="1" w:styleId="1886">
    <w:name w:val="font15"/>
    <w:basedOn w:val="1"/>
    <w:qFormat/>
    <w:uiPriority w:val="0"/>
    <w:pPr>
      <w:widowControl/>
      <w:spacing w:before="100" w:beforeAutospacing="1" w:after="100" w:afterAutospacing="1"/>
      <w:jc w:val="left"/>
    </w:pPr>
    <w:rPr>
      <w:rFonts w:ascii="Times New Roman" w:hAnsi="Times New Roman"/>
      <w:kern w:val="0"/>
      <w:sz w:val="14"/>
      <w:szCs w:val="14"/>
    </w:rPr>
  </w:style>
  <w:style w:type="paragraph" w:customStyle="1" w:styleId="1887">
    <w:name w:val="font16"/>
    <w:basedOn w:val="1"/>
    <w:qFormat/>
    <w:uiPriority w:val="0"/>
    <w:pPr>
      <w:widowControl/>
      <w:spacing w:before="100" w:beforeAutospacing="1" w:after="100" w:afterAutospacing="1"/>
      <w:jc w:val="left"/>
    </w:pPr>
    <w:rPr>
      <w:rFonts w:ascii="仿宋_GB2312" w:hAnsi="宋体" w:eastAsia="仿宋_GB2312"/>
      <w:color w:val="FF0000"/>
      <w:kern w:val="0"/>
      <w:sz w:val="20"/>
    </w:rPr>
  </w:style>
  <w:style w:type="paragraph" w:customStyle="1" w:styleId="1888">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FF"/>
      <w:kern w:val="0"/>
      <w:sz w:val="18"/>
      <w:szCs w:val="18"/>
    </w:rPr>
  </w:style>
  <w:style w:type="paragraph" w:customStyle="1" w:styleId="188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18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7"/>
      <w:szCs w:val="17"/>
    </w:rPr>
  </w:style>
  <w:style w:type="paragraph" w:customStyle="1" w:styleId="189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1892">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kern w:val="0"/>
      <w:sz w:val="17"/>
      <w:szCs w:val="17"/>
    </w:rPr>
  </w:style>
  <w:style w:type="paragraph" w:customStyle="1" w:styleId="1893">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FF00FF"/>
      <w:kern w:val="0"/>
      <w:sz w:val="18"/>
      <w:szCs w:val="18"/>
    </w:rPr>
  </w:style>
  <w:style w:type="paragraph" w:customStyle="1" w:styleId="1894">
    <w:name w:val="xl54"/>
    <w:basedOn w:val="1"/>
    <w:qFormat/>
    <w:uiPriority w:val="0"/>
    <w:pPr>
      <w:widowControl/>
      <w:spacing w:before="100" w:beforeAutospacing="1" w:after="100" w:afterAutospacing="1"/>
      <w:jc w:val="center"/>
    </w:pPr>
    <w:rPr>
      <w:rFonts w:ascii="Times New Roman" w:hAnsi="Times New Roman"/>
      <w:kern w:val="0"/>
      <w:sz w:val="18"/>
      <w:szCs w:val="18"/>
    </w:rPr>
  </w:style>
  <w:style w:type="paragraph" w:customStyle="1" w:styleId="1895">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17"/>
      <w:szCs w:val="17"/>
    </w:rPr>
  </w:style>
  <w:style w:type="paragraph" w:customStyle="1" w:styleId="189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FF0000"/>
      <w:kern w:val="0"/>
      <w:sz w:val="17"/>
      <w:szCs w:val="17"/>
    </w:rPr>
  </w:style>
  <w:style w:type="paragraph" w:customStyle="1" w:styleId="1897">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1898">
    <w:name w:val="xl6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18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8"/>
      <w:szCs w:val="18"/>
    </w:rPr>
  </w:style>
  <w:style w:type="paragraph" w:customStyle="1" w:styleId="1900">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17"/>
      <w:szCs w:val="17"/>
    </w:rPr>
  </w:style>
  <w:style w:type="paragraph" w:customStyle="1" w:styleId="1901">
    <w:name w:val="xl79"/>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left"/>
    </w:pPr>
    <w:rPr>
      <w:rFonts w:ascii="Times New Roman" w:hAnsi="Times New Roman"/>
      <w:color w:val="FF0000"/>
      <w:kern w:val="0"/>
      <w:sz w:val="18"/>
      <w:szCs w:val="18"/>
    </w:rPr>
  </w:style>
  <w:style w:type="paragraph" w:customStyle="1" w:styleId="1902">
    <w:name w:val="样式 列表列表1 + 两端对齐 首行缩进:  1.5 字符"/>
    <w:basedOn w:val="22"/>
    <w:qFormat/>
    <w:uiPriority w:val="0"/>
    <w:pPr>
      <w:spacing w:line="500" w:lineRule="exact"/>
      <w:ind w:left="0" w:firstLine="150" w:firstLineChars="150"/>
    </w:pPr>
    <w:rPr>
      <w:rFonts w:eastAsia="黑体" w:cs="Times New Roman"/>
      <w:sz w:val="22"/>
      <w:szCs w:val="22"/>
    </w:rPr>
  </w:style>
  <w:style w:type="paragraph" w:customStyle="1" w:styleId="1903">
    <w:name w:val="正文文本 21"/>
    <w:basedOn w:val="1"/>
    <w:qFormat/>
    <w:uiPriority w:val="0"/>
    <w:pPr>
      <w:adjustRightInd w:val="0"/>
      <w:spacing w:line="480" w:lineRule="atLeast"/>
      <w:ind w:firstLine="567"/>
    </w:pPr>
    <w:rPr>
      <w:rFonts w:ascii="仿宋_GB2312" w:hAnsi="Times New Roman" w:eastAsia="仿宋_GB2312"/>
      <w:sz w:val="28"/>
    </w:rPr>
  </w:style>
  <w:style w:type="paragraph" w:customStyle="1" w:styleId="1904">
    <w:name w:val="正文文本缩进 21"/>
    <w:basedOn w:val="1"/>
    <w:qFormat/>
    <w:uiPriority w:val="0"/>
    <w:pPr>
      <w:adjustRightInd w:val="0"/>
      <w:spacing w:line="336" w:lineRule="auto"/>
      <w:ind w:firstLine="560"/>
    </w:pPr>
    <w:rPr>
      <w:rFonts w:ascii="Times New Roman" w:hAnsi="Times New Roman" w:eastAsia="仿宋_GB2312"/>
      <w:sz w:val="28"/>
    </w:rPr>
  </w:style>
  <w:style w:type="paragraph" w:customStyle="1" w:styleId="1905">
    <w:name w:val="列表列表"/>
    <w:basedOn w:val="22"/>
    <w:qFormat/>
    <w:uiPriority w:val="0"/>
    <w:pPr>
      <w:spacing w:before="20" w:after="20" w:line="500" w:lineRule="exact"/>
      <w:ind w:left="0" w:firstLine="0"/>
      <w:jc w:val="center"/>
    </w:pPr>
    <w:rPr>
      <w:rFonts w:eastAsia="黑体" w:cs="Times New Roman"/>
      <w:color w:val="000000"/>
      <w:sz w:val="22"/>
      <w:szCs w:val="22"/>
    </w:rPr>
  </w:style>
  <w:style w:type="paragraph" w:customStyle="1" w:styleId="1906">
    <w:name w:val="样式 列表列表 Char Char Char Char列表 Char Char Char Char Char Char Ch...1 Char"/>
    <w:basedOn w:val="22"/>
    <w:qFormat/>
    <w:uiPriority w:val="0"/>
    <w:pPr>
      <w:spacing w:line="560" w:lineRule="exact"/>
      <w:ind w:left="0" w:firstLine="0"/>
      <w:jc w:val="center"/>
    </w:pPr>
    <w:rPr>
      <w:rFonts w:eastAsia="黑体" w:cs="Times New Roman"/>
      <w:color w:val="000000"/>
      <w:sz w:val="24"/>
      <w:szCs w:val="22"/>
      <w:u w:color="000000"/>
    </w:rPr>
  </w:style>
  <w:style w:type="paragraph" w:customStyle="1" w:styleId="1907">
    <w:name w:val="ma"/>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908">
    <w:name w:val="样式 标题 11.1标题 1-*+章标题 1h11st levelSection Headl1b1章标题篇..."/>
    <w:basedOn w:val="5"/>
    <w:qFormat/>
    <w:uiPriority w:val="0"/>
    <w:pPr>
      <w:keepNext w:val="0"/>
      <w:keepLines w:val="0"/>
      <w:tabs>
        <w:tab w:val="left" w:pos="540"/>
      </w:tabs>
      <w:adjustRightInd w:val="0"/>
      <w:snapToGrid w:val="0"/>
      <w:spacing w:before="120" w:after="0" w:line="520" w:lineRule="exact"/>
    </w:pPr>
    <w:rPr>
      <w:rFonts w:ascii="Times New Roman" w:hAnsi="Times New Roman" w:eastAsia="黑体" w:cs="Times New Roman"/>
      <w:sz w:val="36"/>
      <w:szCs w:val="20"/>
    </w:rPr>
  </w:style>
  <w:style w:type="paragraph" w:customStyle="1" w:styleId="1909">
    <w:name w:val="样式 题注 + 首行缩进:  2 字符 行距: 固定值 25 磅"/>
    <w:basedOn w:val="24"/>
    <w:qFormat/>
    <w:uiPriority w:val="0"/>
    <w:pPr>
      <w:spacing w:before="0" w:line="500" w:lineRule="exact"/>
      <w:jc w:val="center"/>
    </w:pPr>
    <w:rPr>
      <w:rFonts w:ascii="Times New Roman" w:hAnsi="Times New Roman" w:cs="Times New Roman"/>
      <w:b/>
      <w:snapToGrid/>
      <w:kern w:val="2"/>
      <w:sz w:val="21"/>
      <w:szCs w:val="21"/>
    </w:rPr>
  </w:style>
  <w:style w:type="paragraph" w:customStyle="1" w:styleId="1910">
    <w:name w:val="样式 题注 + (西文) Times New Roman 小四 加粗 首行缩进:  2 字符 行距: 固定值 25 磅1"/>
    <w:basedOn w:val="24"/>
    <w:qFormat/>
    <w:uiPriority w:val="0"/>
    <w:pPr>
      <w:spacing w:before="0" w:line="240" w:lineRule="auto"/>
      <w:jc w:val="center"/>
    </w:pPr>
    <w:rPr>
      <w:rFonts w:ascii="Times New Roman" w:hAnsi="Times New Roman" w:cs="Times New Roman"/>
      <w:b/>
      <w:bCs/>
      <w:snapToGrid/>
      <w:kern w:val="2"/>
      <w:sz w:val="21"/>
      <w:szCs w:val="21"/>
    </w:rPr>
  </w:style>
  <w:style w:type="paragraph" w:customStyle="1" w:styleId="1911">
    <w:name w:val="样式 题注 + 首行缩进:  2 字符 行距: 固定值 25 磅1"/>
    <w:basedOn w:val="24"/>
    <w:qFormat/>
    <w:uiPriority w:val="0"/>
    <w:pPr>
      <w:spacing w:before="0" w:line="500" w:lineRule="exact"/>
      <w:ind w:firstLine="480"/>
      <w:jc w:val="center"/>
    </w:pPr>
    <w:rPr>
      <w:rFonts w:ascii="Times New Roman" w:hAnsi="Times New Roman" w:eastAsia="宋体" w:cs="Times New Roman"/>
      <w:snapToGrid/>
      <w:kern w:val="2"/>
    </w:rPr>
  </w:style>
  <w:style w:type="paragraph" w:customStyle="1" w:styleId="1912">
    <w:name w:val="总标题"/>
    <w:basedOn w:val="1"/>
    <w:qFormat/>
    <w:uiPriority w:val="0"/>
    <w:pPr>
      <w:jc w:val="center"/>
    </w:pPr>
    <w:rPr>
      <w:rFonts w:ascii="黑体" w:hAnsi="Times New Roman" w:eastAsia="黑体"/>
      <w:sz w:val="36"/>
      <w:szCs w:val="44"/>
    </w:rPr>
  </w:style>
  <w:style w:type="paragraph" w:customStyle="1" w:styleId="1913">
    <w:name w:val="无间隔11"/>
    <w:qFormat/>
    <w:uiPriority w:val="0"/>
    <w:pPr>
      <w:widowControl w:val="0"/>
      <w:spacing w:beforeLines="50" w:afterLines="50"/>
      <w:ind w:firstLine="200" w:firstLineChars="200"/>
    </w:pPr>
    <w:rPr>
      <w:rFonts w:ascii="Calibri" w:hAnsi="Calibri" w:eastAsia="宋体" w:cs="Times New Roman"/>
      <w:kern w:val="2"/>
      <w:sz w:val="24"/>
      <w:szCs w:val="24"/>
      <w:lang w:val="en-US" w:eastAsia="zh-CN" w:bidi="ar-SA"/>
    </w:rPr>
  </w:style>
  <w:style w:type="paragraph" w:customStyle="1" w:styleId="1914">
    <w:name w:val="CM28"/>
    <w:basedOn w:val="107"/>
    <w:next w:val="107"/>
    <w:qFormat/>
    <w:uiPriority w:val="0"/>
    <w:pPr>
      <w:spacing w:line="468" w:lineRule="atLeast"/>
    </w:pPr>
    <w:rPr>
      <w:rFonts w:ascii="宋体" w:hAnsi="Times New Roman" w:eastAsia="宋体" w:cs="Times New Roman"/>
      <w:color w:val="auto"/>
    </w:rPr>
  </w:style>
  <w:style w:type="paragraph" w:customStyle="1" w:styleId="1915">
    <w:name w:val="TOC 标题11"/>
    <w:basedOn w:val="5"/>
    <w:next w:val="1"/>
    <w:qFormat/>
    <w:uiPriority w:val="39"/>
    <w:pPr>
      <w:tabs>
        <w:tab w:val="left" w:pos="-480"/>
      </w:tabs>
      <w:spacing w:beforeLines="100" w:afterLines="100" w:line="440" w:lineRule="exact"/>
      <w:jc w:val="center"/>
      <w:outlineLvl w:val="9"/>
    </w:pPr>
    <w:rPr>
      <w:rFonts w:ascii="Calibri" w:hAnsi="Calibri" w:eastAsia="黑体" w:cs="Times New Roman"/>
      <w:kern w:val="0"/>
      <w:sz w:val="32"/>
      <w:szCs w:val="28"/>
    </w:rPr>
  </w:style>
  <w:style w:type="paragraph" w:customStyle="1" w:styleId="1916">
    <w:name w:val="24"/>
    <w:basedOn w:val="1"/>
    <w:next w:val="69"/>
    <w:qFormat/>
    <w:uiPriority w:val="0"/>
    <w:pPr>
      <w:spacing w:line="500" w:lineRule="exact"/>
      <w:ind w:firstLine="560" w:firstLineChars="200"/>
    </w:pPr>
    <w:rPr>
      <w:rFonts w:ascii="仿宋_GB2312" w:hAnsi="Times New Roman" w:eastAsia="仿宋_GB2312"/>
      <w:sz w:val="28"/>
    </w:rPr>
  </w:style>
  <w:style w:type="paragraph" w:customStyle="1" w:styleId="1917">
    <w:name w:val="Char Char Char Char Char Char Char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rFonts w:ascii="Times New Roman" w:hAnsi="Times New Roman"/>
      <w:sz w:val="28"/>
      <w:szCs w:val="28"/>
    </w:rPr>
  </w:style>
  <w:style w:type="paragraph" w:customStyle="1" w:styleId="1918">
    <w:name w:val="Char Char Char Char Char Char Char Char Char Char Char Char Char Char Char Char Char Char Char Char Char Char Char Char Char Char Char Char Char Char Char Char Char Char Char Char Char Char Char"/>
    <w:basedOn w:val="1"/>
    <w:qFormat/>
    <w:uiPriority w:val="0"/>
    <w:rPr>
      <w:rFonts w:ascii="Times New Roman" w:hAnsi="Times New Roman"/>
      <w:szCs w:val="21"/>
    </w:rPr>
  </w:style>
  <w:style w:type="paragraph" w:customStyle="1" w:styleId="1919">
    <w:name w:val="WPS Plain"/>
    <w:qFormat/>
    <w:uiPriority w:val="0"/>
    <w:rPr>
      <w:rFonts w:ascii="Times New Roman" w:hAnsi="Times New Roman" w:eastAsia="宋体" w:cs="Times New Roman"/>
      <w:lang w:val="en-US" w:eastAsia="zh-CN" w:bidi="ar-SA"/>
    </w:rPr>
  </w:style>
  <w:style w:type="paragraph" w:customStyle="1" w:styleId="1920">
    <w:name w:val="green1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921">
    <w:name w:val="0-sghks"/>
    <w:basedOn w:val="1"/>
    <w:next w:val="1"/>
    <w:qFormat/>
    <w:uiPriority w:val="0"/>
    <w:pPr>
      <w:spacing w:line="360" w:lineRule="auto"/>
      <w:ind w:firstLine="200" w:firstLineChars="200"/>
    </w:pPr>
    <w:rPr>
      <w:rFonts w:ascii="Times New Roman" w:hAnsi="Times New Roman"/>
      <w:sz w:val="24"/>
    </w:rPr>
  </w:style>
  <w:style w:type="paragraph" w:customStyle="1" w:styleId="1922">
    <w:name w:val="列出段落2"/>
    <w:basedOn w:val="1"/>
    <w:qFormat/>
    <w:uiPriority w:val="0"/>
    <w:pPr>
      <w:ind w:firstLine="420" w:firstLineChars="200"/>
    </w:pPr>
    <w:rPr>
      <w:rFonts w:ascii="Calibri" w:hAnsi="Calibri"/>
      <w:szCs w:val="22"/>
    </w:rPr>
  </w:style>
  <w:style w:type="paragraph" w:customStyle="1" w:styleId="1923">
    <w:name w:val="Char Char Char Char Char Char Char Char Char Char1"/>
    <w:basedOn w:val="1"/>
    <w:qFormat/>
    <w:uiPriority w:val="0"/>
    <w:pPr>
      <w:spacing w:line="240" w:lineRule="exact"/>
      <w:ind w:firstLine="200" w:firstLineChars="200"/>
    </w:pPr>
    <w:rPr>
      <w:rFonts w:ascii="宋体" w:hAnsi="宋体" w:cs="宋体"/>
      <w:sz w:val="24"/>
      <w:szCs w:val="24"/>
    </w:rPr>
  </w:style>
  <w:style w:type="paragraph" w:customStyle="1" w:styleId="1924">
    <w:name w:val="blue1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925">
    <w:name w:val="文字"/>
    <w:basedOn w:val="1"/>
    <w:qFormat/>
    <w:uiPriority w:val="0"/>
    <w:pPr>
      <w:spacing w:line="360" w:lineRule="auto"/>
    </w:pPr>
    <w:rPr>
      <w:rFonts w:ascii="Calibri" w:hAnsi="Calibri" w:cs="Calibri"/>
      <w:sz w:val="24"/>
      <w:szCs w:val="24"/>
    </w:rPr>
  </w:style>
  <w:style w:type="paragraph" w:customStyle="1" w:styleId="1926">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1927">
    <w:name w:val="p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28">
    <w:name w:val="新正"/>
    <w:basedOn w:val="1"/>
    <w:qFormat/>
    <w:uiPriority w:val="0"/>
    <w:pPr>
      <w:autoSpaceDE w:val="0"/>
      <w:autoSpaceDN w:val="0"/>
      <w:spacing w:line="520" w:lineRule="exact"/>
      <w:ind w:firstLine="480" w:firstLineChars="200"/>
    </w:pPr>
    <w:rPr>
      <w:rFonts w:ascii="宋体" w:hAnsi="宋体" w:cs="宋体"/>
      <w:sz w:val="24"/>
      <w:szCs w:val="24"/>
    </w:rPr>
  </w:style>
  <w:style w:type="paragraph" w:customStyle="1" w:styleId="1929">
    <w:name w:val="标题02"/>
    <w:basedOn w:val="1"/>
    <w:next w:val="1"/>
    <w:qFormat/>
    <w:uiPriority w:val="0"/>
    <w:pPr>
      <w:snapToGrid w:val="0"/>
      <w:spacing w:line="360" w:lineRule="auto"/>
      <w:outlineLvl w:val="1"/>
    </w:pPr>
    <w:rPr>
      <w:rFonts w:ascii="Times New Roman" w:hAnsi="Times New Roman"/>
      <w:b/>
      <w:sz w:val="28"/>
    </w:rPr>
  </w:style>
  <w:style w:type="paragraph" w:customStyle="1" w:styleId="1930">
    <w:name w:val="样式 图形标题 + (西文) 宋体 (中文) 宋体 小四 加粗"/>
    <w:basedOn w:val="1"/>
    <w:qFormat/>
    <w:uiPriority w:val="0"/>
    <w:pPr>
      <w:widowControl/>
      <w:spacing w:beforeLines="50" w:afterLines="50"/>
      <w:jc w:val="center"/>
    </w:pPr>
    <w:rPr>
      <w:rFonts w:ascii="Times New Roman" w:hAnsi="Times New Roman"/>
      <w:b/>
      <w:sz w:val="24"/>
      <w:szCs w:val="24"/>
    </w:rPr>
  </w:style>
  <w:style w:type="paragraph" w:customStyle="1" w:styleId="1931">
    <w:name w:val="样式 样式 表格标题 + 段前: 0.5 行 + 段前: 0.5 行1"/>
    <w:basedOn w:val="1"/>
    <w:qFormat/>
    <w:uiPriority w:val="0"/>
    <w:pPr>
      <w:autoSpaceDE w:val="0"/>
      <w:autoSpaceDN w:val="0"/>
      <w:adjustRightInd w:val="0"/>
      <w:spacing w:line="520" w:lineRule="exact"/>
      <w:jc w:val="center"/>
    </w:pPr>
    <w:rPr>
      <w:rFonts w:ascii="Times New Roman" w:hAnsi="Times New Roman"/>
      <w:sz w:val="24"/>
      <w:szCs w:val="24"/>
    </w:rPr>
  </w:style>
  <w:style w:type="paragraph" w:customStyle="1" w:styleId="1932">
    <w:name w:val="副标题3"/>
    <w:basedOn w:val="1"/>
    <w:qFormat/>
    <w:uiPriority w:val="0"/>
    <w:pPr>
      <w:keepLines/>
      <w:tabs>
        <w:tab w:val="left" w:pos="672"/>
        <w:tab w:val="left" w:pos="720"/>
      </w:tabs>
      <w:adjustRightInd w:val="0"/>
      <w:snapToGrid w:val="0"/>
      <w:spacing w:line="400" w:lineRule="atLeast"/>
      <w:ind w:left="672" w:hanging="348"/>
      <w:outlineLvl w:val="3"/>
    </w:pPr>
    <w:rPr>
      <w:rFonts w:ascii="宋体" w:hAnsi="Times New Roman"/>
      <w:snapToGrid w:val="0"/>
      <w:kern w:val="0"/>
      <w:sz w:val="24"/>
    </w:rPr>
  </w:style>
  <w:style w:type="paragraph" w:customStyle="1" w:styleId="1933">
    <w:name w:val="标题 5-3"/>
    <w:qFormat/>
    <w:uiPriority w:val="0"/>
    <w:pPr>
      <w:tabs>
        <w:tab w:val="left" w:pos="1304"/>
      </w:tabs>
      <w:spacing w:before="60" w:after="60"/>
      <w:ind w:left="1304" w:hanging="567"/>
      <w:jc w:val="both"/>
    </w:pPr>
    <w:rPr>
      <w:rFonts w:ascii="Arial" w:hAnsi="Arial" w:eastAsia="宋体" w:cs="Times New Roman"/>
      <w:sz w:val="24"/>
      <w:lang w:val="en-US" w:eastAsia="zh-CN" w:bidi="ar-SA"/>
    </w:rPr>
  </w:style>
  <w:style w:type="paragraph" w:customStyle="1" w:styleId="1934">
    <w:name w:val="表格居中（标题）"/>
    <w:basedOn w:val="1"/>
    <w:qFormat/>
    <w:uiPriority w:val="0"/>
    <w:pPr>
      <w:widowControl/>
      <w:adjustRightInd w:val="0"/>
      <w:spacing w:before="60" w:after="60"/>
      <w:jc w:val="center"/>
    </w:pPr>
    <w:rPr>
      <w:rFonts w:ascii="宋体"/>
      <w:sz w:val="24"/>
    </w:rPr>
  </w:style>
  <w:style w:type="paragraph" w:customStyle="1" w:styleId="1935">
    <w:name w:val="Char Char Char Char Char Char1 Char Char Char Char"/>
    <w:basedOn w:val="1"/>
    <w:qFormat/>
    <w:uiPriority w:val="0"/>
    <w:pPr>
      <w:widowControl/>
      <w:spacing w:after="160" w:line="240" w:lineRule="exact"/>
      <w:jc w:val="left"/>
    </w:pPr>
    <w:rPr>
      <w:rFonts w:ascii="宋体" w:hAnsi="宋体"/>
      <w:sz w:val="28"/>
      <w:szCs w:val="26"/>
    </w:rPr>
  </w:style>
  <w:style w:type="paragraph" w:customStyle="1" w:styleId="1936">
    <w:name w:val="123"/>
    <w:basedOn w:val="1"/>
    <w:qFormat/>
    <w:uiPriority w:val="0"/>
    <w:pPr>
      <w:spacing w:line="360" w:lineRule="auto"/>
      <w:ind w:firstLine="454"/>
    </w:pPr>
    <w:rPr>
      <w:rFonts w:ascii="Times New Roman" w:hAnsi="Times New Roman"/>
      <w:sz w:val="24"/>
    </w:rPr>
  </w:style>
  <w:style w:type="paragraph" w:customStyle="1" w:styleId="1937">
    <w:name w:val=".66l.66l"/>
    <w:basedOn w:val="1"/>
    <w:qFormat/>
    <w:uiPriority w:val="0"/>
    <w:pPr>
      <w:autoSpaceDE w:val="0"/>
      <w:autoSpaceDN w:val="0"/>
      <w:adjustRightInd w:val="0"/>
      <w:spacing w:line="312" w:lineRule="atLeast"/>
      <w:ind w:firstLine="570"/>
      <w:textAlignment w:val="baseline"/>
    </w:pPr>
    <w:rPr>
      <w:rFonts w:ascii="宋体" w:hAnsi="Times New Roman"/>
      <w:kern w:val="0"/>
      <w:sz w:val="28"/>
    </w:rPr>
  </w:style>
  <w:style w:type="paragraph" w:customStyle="1" w:styleId="1938">
    <w:name w:val="君邦正文04"/>
    <w:basedOn w:val="1"/>
    <w:qFormat/>
    <w:uiPriority w:val="0"/>
    <w:pPr>
      <w:spacing w:after="60" w:line="360" w:lineRule="auto"/>
      <w:ind w:firstLine="480" w:firstLineChars="200"/>
      <w:jc w:val="left"/>
    </w:pPr>
    <w:rPr>
      <w:rFonts w:ascii="宋体" w:hAnsi="宋体" w:eastAsia="Times New Roman"/>
      <w:kern w:val="0"/>
      <w:sz w:val="24"/>
      <w:szCs w:val="24"/>
    </w:rPr>
  </w:style>
  <w:style w:type="paragraph" w:customStyle="1" w:styleId="1939">
    <w:name w:val="Char Char1 Char Char Char Char Char Char Char Char Char Char Char Char Char Char Char Char Char Char Char Char1 Char"/>
    <w:basedOn w:val="1"/>
    <w:qFormat/>
    <w:uiPriority w:val="0"/>
    <w:pPr>
      <w:spacing w:before="60" w:line="360" w:lineRule="auto"/>
      <w:ind w:firstLine="200" w:firstLineChars="200"/>
    </w:pPr>
    <w:rPr>
      <w:rFonts w:ascii="宋体" w:hAnsi="宋体" w:eastAsia="Times New Roman" w:cs="宋体"/>
      <w:sz w:val="24"/>
      <w:szCs w:val="24"/>
    </w:rPr>
  </w:style>
  <w:style w:type="paragraph" w:customStyle="1" w:styleId="1940">
    <w:name w:val="特殊文字"/>
    <w:basedOn w:val="1"/>
    <w:qFormat/>
    <w:uiPriority w:val="0"/>
    <w:pPr>
      <w:overflowPunct w:val="0"/>
      <w:autoSpaceDE w:val="0"/>
      <w:autoSpaceDN w:val="0"/>
      <w:adjustRightInd w:val="0"/>
      <w:spacing w:line="360" w:lineRule="auto"/>
      <w:textAlignment w:val="baseline"/>
    </w:pPr>
    <w:rPr>
      <w:rFonts w:ascii="Times New Roman" w:hAnsi="Times New Roman" w:eastAsia="仿宋_GB2312"/>
      <w:kern w:val="0"/>
      <w:sz w:val="28"/>
    </w:rPr>
  </w:style>
  <w:style w:type="paragraph" w:customStyle="1" w:styleId="1941">
    <w:name w:val="文字部分"/>
    <w:basedOn w:val="1"/>
    <w:qFormat/>
    <w:uiPriority w:val="0"/>
    <w:pPr>
      <w:widowControl/>
      <w:spacing w:line="360" w:lineRule="auto"/>
      <w:ind w:firstLine="560" w:firstLineChars="200"/>
    </w:pPr>
    <w:rPr>
      <w:rFonts w:ascii="Times New Roman" w:hAnsi="Times New Roman" w:eastAsia="方正楷体简体"/>
      <w:sz w:val="28"/>
      <w:szCs w:val="28"/>
    </w:rPr>
  </w:style>
  <w:style w:type="paragraph" w:customStyle="1" w:styleId="1942">
    <w:name w:val="样式 样式 表格标题 + 首行缩进:  2 字符 + 首行缩进:  2 字符"/>
    <w:basedOn w:val="1"/>
    <w:qFormat/>
    <w:uiPriority w:val="0"/>
    <w:pPr>
      <w:adjustRightInd w:val="0"/>
      <w:spacing w:before="120" w:line="360" w:lineRule="auto"/>
      <w:ind w:firstLine="512" w:firstLineChars="200"/>
      <w:jc w:val="center"/>
      <w:textAlignment w:val="baseline"/>
    </w:pPr>
    <w:rPr>
      <w:rFonts w:ascii="Calibri" w:hAnsi="Calibri" w:eastAsia="汉鼎简特宋" w:cs="Calibri"/>
      <w:spacing w:val="8"/>
      <w:kern w:val="0"/>
      <w:sz w:val="24"/>
    </w:rPr>
  </w:style>
  <w:style w:type="paragraph" w:customStyle="1" w:styleId="1943">
    <w:name w:val="正"/>
    <w:basedOn w:val="1"/>
    <w:qFormat/>
    <w:uiPriority w:val="0"/>
    <w:pPr>
      <w:ind w:firstLine="200"/>
    </w:pPr>
    <w:rPr>
      <w:rFonts w:ascii="Times New Roman" w:hAnsi="Times New Roman"/>
      <w:sz w:val="24"/>
    </w:rPr>
  </w:style>
  <w:style w:type="paragraph" w:customStyle="1" w:styleId="1944">
    <w:name w:val="CM21"/>
    <w:basedOn w:val="107"/>
    <w:next w:val="107"/>
    <w:qFormat/>
    <w:uiPriority w:val="0"/>
    <w:pPr>
      <w:spacing w:line="468" w:lineRule="atLeast"/>
    </w:pPr>
    <w:rPr>
      <w:rFonts w:ascii="宋体" w:hAnsi="Times New Roman" w:eastAsia="宋体" w:cs="Times New Roman"/>
      <w:color w:val="auto"/>
    </w:rPr>
  </w:style>
  <w:style w:type="paragraph" w:customStyle="1" w:styleId="1945">
    <w:name w:val="CM10"/>
    <w:basedOn w:val="107"/>
    <w:next w:val="107"/>
    <w:qFormat/>
    <w:uiPriority w:val="0"/>
    <w:pPr>
      <w:spacing w:line="468" w:lineRule="atLeast"/>
    </w:pPr>
    <w:rPr>
      <w:rFonts w:ascii="宋体" w:hAnsi="Times New Roman" w:eastAsia="宋体" w:cs="Times New Roman"/>
      <w:color w:val="auto"/>
    </w:rPr>
  </w:style>
  <w:style w:type="paragraph" w:customStyle="1" w:styleId="1946">
    <w:name w:val="CM9"/>
    <w:basedOn w:val="107"/>
    <w:next w:val="107"/>
    <w:qFormat/>
    <w:uiPriority w:val="0"/>
    <w:pPr>
      <w:spacing w:line="468" w:lineRule="atLeast"/>
    </w:pPr>
    <w:rPr>
      <w:rFonts w:ascii="宋体" w:hAnsi="Times New Roman" w:eastAsia="宋体" w:cs="Times New Roman"/>
      <w:color w:val="auto"/>
    </w:rPr>
  </w:style>
  <w:style w:type="paragraph" w:customStyle="1" w:styleId="1947">
    <w:name w:val="CM51"/>
    <w:basedOn w:val="107"/>
    <w:next w:val="107"/>
    <w:qFormat/>
    <w:uiPriority w:val="0"/>
    <w:pPr>
      <w:spacing w:line="468" w:lineRule="atLeast"/>
    </w:pPr>
    <w:rPr>
      <w:rFonts w:ascii="宋体" w:hAnsi="Times New Roman" w:eastAsia="宋体" w:cs="Times New Roman"/>
      <w:color w:val="auto"/>
    </w:rPr>
  </w:style>
  <w:style w:type="paragraph" w:customStyle="1" w:styleId="1948">
    <w:name w:val="CM122"/>
    <w:basedOn w:val="107"/>
    <w:next w:val="107"/>
    <w:qFormat/>
    <w:uiPriority w:val="0"/>
    <w:pPr>
      <w:spacing w:after="278"/>
    </w:pPr>
    <w:rPr>
      <w:rFonts w:ascii="宋体" w:hAnsi="Times New Roman" w:eastAsia="宋体" w:cs="Times New Roman"/>
      <w:color w:val="auto"/>
    </w:rPr>
  </w:style>
  <w:style w:type="paragraph" w:customStyle="1" w:styleId="1949">
    <w:name w:val="CM29"/>
    <w:basedOn w:val="107"/>
    <w:next w:val="107"/>
    <w:qFormat/>
    <w:uiPriority w:val="0"/>
    <w:pPr>
      <w:spacing w:line="311" w:lineRule="atLeast"/>
    </w:pPr>
    <w:rPr>
      <w:rFonts w:ascii="宋体" w:hAnsi="Times New Roman" w:eastAsia="宋体" w:cs="Times New Roman"/>
      <w:color w:val="auto"/>
    </w:rPr>
  </w:style>
  <w:style w:type="paragraph" w:customStyle="1" w:styleId="1950">
    <w:name w:val="CM18"/>
    <w:basedOn w:val="107"/>
    <w:next w:val="107"/>
    <w:qFormat/>
    <w:uiPriority w:val="0"/>
    <w:pPr>
      <w:spacing w:line="468" w:lineRule="atLeast"/>
    </w:pPr>
    <w:rPr>
      <w:rFonts w:ascii="宋体" w:hAnsi="Times New Roman" w:eastAsia="宋体" w:cs="Times New Roman"/>
      <w:color w:val="auto"/>
    </w:rPr>
  </w:style>
  <w:style w:type="paragraph" w:customStyle="1" w:styleId="1951">
    <w:name w:val="CM128"/>
    <w:basedOn w:val="107"/>
    <w:next w:val="107"/>
    <w:qFormat/>
    <w:uiPriority w:val="0"/>
    <w:pPr>
      <w:spacing w:after="533"/>
    </w:pPr>
    <w:rPr>
      <w:rFonts w:ascii="宋体" w:hAnsi="Times New Roman" w:eastAsia="宋体" w:cs="Times New Roman"/>
      <w:color w:val="auto"/>
    </w:rPr>
  </w:style>
  <w:style w:type="paragraph" w:customStyle="1" w:styleId="1952">
    <w:name w:val="CM125"/>
    <w:basedOn w:val="107"/>
    <w:next w:val="107"/>
    <w:qFormat/>
    <w:uiPriority w:val="0"/>
    <w:pPr>
      <w:spacing w:after="85"/>
    </w:pPr>
    <w:rPr>
      <w:rFonts w:ascii="宋体" w:hAnsi="Times New Roman" w:eastAsia="宋体" w:cs="Times New Roman"/>
      <w:color w:val="auto"/>
    </w:rPr>
  </w:style>
  <w:style w:type="paragraph" w:customStyle="1" w:styleId="1953">
    <w:name w:val="CM124"/>
    <w:basedOn w:val="107"/>
    <w:next w:val="107"/>
    <w:qFormat/>
    <w:uiPriority w:val="0"/>
    <w:pPr>
      <w:spacing w:after="383"/>
    </w:pPr>
    <w:rPr>
      <w:rFonts w:ascii="宋体" w:hAnsi="Times New Roman" w:eastAsia="宋体" w:cs="Times New Roman"/>
      <w:color w:val="auto"/>
    </w:rPr>
  </w:style>
  <w:style w:type="paragraph" w:customStyle="1" w:styleId="1954">
    <w:name w:val="CM75"/>
    <w:basedOn w:val="107"/>
    <w:next w:val="107"/>
    <w:qFormat/>
    <w:uiPriority w:val="0"/>
    <w:pPr>
      <w:spacing w:line="468" w:lineRule="atLeast"/>
    </w:pPr>
    <w:rPr>
      <w:rFonts w:ascii="宋体" w:hAnsi="Times New Roman" w:eastAsia="宋体" w:cs="Times New Roman"/>
      <w:color w:val="auto"/>
    </w:rPr>
  </w:style>
  <w:style w:type="paragraph" w:customStyle="1" w:styleId="1955">
    <w:name w:val="CM26"/>
    <w:basedOn w:val="107"/>
    <w:next w:val="107"/>
    <w:qFormat/>
    <w:uiPriority w:val="0"/>
    <w:pPr>
      <w:spacing w:line="468" w:lineRule="atLeast"/>
    </w:pPr>
    <w:rPr>
      <w:rFonts w:ascii="宋体" w:hAnsi="Times New Roman" w:eastAsia="宋体" w:cs="Times New Roman"/>
      <w:color w:val="auto"/>
    </w:rPr>
  </w:style>
  <w:style w:type="paragraph" w:customStyle="1" w:styleId="1956">
    <w:name w:val="CM23"/>
    <w:basedOn w:val="107"/>
    <w:next w:val="107"/>
    <w:qFormat/>
    <w:uiPriority w:val="0"/>
    <w:pPr>
      <w:spacing w:line="468" w:lineRule="atLeast"/>
    </w:pPr>
    <w:rPr>
      <w:rFonts w:ascii="宋体" w:hAnsi="Times New Roman" w:eastAsia="宋体" w:cs="Times New Roman"/>
      <w:color w:val="auto"/>
    </w:rPr>
  </w:style>
  <w:style w:type="paragraph" w:customStyle="1" w:styleId="1957">
    <w:name w:val="CM137"/>
    <w:basedOn w:val="107"/>
    <w:next w:val="107"/>
    <w:qFormat/>
    <w:uiPriority w:val="0"/>
    <w:pPr>
      <w:spacing w:after="285"/>
    </w:pPr>
    <w:rPr>
      <w:rFonts w:ascii="宋体" w:hAnsi="Times New Roman" w:eastAsia="宋体" w:cs="Times New Roman"/>
      <w:color w:val="auto"/>
    </w:rPr>
  </w:style>
  <w:style w:type="paragraph" w:customStyle="1" w:styleId="1958">
    <w:name w:val="CM138"/>
    <w:basedOn w:val="107"/>
    <w:next w:val="107"/>
    <w:qFormat/>
    <w:uiPriority w:val="0"/>
    <w:pPr>
      <w:spacing w:after="75"/>
    </w:pPr>
    <w:rPr>
      <w:rFonts w:ascii="宋体" w:hAnsi="Times New Roman" w:eastAsia="宋体" w:cs="Times New Roman"/>
      <w:color w:val="auto"/>
    </w:rPr>
  </w:style>
  <w:style w:type="paragraph" w:customStyle="1" w:styleId="1959">
    <w:name w:val="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960">
    <w:name w:val="1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961">
    <w:name w:val="表格任务栏文字"/>
    <w:basedOn w:val="1"/>
    <w:qFormat/>
    <w:uiPriority w:val="0"/>
    <w:pPr>
      <w:widowControl/>
      <w:ind w:left="-50" w:leftChars="-50" w:right="-50" w:rightChars="-50"/>
      <w:jc w:val="center"/>
    </w:pPr>
    <w:rPr>
      <w:rFonts w:ascii="Times New Roman" w:hAnsi="Times New Roman" w:eastAsia="黑体"/>
      <w:szCs w:val="28"/>
    </w:rPr>
  </w:style>
  <w:style w:type="paragraph" w:customStyle="1" w:styleId="1962">
    <w:name w:val="lyy标题3"/>
    <w:basedOn w:val="7"/>
    <w:qFormat/>
    <w:uiPriority w:val="0"/>
    <w:pPr>
      <w:keepNext w:val="0"/>
      <w:tabs>
        <w:tab w:val="left" w:pos="1418"/>
      </w:tabs>
      <w:snapToGrid w:val="0"/>
      <w:spacing w:before="60" w:after="0" w:line="520" w:lineRule="exact"/>
      <w:ind w:left="1418" w:hanging="567"/>
    </w:pPr>
    <w:rPr>
      <w:rFonts w:ascii="Times New Roman" w:hAnsi="Times New Roman" w:eastAsia="黑体" w:cs="Times New Roman"/>
      <w:b w:val="0"/>
      <w:kern w:val="2"/>
      <w:sz w:val="24"/>
      <w:szCs w:val="20"/>
    </w:rPr>
  </w:style>
  <w:style w:type="paragraph" w:customStyle="1" w:styleId="1963">
    <w:name w:val="样式 标题 2 + 宋体 段前: 0.5 行 段后: 0.5 行"/>
    <w:basedOn w:val="107"/>
    <w:next w:val="107"/>
    <w:qFormat/>
    <w:uiPriority w:val="0"/>
    <w:rPr>
      <w:rFonts w:ascii="宋体" w:hAnsi="Times New Roman" w:eastAsia="宋体" w:cs="Times New Roman"/>
      <w:color w:val="auto"/>
    </w:rPr>
  </w:style>
  <w:style w:type="paragraph" w:customStyle="1" w:styleId="1964">
    <w:name w:val="正文缩进3"/>
    <w:basedOn w:val="1"/>
    <w:qFormat/>
    <w:uiPriority w:val="0"/>
    <w:pPr>
      <w:autoSpaceDE w:val="0"/>
      <w:autoSpaceDN w:val="0"/>
      <w:ind w:firstLine="420"/>
      <w:textAlignment w:val="baseline"/>
    </w:pPr>
    <w:rPr>
      <w:rFonts w:hint="eastAsia" w:ascii="Times New Roman" w:hAnsi="Times New Roman"/>
      <w:snapToGrid w:val="0"/>
    </w:rPr>
  </w:style>
  <w:style w:type="paragraph" w:customStyle="1" w:styleId="1965">
    <w:name w:val="表頭"/>
    <w:basedOn w:val="220"/>
    <w:qFormat/>
    <w:uiPriority w:val="0"/>
    <w:pPr>
      <w:snapToGrid w:val="0"/>
      <w:spacing w:afterLines="15" w:line="300" w:lineRule="exact"/>
      <w:ind w:left="23" w:leftChars="10"/>
    </w:pPr>
    <w:rPr>
      <w:rFonts w:eastAsia="華康中黑體"/>
      <w:spacing w:val="4"/>
      <w:szCs w:val="20"/>
      <w:lang w:eastAsia="zh-TW"/>
    </w:rPr>
  </w:style>
  <w:style w:type="paragraph" w:customStyle="1" w:styleId="1966">
    <w:name w:val="涪陵正文"/>
    <w:basedOn w:val="2"/>
    <w:qFormat/>
    <w:uiPriority w:val="0"/>
    <w:pPr>
      <w:adjustRightInd w:val="0"/>
      <w:snapToGrid w:val="0"/>
      <w:spacing w:after="0" w:line="420" w:lineRule="auto"/>
      <w:ind w:firstLine="425"/>
    </w:pPr>
    <w:rPr>
      <w:rFonts w:ascii="宋体" w:hAnsi="宋体" w:eastAsia="宋体" w:cs="Times New Roman"/>
      <w:spacing w:val="2"/>
      <w:kern w:val="24"/>
      <w:sz w:val="24"/>
      <w:szCs w:val="20"/>
    </w:rPr>
  </w:style>
  <w:style w:type="paragraph" w:customStyle="1" w:styleId="1967">
    <w:name w:val="文件名称"/>
    <w:basedOn w:val="1"/>
    <w:next w:val="1"/>
    <w:qFormat/>
    <w:uiPriority w:val="0"/>
    <w:pPr>
      <w:spacing w:beforeLines="100"/>
      <w:jc w:val="center"/>
    </w:pPr>
    <w:rPr>
      <w:rFonts w:ascii="黑体" w:hAnsi="Times New Roman" w:eastAsia="黑体"/>
      <w:sz w:val="84"/>
    </w:rPr>
  </w:style>
  <w:style w:type="paragraph" w:customStyle="1" w:styleId="1968">
    <w:name w:val="_Style 11"/>
    <w:basedOn w:val="1"/>
    <w:next w:val="46"/>
    <w:qFormat/>
    <w:uiPriority w:val="0"/>
    <w:rPr>
      <w:rFonts w:ascii="Times New Roman" w:hAnsi="Courier New"/>
    </w:rPr>
  </w:style>
  <w:style w:type="paragraph" w:customStyle="1" w:styleId="1969">
    <w:name w:val="Char Char Char Char Char Char1 Char"/>
    <w:basedOn w:val="1"/>
    <w:qFormat/>
    <w:uiPriority w:val="0"/>
    <w:rPr>
      <w:rFonts w:ascii="Times New Roman" w:hAnsi="Times New Roman"/>
      <w:sz w:val="24"/>
      <w:szCs w:val="24"/>
    </w:rPr>
  </w:style>
  <w:style w:type="paragraph" w:customStyle="1" w:styleId="1970">
    <w:name w:val="階層2"/>
    <w:basedOn w:val="1"/>
    <w:qFormat/>
    <w:uiPriority w:val="0"/>
    <w:pPr>
      <w:widowControl/>
      <w:tabs>
        <w:tab w:val="left" w:pos="992"/>
        <w:tab w:val="left" w:pos="1080"/>
      </w:tabs>
      <w:adjustRightInd w:val="0"/>
      <w:snapToGrid w:val="0"/>
      <w:spacing w:beforeLines="25" w:afterLines="25" w:line="400" w:lineRule="exact"/>
      <w:ind w:left="992" w:hanging="567"/>
      <w:jc w:val="left"/>
      <w:outlineLvl w:val="1"/>
    </w:pPr>
    <w:rPr>
      <w:rFonts w:ascii="Times New Roman" w:hAnsi="Times New Roman" w:eastAsia="DFKai-SB"/>
      <w:kern w:val="0"/>
      <w:sz w:val="28"/>
      <w:lang w:eastAsia="zh-TW"/>
    </w:rPr>
  </w:style>
  <w:style w:type="paragraph" w:customStyle="1" w:styleId="1971">
    <w:name w:val="内容样式1"/>
    <w:basedOn w:val="1"/>
    <w:qFormat/>
    <w:uiPriority w:val="0"/>
    <w:pPr>
      <w:spacing w:line="360" w:lineRule="auto"/>
      <w:ind w:firstLine="560" w:firstLineChars="200"/>
    </w:pPr>
    <w:rPr>
      <w:rFonts w:ascii="宋体" w:hAnsi="宋体"/>
      <w:sz w:val="28"/>
    </w:rPr>
  </w:style>
  <w:style w:type="paragraph" w:customStyle="1" w:styleId="1972">
    <w:name w:val="中文报告书样式"/>
    <w:basedOn w:val="1"/>
    <w:qFormat/>
    <w:uiPriority w:val="0"/>
    <w:pPr>
      <w:adjustRightInd w:val="0"/>
      <w:spacing w:line="360" w:lineRule="auto"/>
      <w:ind w:firstLine="482"/>
      <w:textAlignment w:val="baseline"/>
    </w:pPr>
    <w:rPr>
      <w:rFonts w:ascii="Times New Roman" w:hAnsi="Times New Roman"/>
      <w:kern w:val="24"/>
      <w:sz w:val="24"/>
    </w:rPr>
  </w:style>
  <w:style w:type="paragraph" w:customStyle="1" w:styleId="1973">
    <w:name w:val="样式 四号 黑色 行距: 1.5 倍行距 首行缩进:  2 字符"/>
    <w:basedOn w:val="1"/>
    <w:qFormat/>
    <w:uiPriority w:val="0"/>
    <w:pPr>
      <w:spacing w:line="360" w:lineRule="auto"/>
      <w:ind w:firstLine="560" w:firstLineChars="200"/>
    </w:pPr>
    <w:rPr>
      <w:rFonts w:ascii="Times New Roman" w:hAnsi="Times New Roman" w:eastAsia="仿宋_GB2312" w:cs="宋体"/>
      <w:color w:val="000000"/>
      <w:sz w:val="28"/>
    </w:rPr>
  </w:style>
  <w:style w:type="paragraph" w:customStyle="1" w:styleId="1974">
    <w:name w:val="reader-word-layer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5">
    <w:name w:val="reader-word-layer reader-word-s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6">
    <w:name w:val="reader-word-layer reader-word-s1-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7">
    <w:name w:val="reader-word-layer reader-word-s1-3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8">
    <w:name w:val="Char Char Char Char Char Char Char Char Char Char Char Char Char Char Char Char Char Char Char Char Char Char Char Char Char Char Char Char Char Char Char Char Char Char Char Char Char Char Char Char"/>
    <w:basedOn w:val="1"/>
    <w:qFormat/>
    <w:uiPriority w:val="0"/>
    <w:rPr>
      <w:rFonts w:ascii="Times New Roman" w:hAnsi="Times New Roman"/>
      <w:sz w:val="24"/>
      <w:szCs w:val="24"/>
    </w:rPr>
  </w:style>
  <w:style w:type="paragraph" w:customStyle="1" w:styleId="1979">
    <w:name w:val="副主标题"/>
    <w:basedOn w:val="83"/>
    <w:qFormat/>
    <w:uiPriority w:val="0"/>
    <w:pPr>
      <w:spacing w:before="0" w:after="0" w:line="360" w:lineRule="auto"/>
      <w:outlineLvl w:val="9"/>
    </w:pPr>
    <w:rPr>
      <w:rFonts w:ascii="Times New Roman" w:hAnsi="Times New Roman" w:eastAsia="仿宋_GB2312" w:cs="Times New Roman"/>
      <w:b w:val="0"/>
      <w:bCs w:val="0"/>
      <w:kern w:val="2"/>
      <w:szCs w:val="22"/>
    </w:rPr>
  </w:style>
  <w:style w:type="paragraph" w:customStyle="1" w:styleId="1980">
    <w:name w:val="reader-word-layer reader-word-s2-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1">
    <w:name w:val="reader-word-layer reader-word-s2-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2">
    <w:name w:val="reader-word-layer reader-word-s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3">
    <w:name w:val="reader-word-layer reader-word-s2-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4">
    <w:name w:val="reader-word-layer reader-word-s2-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5">
    <w:name w:val="签名2"/>
    <w:basedOn w:val="1"/>
    <w:qFormat/>
    <w:uiPriority w:val="0"/>
    <w:pPr>
      <w:ind w:left="100" w:leftChars="2100"/>
    </w:pPr>
    <w:rPr>
      <w:sz w:val="13"/>
      <w:szCs w:val="24"/>
    </w:rPr>
  </w:style>
  <w:style w:type="paragraph" w:customStyle="1" w:styleId="1986">
    <w:name w:val="插入内容"/>
    <w:basedOn w:val="326"/>
    <w:qFormat/>
    <w:uiPriority w:val="0"/>
    <w:pPr>
      <w:snapToGrid w:val="0"/>
      <w:spacing w:line="360" w:lineRule="exact"/>
      <w:ind w:firstLine="567" w:firstLineChars="0"/>
      <w:jc w:val="both"/>
    </w:pPr>
    <w:rPr>
      <w:rFonts w:ascii="Times New Roman" w:hAnsi="Times New Roman" w:eastAsia="仿宋_GB2312" w:cs="Times New Roman"/>
      <w:sz w:val="21"/>
      <w:szCs w:val="24"/>
    </w:rPr>
  </w:style>
  <w:style w:type="paragraph" w:customStyle="1" w:styleId="1987">
    <w:name w:val="Char3 Char Char Char"/>
    <w:basedOn w:val="1"/>
    <w:qFormat/>
    <w:uiPriority w:val="0"/>
    <w:pPr>
      <w:spacing w:line="360" w:lineRule="auto"/>
      <w:ind w:firstLine="200" w:firstLineChars="200"/>
    </w:pPr>
    <w:rPr>
      <w:rFonts w:ascii="宋体" w:hAnsi="宋体" w:cs="宋体"/>
      <w:sz w:val="24"/>
      <w:szCs w:val="24"/>
    </w:rPr>
  </w:style>
  <w:style w:type="paragraph" w:customStyle="1" w:styleId="1988">
    <w:name w:val="w正文"/>
    <w:basedOn w:val="1"/>
    <w:qFormat/>
    <w:uiPriority w:val="0"/>
    <w:pPr>
      <w:spacing w:line="360" w:lineRule="auto"/>
      <w:ind w:firstLine="480" w:firstLineChars="200"/>
    </w:pPr>
    <w:rPr>
      <w:rFonts w:ascii="Times New Roman" w:hAnsi="Times New Roman"/>
      <w:snapToGrid w:val="0"/>
      <w:color w:val="000000"/>
      <w:sz w:val="24"/>
      <w:szCs w:val="30"/>
    </w:rPr>
  </w:style>
  <w:style w:type="paragraph" w:customStyle="1" w:styleId="1989">
    <w:name w:val="报告表格"/>
    <w:basedOn w:val="1"/>
    <w:qFormat/>
    <w:uiPriority w:val="0"/>
    <w:pPr>
      <w:autoSpaceDE w:val="0"/>
      <w:autoSpaceDN w:val="0"/>
      <w:adjustRightInd w:val="0"/>
      <w:spacing w:before="40" w:after="40"/>
      <w:jc w:val="center"/>
      <w:textAlignment w:val="bottom"/>
    </w:pPr>
    <w:rPr>
      <w:rFonts w:ascii="Times New Roman" w:hAnsi="Times New Roman"/>
      <w:kern w:val="0"/>
    </w:rPr>
  </w:style>
  <w:style w:type="paragraph" w:customStyle="1" w:styleId="1990">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91">
    <w:name w:val="reader-word-layer reader-word-s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92">
    <w:name w:val="Char Char2 Char Char"/>
    <w:basedOn w:val="51"/>
    <w:next w:val="51"/>
    <w:qFormat/>
    <w:uiPriority w:val="0"/>
    <w:pPr>
      <w:spacing w:after="120" w:line="480" w:lineRule="auto"/>
      <w:ind w:left="630" w:leftChars="100" w:right="100" w:rightChars="100" w:firstLine="0"/>
    </w:pPr>
    <w:rPr>
      <w:rFonts w:ascii="Times New Roman" w:eastAsia="宋体" w:cs="Times New Roman"/>
      <w:kern w:val="2"/>
      <w:sz w:val="28"/>
      <w:szCs w:val="28"/>
    </w:rPr>
  </w:style>
  <w:style w:type="paragraph" w:customStyle="1" w:styleId="1993">
    <w:name w:val="项目正文内容"/>
    <w:basedOn w:val="1"/>
    <w:qFormat/>
    <w:uiPriority w:val="0"/>
    <w:pPr>
      <w:adjustRightInd w:val="0"/>
      <w:snapToGrid w:val="0"/>
      <w:spacing w:line="360" w:lineRule="auto"/>
      <w:ind w:firstLine="200" w:firstLineChars="200"/>
    </w:pPr>
    <w:rPr>
      <w:rFonts w:ascii="宋体" w:hAnsi="Courier New" w:cs="Courier New"/>
      <w:sz w:val="24"/>
      <w:szCs w:val="21"/>
    </w:rPr>
  </w:style>
  <w:style w:type="paragraph" w:customStyle="1" w:styleId="1994">
    <w:name w:val="示例"/>
    <w:next w:val="1597"/>
    <w:qFormat/>
    <w:uiPriority w:val="0"/>
    <w:pPr>
      <w:tabs>
        <w:tab w:val="left" w:pos="816"/>
        <w:tab w:val="left" w:pos="1287"/>
      </w:tabs>
      <w:ind w:left="1287" w:firstLine="419" w:firstLineChars="233"/>
      <w:jc w:val="both"/>
    </w:pPr>
    <w:rPr>
      <w:rFonts w:ascii="宋体" w:hAnsi="Calibri" w:eastAsia="宋体" w:cs="Calibri"/>
      <w:sz w:val="18"/>
      <w:lang w:val="en-US" w:eastAsia="zh-CN" w:bidi="ar-SA"/>
    </w:rPr>
  </w:style>
  <w:style w:type="paragraph" w:customStyle="1" w:styleId="1995">
    <w:name w:val="Plain Text1"/>
    <w:basedOn w:val="1"/>
    <w:qFormat/>
    <w:uiPriority w:val="0"/>
    <w:rPr>
      <w:rFonts w:ascii="宋体" w:hAnsi="Courier New"/>
      <w:szCs w:val="21"/>
    </w:rPr>
  </w:style>
  <w:style w:type="paragraph" w:customStyle="1" w:styleId="1996">
    <w:name w:val="小四"/>
    <w:basedOn w:val="1"/>
    <w:qFormat/>
    <w:uiPriority w:val="0"/>
    <w:pPr>
      <w:spacing w:line="400" w:lineRule="exact"/>
    </w:pPr>
    <w:rPr>
      <w:rFonts w:ascii="Calibri" w:hAnsi="Calibri" w:cs="Calibri"/>
      <w:sz w:val="24"/>
      <w:szCs w:val="24"/>
    </w:rPr>
  </w:style>
  <w:style w:type="paragraph" w:customStyle="1" w:styleId="1997">
    <w:name w:val="默认段落字体 Para Char Char Char Char Char Char Char Char Char1 Char Char Char Char Char Char Char"/>
    <w:basedOn w:val="28"/>
    <w:qFormat/>
    <w:uiPriority w:val="0"/>
    <w:pPr>
      <w:shd w:val="clear" w:color="auto" w:fill="000080"/>
    </w:pPr>
    <w:rPr>
      <w:rFonts w:ascii="Tahoma" w:hAnsi="Tahoma" w:cs="Tahoma"/>
      <w:sz w:val="24"/>
      <w:szCs w:val="24"/>
    </w:rPr>
  </w:style>
  <w:style w:type="paragraph" w:customStyle="1" w:styleId="1998">
    <w:name w:val="封面标准文稿编辑信息"/>
    <w:qFormat/>
    <w:uiPriority w:val="0"/>
    <w:pPr>
      <w:spacing w:before="180" w:line="180" w:lineRule="exact"/>
      <w:jc w:val="center"/>
    </w:pPr>
    <w:rPr>
      <w:rFonts w:ascii="宋体" w:hAnsi="Calibri" w:eastAsia="宋体" w:cs="Calibri"/>
      <w:sz w:val="21"/>
      <w:lang w:val="en-US" w:eastAsia="zh-CN" w:bidi="ar-SA"/>
    </w:rPr>
  </w:style>
  <w:style w:type="paragraph" w:customStyle="1" w:styleId="1999">
    <w:name w:val="Chapter Subtitle"/>
    <w:basedOn w:val="1"/>
    <w:next w:val="2"/>
    <w:qFormat/>
    <w:uiPriority w:val="0"/>
    <w:pPr>
      <w:keepNext/>
      <w:keepLines/>
      <w:widowControl/>
      <w:spacing w:after="360" w:line="240" w:lineRule="atLeast"/>
      <w:ind w:right="1800"/>
      <w:jc w:val="left"/>
    </w:pPr>
    <w:rPr>
      <w:rFonts w:ascii="Garamond" w:hAnsi="Garamond" w:cs="Calibri"/>
      <w:i/>
      <w:spacing w:val="-20"/>
      <w:kern w:val="28"/>
      <w:sz w:val="28"/>
      <w:lang w:eastAsia="en-US"/>
    </w:rPr>
  </w:style>
  <w:style w:type="paragraph" w:customStyle="1" w:styleId="2000">
    <w:name w:val="ht11"/>
    <w:basedOn w:val="5"/>
    <w:qFormat/>
    <w:uiPriority w:val="0"/>
    <w:pPr>
      <w:pageBreakBefore/>
      <w:tabs>
        <w:tab w:val="left" w:pos="425"/>
        <w:tab w:val="left" w:pos="9015"/>
      </w:tabs>
      <w:adjustRightInd w:val="0"/>
      <w:snapToGrid w:val="0"/>
      <w:spacing w:beforeLines="50" w:after="0" w:line="360" w:lineRule="auto"/>
      <w:ind w:left="1701" w:hanging="425"/>
      <w:jc w:val="left"/>
    </w:pPr>
    <w:rPr>
      <w:rFonts w:ascii="Calibri" w:hAnsi="Calibri" w:eastAsia="黑体" w:cs="Times New Roman"/>
      <w:bCs w:val="0"/>
      <w:color w:val="FF0000"/>
      <w:kern w:val="2"/>
      <w:sz w:val="36"/>
      <w:szCs w:val="20"/>
    </w:rPr>
  </w:style>
  <w:style w:type="paragraph" w:customStyle="1" w:styleId="2001">
    <w:name w:val="标题0"/>
    <w:basedOn w:val="1"/>
    <w:qFormat/>
    <w:uiPriority w:val="0"/>
    <w:pPr>
      <w:tabs>
        <w:tab w:val="left" w:pos="0"/>
        <w:tab w:val="left" w:pos="1080"/>
      </w:tabs>
    </w:pPr>
    <w:rPr>
      <w:rFonts w:ascii="Calibri" w:hAnsi="Calibri" w:cs="Calibri"/>
    </w:rPr>
  </w:style>
  <w:style w:type="paragraph" w:customStyle="1" w:styleId="2002">
    <w:name w:val="articleinfo"/>
    <w:basedOn w:val="1"/>
    <w:qFormat/>
    <w:uiPriority w:val="0"/>
    <w:pPr>
      <w:widowControl/>
      <w:ind w:left="120" w:right="120"/>
      <w:jc w:val="center"/>
    </w:pPr>
    <w:rPr>
      <w:rFonts w:ascii="宋体" w:hAnsi="宋体" w:cs="宋体"/>
      <w:kern w:val="0"/>
      <w:sz w:val="24"/>
      <w:szCs w:val="24"/>
    </w:rPr>
  </w:style>
  <w:style w:type="paragraph" w:customStyle="1" w:styleId="2003">
    <w:name w:val="日期11"/>
    <w:basedOn w:val="1"/>
    <w:next w:val="1"/>
    <w:qFormat/>
    <w:uiPriority w:val="0"/>
    <w:pPr>
      <w:adjustRightInd w:val="0"/>
      <w:textAlignment w:val="baseline"/>
    </w:pPr>
    <w:rPr>
      <w:rFonts w:ascii="Calibri" w:hAnsi="Calibri" w:cs="Calibri"/>
    </w:rPr>
  </w:style>
  <w:style w:type="paragraph" w:customStyle="1" w:styleId="2004">
    <w:name w:val="List Paragraph1"/>
    <w:basedOn w:val="1"/>
    <w:qFormat/>
    <w:uiPriority w:val="0"/>
    <w:pPr>
      <w:ind w:firstLine="420" w:firstLineChars="200"/>
    </w:pPr>
    <w:rPr>
      <w:rFonts w:ascii="Calibri" w:hAnsi="Calibri" w:cs="Calibri"/>
      <w:sz w:val="28"/>
      <w:szCs w:val="24"/>
    </w:rPr>
  </w:style>
  <w:style w:type="paragraph" w:customStyle="1" w:styleId="2005">
    <w:name w:val="保留正文"/>
    <w:basedOn w:val="1"/>
    <w:qFormat/>
    <w:uiPriority w:val="0"/>
    <w:pPr>
      <w:keepNext/>
      <w:adjustRightInd w:val="0"/>
      <w:spacing w:after="160" w:line="480" w:lineRule="auto"/>
      <w:textAlignment w:val="baseline"/>
    </w:pPr>
    <w:rPr>
      <w:rFonts w:ascii="宋体" w:hAnsi="Calibri" w:cs="Calibri"/>
      <w:kern w:val="0"/>
      <w:sz w:val="24"/>
      <w:szCs w:val="24"/>
    </w:rPr>
  </w:style>
  <w:style w:type="paragraph" w:customStyle="1" w:styleId="2006">
    <w:name w:val="Char Char17"/>
    <w:basedOn w:val="1"/>
    <w:qFormat/>
    <w:uiPriority w:val="0"/>
    <w:rPr>
      <w:rFonts w:ascii="Calibri" w:hAnsi="Calibri" w:cs="Calibri"/>
      <w:szCs w:val="24"/>
    </w:rPr>
  </w:style>
  <w:style w:type="paragraph" w:customStyle="1" w:styleId="2007">
    <w:name w:val="DefaultParagraphStyle"/>
    <w:qFormat/>
    <w:uiPriority w:val="0"/>
    <w:pPr>
      <w:spacing w:line="360" w:lineRule="auto"/>
      <w:ind w:firstLine="420" w:firstLineChars="200"/>
    </w:pPr>
    <w:rPr>
      <w:rFonts w:ascii="Arial" w:hAnsi="Arial" w:eastAsia="Arial" w:cs="Arial"/>
      <w:lang w:val="en-US" w:eastAsia="zh-CN" w:bidi="ar-SA"/>
    </w:rPr>
  </w:style>
  <w:style w:type="paragraph" w:customStyle="1" w:styleId="2008">
    <w:name w:val="Char Char Char Char Char Char1"/>
    <w:basedOn w:val="1"/>
    <w:qFormat/>
    <w:uiPriority w:val="0"/>
    <w:rPr>
      <w:rFonts w:ascii="Calibri" w:hAnsi="Calibri" w:cs="Calibri"/>
      <w:szCs w:val="24"/>
    </w:rPr>
  </w:style>
  <w:style w:type="paragraph" w:customStyle="1" w:styleId="2009">
    <w:name w:val="卫专表格"/>
    <w:basedOn w:val="1"/>
    <w:qFormat/>
    <w:uiPriority w:val="0"/>
    <w:pPr>
      <w:topLinePunct/>
      <w:jc w:val="center"/>
    </w:pPr>
    <w:rPr>
      <w:rFonts w:cs="Arial"/>
      <w:szCs w:val="21"/>
    </w:rPr>
  </w:style>
  <w:style w:type="paragraph" w:customStyle="1" w:styleId="2010">
    <w:name w:val="建安正文"/>
    <w:qFormat/>
    <w:uiPriority w:val="0"/>
    <w:pPr>
      <w:adjustRightInd w:val="0"/>
      <w:spacing w:line="360" w:lineRule="auto"/>
      <w:ind w:firstLine="200" w:firstLineChars="200"/>
    </w:pPr>
    <w:rPr>
      <w:rFonts w:ascii="Calibri" w:hAnsi="Calibri" w:eastAsia="宋体" w:cs="仿宋_GB2312"/>
      <w:color w:val="000000"/>
      <w:sz w:val="24"/>
      <w:szCs w:val="24"/>
      <w:lang w:val="en-US" w:eastAsia="zh-CN" w:bidi="en-US"/>
    </w:rPr>
  </w:style>
  <w:style w:type="paragraph" w:customStyle="1" w:styleId="2011">
    <w:name w:val="样式 0 + 四号 行距: 固定值 22 磅"/>
    <w:basedOn w:val="1"/>
    <w:qFormat/>
    <w:uiPriority w:val="0"/>
    <w:pPr>
      <w:widowControl/>
      <w:snapToGrid w:val="0"/>
      <w:spacing w:line="480" w:lineRule="exact"/>
      <w:ind w:firstLine="200" w:firstLineChars="200"/>
    </w:pPr>
    <w:rPr>
      <w:rFonts w:ascii="Calibri" w:hAnsi="Calibri" w:cs="Calibri"/>
      <w:spacing w:val="8"/>
      <w:kern w:val="0"/>
      <w:sz w:val="28"/>
    </w:rPr>
  </w:style>
  <w:style w:type="paragraph" w:customStyle="1" w:styleId="2012">
    <w:name w:val="Char1 Char Char"/>
    <w:basedOn w:val="1"/>
    <w:qFormat/>
    <w:uiPriority w:val="0"/>
    <w:pPr>
      <w:ind w:firstLine="200" w:firstLineChars="200"/>
    </w:pPr>
    <w:rPr>
      <w:rFonts w:ascii="Calibri" w:hAnsi="Calibri" w:cs="Calibri"/>
      <w:sz w:val="28"/>
      <w:szCs w:val="28"/>
    </w:rPr>
  </w:style>
  <w:style w:type="paragraph" w:customStyle="1" w:styleId="2013">
    <w:name w:val="Char Char26 Char Char Char Char1"/>
    <w:basedOn w:val="1"/>
    <w:qFormat/>
    <w:uiPriority w:val="0"/>
    <w:rPr>
      <w:rFonts w:ascii="Calibri" w:hAnsi="Calibri" w:cs="Calibri"/>
      <w:szCs w:val="24"/>
    </w:rPr>
  </w:style>
  <w:style w:type="paragraph" w:customStyle="1" w:styleId="2014">
    <w:name w:val="样式 标题 2 + 宋体 四号 非加粗 黑色 段前: 0 磅 段后: 0 磅 行距: 固定值 27 磅"/>
    <w:basedOn w:val="6"/>
    <w:qFormat/>
    <w:uiPriority w:val="0"/>
    <w:pPr>
      <w:keepNext w:val="0"/>
      <w:spacing w:before="0" w:after="0" w:line="540" w:lineRule="exact"/>
    </w:pPr>
    <w:rPr>
      <w:rFonts w:ascii="Calibri" w:hAnsi="Calibri" w:eastAsia="楷体_GB2312" w:cs="宋体"/>
      <w:bCs w:val="0"/>
      <w:color w:val="000000"/>
      <w:kern w:val="2"/>
      <w:szCs w:val="20"/>
    </w:rPr>
  </w:style>
  <w:style w:type="paragraph" w:customStyle="1" w:styleId="201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16">
    <w:name w:val="项目符号"/>
    <w:qFormat/>
    <w:uiPriority w:val="0"/>
    <w:pPr>
      <w:widowControl w:val="0"/>
      <w:tabs>
        <w:tab w:val="left" w:pos="1200"/>
        <w:tab w:val="left" w:pos="4536"/>
      </w:tabs>
      <w:spacing w:line="440" w:lineRule="exact"/>
    </w:pPr>
    <w:rPr>
      <w:rFonts w:ascii="宋体" w:hAnsi="宋体" w:eastAsia="宋体" w:cs="Times New Roman"/>
      <w:kern w:val="2"/>
      <w:sz w:val="24"/>
      <w:lang w:val="en-US" w:eastAsia="zh-CN" w:bidi="ar-SA"/>
    </w:rPr>
  </w:style>
  <w:style w:type="paragraph" w:customStyle="1" w:styleId="2017">
    <w:name w:val="环评报告表段落1"/>
    <w:basedOn w:val="1"/>
    <w:qFormat/>
    <w:uiPriority w:val="0"/>
    <w:pPr>
      <w:spacing w:afterLines="50" w:line="520" w:lineRule="exact"/>
      <w:ind w:firstLine="480" w:firstLineChars="200"/>
    </w:pPr>
    <w:rPr>
      <w:rFonts w:ascii="Times New Roman" w:hAnsi="Times New Roman"/>
      <w:sz w:val="24"/>
      <w:szCs w:val="24"/>
    </w:rPr>
  </w:style>
  <w:style w:type="paragraph" w:customStyle="1" w:styleId="2018">
    <w:name w:val="Char42"/>
    <w:basedOn w:val="1"/>
    <w:qFormat/>
    <w:uiPriority w:val="0"/>
    <w:pPr>
      <w:spacing w:line="360" w:lineRule="auto"/>
      <w:ind w:firstLine="200" w:firstLineChars="200"/>
    </w:pPr>
    <w:rPr>
      <w:rFonts w:ascii="宋体" w:hAnsi="宋体" w:cs="宋体"/>
      <w:sz w:val="24"/>
      <w:szCs w:val="24"/>
    </w:rPr>
  </w:style>
  <w:style w:type="character" w:customStyle="1" w:styleId="2019">
    <w:name w:val="333三级标题 Char"/>
    <w:link w:val="2020"/>
    <w:qFormat/>
    <w:uiPriority w:val="0"/>
    <w:rPr>
      <w:rFonts w:ascii="Arial" w:hAnsi="Arial" w:eastAsia="黑体" w:cs="宋体"/>
      <w:b/>
      <w:bCs/>
      <w:kern w:val="2"/>
      <w:sz w:val="24"/>
      <w:szCs w:val="24"/>
    </w:rPr>
  </w:style>
  <w:style w:type="paragraph" w:customStyle="1" w:styleId="2020">
    <w:name w:val="333三级标题"/>
    <w:basedOn w:val="961"/>
    <w:link w:val="2019"/>
    <w:qFormat/>
    <w:uiPriority w:val="0"/>
    <w:pPr>
      <w:tabs>
        <w:tab w:val="left" w:pos="709"/>
        <w:tab w:val="left" w:pos="2040"/>
        <w:tab w:val="clear" w:pos="360"/>
      </w:tabs>
      <w:spacing w:before="60" w:after="60" w:line="540" w:lineRule="exact"/>
      <w:ind w:left="0" w:firstLine="0"/>
      <w:jc w:val="both"/>
      <w:outlineLvl w:val="2"/>
    </w:pPr>
    <w:rPr>
      <w:rFonts w:ascii="Arial" w:cs="宋体"/>
      <w:color w:val="auto"/>
      <w:sz w:val="24"/>
      <w:szCs w:val="24"/>
    </w:rPr>
  </w:style>
  <w:style w:type="paragraph" w:customStyle="1" w:styleId="2021">
    <w:name w:val="17"/>
    <w:qFormat/>
    <w:uiPriority w:val="0"/>
    <w:rPr>
      <w:rFonts w:ascii="Calibri" w:hAnsi="Calibri" w:eastAsia="宋体" w:cs="Times New Roman"/>
      <w:sz w:val="24"/>
      <w:szCs w:val="24"/>
      <w:lang w:val="en-US" w:eastAsia="en-US" w:bidi="en-US"/>
    </w:rPr>
  </w:style>
  <w:style w:type="character" w:customStyle="1" w:styleId="2022">
    <w:name w:val="样式 宋体"/>
    <w:qFormat/>
    <w:uiPriority w:val="0"/>
    <w:rPr>
      <w:rFonts w:hint="eastAsia" w:ascii="宋体" w:hAnsi="宋体" w:eastAsia="宋体"/>
      <w:color w:val="FF0000"/>
    </w:rPr>
  </w:style>
  <w:style w:type="paragraph" w:customStyle="1" w:styleId="2023">
    <w:name w:val="样式 表格标题 + 左侧:  -0.55 字符 悬挂缩进: 0.65 字符1"/>
    <w:basedOn w:val="1"/>
    <w:link w:val="2024"/>
    <w:qFormat/>
    <w:uiPriority w:val="0"/>
    <w:pPr>
      <w:adjustRightInd w:val="0"/>
      <w:snapToGrid w:val="0"/>
      <w:spacing w:line="360" w:lineRule="auto"/>
      <w:ind w:left="-55"/>
      <w:jc w:val="left"/>
    </w:pPr>
    <w:rPr>
      <w:rFonts w:ascii="Times New Roman" w:hAnsi="Times New Roman" w:cs="宋体"/>
      <w:b/>
      <w:bCs/>
      <w:sz w:val="24"/>
    </w:rPr>
  </w:style>
  <w:style w:type="character" w:customStyle="1" w:styleId="2024">
    <w:name w:val="样式 表格标题 + 左侧:  -0.55 字符 悬挂缩进: 0.65 字符1 Char"/>
    <w:link w:val="2023"/>
    <w:qFormat/>
    <w:uiPriority w:val="0"/>
    <w:rPr>
      <w:rFonts w:ascii="Times New Roman" w:hAnsi="Times New Roman" w:eastAsia="宋体" w:cs="宋体"/>
      <w:b/>
      <w:bCs/>
      <w:kern w:val="2"/>
      <w:sz w:val="24"/>
    </w:rPr>
  </w:style>
  <w:style w:type="paragraph" w:customStyle="1" w:styleId="2025">
    <w:name w:val="环评表格正文"/>
    <w:basedOn w:val="1"/>
    <w:link w:val="2026"/>
    <w:qFormat/>
    <w:uiPriority w:val="0"/>
    <w:pPr>
      <w:jc w:val="center"/>
    </w:pPr>
    <w:rPr>
      <w:rFonts w:ascii="Times New Roman" w:hAnsi="Times New Roman"/>
      <w:sz w:val="18"/>
      <w:szCs w:val="21"/>
      <w:lang w:eastAsia="en-US"/>
    </w:rPr>
  </w:style>
  <w:style w:type="character" w:customStyle="1" w:styleId="2026">
    <w:name w:val="环评表格正文 Char Char"/>
    <w:link w:val="2025"/>
    <w:qFormat/>
    <w:locked/>
    <w:uiPriority w:val="0"/>
    <w:rPr>
      <w:rFonts w:ascii="Times New Roman" w:hAnsi="Times New Roman" w:eastAsia="宋体" w:cs="Times New Roman"/>
      <w:kern w:val="2"/>
      <w:sz w:val="18"/>
      <w:szCs w:val="21"/>
      <w:lang w:eastAsia="en-US"/>
    </w:rPr>
  </w:style>
  <w:style w:type="paragraph" w:customStyle="1" w:styleId="2027">
    <w:name w:val="2"/>
    <w:basedOn w:val="1"/>
    <w:qFormat/>
    <w:uiPriority w:val="0"/>
    <w:pPr>
      <w:spacing w:line="360" w:lineRule="auto"/>
      <w:ind w:firstLine="200" w:firstLineChars="200"/>
    </w:pPr>
    <w:rPr>
      <w:rFonts w:ascii="宋体" w:hAnsi="宋体" w:cs="宋体"/>
      <w:sz w:val="24"/>
      <w:szCs w:val="24"/>
    </w:rPr>
  </w:style>
  <w:style w:type="paragraph" w:customStyle="1" w:styleId="2028">
    <w:name w:val="Char6"/>
    <w:basedOn w:val="1"/>
    <w:qFormat/>
    <w:uiPriority w:val="0"/>
    <w:pPr>
      <w:spacing w:line="360" w:lineRule="auto"/>
      <w:jc w:val="left"/>
    </w:pPr>
    <w:rPr>
      <w:rFonts w:ascii="Calibri" w:hAnsi="Calibri"/>
      <w:szCs w:val="22"/>
    </w:rPr>
  </w:style>
  <w:style w:type="paragraph" w:customStyle="1" w:styleId="2029">
    <w:name w:val="正文文字"/>
    <w:basedOn w:val="1"/>
    <w:qFormat/>
    <w:uiPriority w:val="0"/>
    <w:pPr>
      <w:jc w:val="center"/>
    </w:pPr>
    <w:rPr>
      <w:rFonts w:ascii="仿宋_GB2312" w:hAnsi="Calibri" w:eastAsia="仿宋_GB2312" w:cs="仿宋_GB2312"/>
      <w:szCs w:val="21"/>
    </w:rPr>
  </w:style>
  <w:style w:type="paragraph" w:customStyle="1" w:styleId="2030">
    <w:name w:val="正文文本缩进2"/>
    <w:basedOn w:val="1"/>
    <w:qFormat/>
    <w:uiPriority w:val="99"/>
    <w:pPr>
      <w:spacing w:after="120"/>
      <w:ind w:left="420" w:leftChars="200"/>
    </w:pPr>
    <w:rPr>
      <w:rFonts w:ascii="Calibri" w:hAnsi="Calibri"/>
      <w:szCs w:val="22"/>
    </w:rPr>
  </w:style>
  <w:style w:type="character" w:customStyle="1" w:styleId="2031">
    <w:name w:val="正文-RED Char"/>
    <w:link w:val="2032"/>
    <w:qFormat/>
    <w:locked/>
    <w:uiPriority w:val="0"/>
    <w:rPr>
      <w:sz w:val="24"/>
      <w:szCs w:val="22"/>
    </w:rPr>
  </w:style>
  <w:style w:type="paragraph" w:customStyle="1" w:styleId="2032">
    <w:name w:val="正文-RED"/>
    <w:link w:val="2031"/>
    <w:qFormat/>
    <w:uiPriority w:val="0"/>
    <w:pPr>
      <w:spacing w:line="360" w:lineRule="auto"/>
      <w:ind w:firstLine="420"/>
      <w:jc w:val="both"/>
    </w:pPr>
    <w:rPr>
      <w:rFonts w:asciiTheme="minorHAnsi" w:hAnsiTheme="minorHAnsi" w:eastAsiaTheme="minorEastAsia" w:cstheme="minorBidi"/>
      <w:sz w:val="24"/>
      <w:szCs w:val="22"/>
      <w:lang w:val="en-US" w:eastAsia="zh-CN" w:bidi="ar-SA"/>
    </w:rPr>
  </w:style>
  <w:style w:type="character" w:customStyle="1" w:styleId="2033">
    <w:name w:val="表格-RED Char"/>
    <w:link w:val="2034"/>
    <w:qFormat/>
    <w:locked/>
    <w:uiPriority w:val="0"/>
    <w:rPr>
      <w:rFonts w:ascii="宋体" w:hAnsi="宋体"/>
      <w:sz w:val="18"/>
      <w:szCs w:val="18"/>
    </w:rPr>
  </w:style>
  <w:style w:type="paragraph" w:customStyle="1" w:styleId="2034">
    <w:name w:val="表格-RED"/>
    <w:link w:val="2033"/>
    <w:qFormat/>
    <w:uiPriority w:val="0"/>
    <w:pPr>
      <w:jc w:val="center"/>
    </w:pPr>
    <w:rPr>
      <w:rFonts w:ascii="宋体" w:hAnsi="宋体" w:eastAsiaTheme="minorEastAsia" w:cstheme="minorBidi"/>
      <w:sz w:val="18"/>
      <w:szCs w:val="18"/>
      <w:lang w:val="en-US" w:eastAsia="zh-CN" w:bidi="ar-SA"/>
    </w:rPr>
  </w:style>
  <w:style w:type="character" w:customStyle="1" w:styleId="2035">
    <w:name w:val="CT Char"/>
    <w:link w:val="2036"/>
    <w:qFormat/>
    <w:locked/>
    <w:uiPriority w:val="0"/>
    <w:rPr>
      <w:rFonts w:ascii="黑体" w:hAnsi="黑体" w:eastAsia="黑体"/>
      <w:b/>
      <w:szCs w:val="24"/>
      <w:lang w:val="zh-CN"/>
    </w:rPr>
  </w:style>
  <w:style w:type="paragraph" w:customStyle="1" w:styleId="2036">
    <w:name w:val="CT"/>
    <w:basedOn w:val="1"/>
    <w:link w:val="2035"/>
    <w:qFormat/>
    <w:uiPriority w:val="0"/>
    <w:pPr>
      <w:spacing w:before="240" w:line="360" w:lineRule="auto"/>
      <w:jc w:val="center"/>
    </w:pPr>
    <w:rPr>
      <w:rFonts w:ascii="黑体" w:hAnsi="黑体" w:eastAsia="黑体" w:cstheme="minorBidi"/>
      <w:b/>
      <w:kern w:val="0"/>
      <w:sz w:val="20"/>
      <w:szCs w:val="24"/>
      <w:lang w:val="zh-CN"/>
    </w:rPr>
  </w:style>
  <w:style w:type="character" w:customStyle="1" w:styleId="2037">
    <w:name w:val="表格-XK Char"/>
    <w:link w:val="2038"/>
    <w:qFormat/>
    <w:locked/>
    <w:uiPriority w:val="0"/>
    <w:rPr>
      <w:rFonts w:ascii="仿宋" w:hAnsi="仿宋" w:eastAsia="仿宋"/>
      <w:bCs/>
      <w:color w:val="000000"/>
      <w:sz w:val="18"/>
      <w:szCs w:val="18"/>
    </w:rPr>
  </w:style>
  <w:style w:type="paragraph" w:customStyle="1" w:styleId="2038">
    <w:name w:val="表格-XK"/>
    <w:basedOn w:val="1"/>
    <w:link w:val="2037"/>
    <w:qFormat/>
    <w:uiPriority w:val="0"/>
    <w:pPr>
      <w:widowControl/>
      <w:spacing w:line="276" w:lineRule="auto"/>
      <w:jc w:val="center"/>
    </w:pPr>
    <w:rPr>
      <w:rFonts w:ascii="仿宋" w:hAnsi="仿宋" w:eastAsia="仿宋" w:cstheme="minorBidi"/>
      <w:bCs/>
      <w:color w:val="000000"/>
      <w:kern w:val="0"/>
      <w:sz w:val="18"/>
      <w:szCs w:val="18"/>
    </w:rPr>
  </w:style>
  <w:style w:type="character" w:customStyle="1" w:styleId="2039">
    <w:name w:val="正文-XK Char"/>
    <w:link w:val="2040"/>
    <w:qFormat/>
    <w:locked/>
    <w:uiPriority w:val="0"/>
    <w:rPr>
      <w:rFonts w:ascii="宋体" w:hAnsi="宋体"/>
      <w:kern w:val="2"/>
      <w:sz w:val="24"/>
      <w:szCs w:val="24"/>
    </w:rPr>
  </w:style>
  <w:style w:type="paragraph" w:customStyle="1" w:styleId="2040">
    <w:name w:val="正文-XK"/>
    <w:basedOn w:val="1"/>
    <w:link w:val="2039"/>
    <w:qFormat/>
    <w:uiPriority w:val="0"/>
    <w:pPr>
      <w:spacing w:line="360" w:lineRule="auto"/>
      <w:ind w:firstLine="480"/>
    </w:pPr>
    <w:rPr>
      <w:rFonts w:ascii="宋体" w:hAnsi="宋体" w:eastAsiaTheme="minorEastAsia" w:cstheme="minorBidi"/>
      <w:sz w:val="24"/>
      <w:szCs w:val="24"/>
    </w:rPr>
  </w:style>
  <w:style w:type="character" w:customStyle="1" w:styleId="2041">
    <w:name w:val="样式 首行缩进:  2 字符 Char"/>
    <w:link w:val="2042"/>
    <w:qFormat/>
    <w:locked/>
    <w:uiPriority w:val="0"/>
    <w:rPr>
      <w:kern w:val="2"/>
      <w:sz w:val="24"/>
    </w:rPr>
  </w:style>
  <w:style w:type="paragraph" w:customStyle="1" w:styleId="2042">
    <w:name w:val="样式 首行缩进:  2 字符"/>
    <w:basedOn w:val="1"/>
    <w:link w:val="2041"/>
    <w:qFormat/>
    <w:uiPriority w:val="0"/>
    <w:pPr>
      <w:spacing w:line="460" w:lineRule="exact"/>
      <w:ind w:firstLine="471"/>
    </w:pPr>
    <w:rPr>
      <w:rFonts w:asciiTheme="minorHAnsi" w:hAnsiTheme="minorHAnsi" w:eastAsiaTheme="minorEastAsia" w:cstheme="minorBidi"/>
      <w:sz w:val="24"/>
    </w:rPr>
  </w:style>
  <w:style w:type="paragraph" w:customStyle="1" w:styleId="2043">
    <w:name w:val="标题 3-1"/>
    <w:basedOn w:val="7"/>
    <w:qFormat/>
    <w:uiPriority w:val="0"/>
    <w:pPr>
      <w:numPr>
        <w:ilvl w:val="0"/>
        <w:numId w:val="26"/>
      </w:numPr>
      <w:spacing w:before="20" w:after="20" w:line="240" w:lineRule="auto"/>
      <w:ind w:right="100" w:rightChars="100"/>
      <w:jc w:val="left"/>
    </w:pPr>
    <w:rPr>
      <w:rFonts w:ascii="Times New Roman" w:hAnsi="Times New Roman" w:eastAsia="黑体" w:cs="宋体"/>
      <w:sz w:val="28"/>
      <w:szCs w:val="20"/>
      <w:lang w:eastAsia="en-US"/>
    </w:rPr>
  </w:style>
  <w:style w:type="paragraph" w:customStyle="1" w:styleId="2044">
    <w:name w:val="样式 标题 3"/>
    <w:basedOn w:val="7"/>
    <w:qFormat/>
    <w:uiPriority w:val="0"/>
    <w:pPr>
      <w:spacing w:before="120" w:after="120" w:line="240" w:lineRule="auto"/>
      <w:ind w:right="100" w:rightChars="100" w:firstLine="641" w:firstLineChars="200"/>
      <w:jc w:val="left"/>
    </w:pPr>
    <w:rPr>
      <w:rFonts w:ascii="Times New Roman" w:hAnsi="Times New Roman" w:eastAsia="黑体" w:cs="宋体"/>
      <w:sz w:val="28"/>
      <w:szCs w:val="20"/>
      <w:lang w:eastAsia="en-US"/>
    </w:rPr>
  </w:style>
  <w:style w:type="paragraph" w:customStyle="1" w:styleId="2045">
    <w:name w:val="样式 标题 3-1"/>
    <w:basedOn w:val="7"/>
    <w:qFormat/>
    <w:uiPriority w:val="0"/>
    <w:pPr>
      <w:spacing w:before="120" w:after="120" w:line="240" w:lineRule="auto"/>
      <w:ind w:right="100" w:rightChars="100"/>
      <w:jc w:val="left"/>
    </w:pPr>
    <w:rPr>
      <w:rFonts w:ascii="黑体" w:hAnsi="黑体" w:eastAsia="黑体" w:cs="Times New Roman"/>
      <w:b w:val="0"/>
      <w:bCs w:val="0"/>
      <w:sz w:val="28"/>
      <w:lang w:eastAsia="en-US"/>
    </w:rPr>
  </w:style>
  <w:style w:type="paragraph" w:customStyle="1" w:styleId="2046">
    <w:name w:val="样式 标题 31.1.1标题 3标题 3盐田河石管道小标题小节标题H3H31H32H33u3标题 3 Ch..."/>
    <w:basedOn w:val="7"/>
    <w:qFormat/>
    <w:uiPriority w:val="0"/>
    <w:pPr>
      <w:spacing w:before="120" w:after="120" w:line="440" w:lineRule="exact"/>
      <w:ind w:right="100" w:rightChars="100"/>
      <w:jc w:val="left"/>
    </w:pPr>
    <w:rPr>
      <w:rFonts w:ascii="Times New Roman" w:hAnsi="Times New Roman" w:eastAsia="黑体" w:cs="宋体"/>
      <w:sz w:val="28"/>
      <w:szCs w:val="20"/>
      <w:lang w:eastAsia="en-US"/>
    </w:rPr>
  </w:style>
  <w:style w:type="paragraph" w:customStyle="1" w:styleId="2047">
    <w:name w:val="p17"/>
    <w:basedOn w:val="1"/>
    <w:qFormat/>
    <w:uiPriority w:val="99"/>
    <w:pPr>
      <w:widowControl/>
      <w:spacing w:after="60" w:line="360" w:lineRule="auto"/>
      <w:ind w:firstLine="420"/>
    </w:pPr>
    <w:rPr>
      <w:rFonts w:ascii="Times New Roman" w:hAnsi="Times New Roman"/>
      <w:kern w:val="0"/>
      <w:sz w:val="24"/>
      <w:szCs w:val="24"/>
    </w:rPr>
  </w:style>
  <w:style w:type="character" w:customStyle="1" w:styleId="2048">
    <w:name w:val="7级正文 Char"/>
    <w:link w:val="2049"/>
    <w:qFormat/>
    <w:locked/>
    <w:uiPriority w:val="0"/>
    <w:rPr>
      <w:sz w:val="24"/>
      <w:szCs w:val="24"/>
    </w:rPr>
  </w:style>
  <w:style w:type="paragraph" w:customStyle="1" w:styleId="2049">
    <w:name w:val="7级正文"/>
    <w:basedOn w:val="1"/>
    <w:link w:val="2048"/>
    <w:qFormat/>
    <w:uiPriority w:val="0"/>
    <w:pPr>
      <w:spacing w:line="360" w:lineRule="auto"/>
      <w:ind w:firstLine="480" w:firstLineChars="200"/>
    </w:pPr>
    <w:rPr>
      <w:rFonts w:asciiTheme="minorHAnsi" w:hAnsiTheme="minorHAnsi" w:eastAsiaTheme="minorEastAsia" w:cstheme="minorBidi"/>
      <w:kern w:val="0"/>
      <w:sz w:val="24"/>
      <w:szCs w:val="24"/>
    </w:rPr>
  </w:style>
  <w:style w:type="character" w:customStyle="1" w:styleId="2050">
    <w:name w:val="标题12"/>
    <w:qFormat/>
    <w:uiPriority w:val="0"/>
    <w:rPr>
      <w:rFonts w:hint="eastAsia" w:ascii="黑体" w:hAnsi="黑体" w:eastAsia="黑体"/>
      <w:color w:val="000000"/>
      <w:sz w:val="36"/>
      <w:szCs w:val="36"/>
    </w:rPr>
  </w:style>
  <w:style w:type="character" w:customStyle="1" w:styleId="2051">
    <w:name w:val="普通文字 Char Char Char Char Char Char Char Char Char"/>
    <w:qFormat/>
    <w:uiPriority w:val="0"/>
    <w:rPr>
      <w:rFonts w:hint="eastAsia" w:ascii="宋体" w:hAnsi="Courier New" w:eastAsia="宋体"/>
      <w:kern w:val="2"/>
      <w:sz w:val="21"/>
      <w:lang w:val="en-US" w:eastAsia="zh-CN" w:bidi="ar-SA"/>
    </w:rPr>
  </w:style>
  <w:style w:type="character" w:customStyle="1" w:styleId="2052">
    <w:name w:val="二 Char Char"/>
    <w:qFormat/>
    <w:uiPriority w:val="0"/>
    <w:rPr>
      <w:rFonts w:hint="eastAsia" w:ascii="黑体" w:hAnsi="黑体" w:eastAsia="黑体"/>
      <w:b/>
      <w:kern w:val="2"/>
      <w:sz w:val="24"/>
      <w:lang w:val="en-US" w:eastAsia="zh-CN"/>
    </w:rPr>
  </w:style>
  <w:style w:type="character" w:customStyle="1" w:styleId="2053">
    <w:name w:val="info3"/>
    <w:basedOn w:val="89"/>
    <w:qFormat/>
    <w:uiPriority w:val="0"/>
  </w:style>
  <w:style w:type="character" w:customStyle="1" w:styleId="2054">
    <w:name w:val="font71"/>
    <w:basedOn w:val="89"/>
    <w:qFormat/>
    <w:uiPriority w:val="0"/>
    <w:rPr>
      <w:rFonts w:hint="eastAsia" w:ascii="宋体" w:hAnsi="宋体" w:eastAsia="宋体" w:cs="宋体"/>
      <w:color w:val="000000"/>
      <w:sz w:val="20"/>
      <w:szCs w:val="20"/>
      <w:u w:val="none"/>
      <w:vertAlign w:val="superscript"/>
    </w:rPr>
  </w:style>
  <w:style w:type="character" w:customStyle="1" w:styleId="2055">
    <w:name w:val="君邦正文 Char Char"/>
    <w:qFormat/>
    <w:locked/>
    <w:uiPriority w:val="0"/>
    <w:rPr>
      <w:rFonts w:hint="eastAsia" w:ascii="宋体" w:hAnsi="宋体" w:eastAsia="宋体"/>
      <w:sz w:val="24"/>
    </w:rPr>
  </w:style>
  <w:style w:type="character" w:customStyle="1" w:styleId="2056">
    <w:name w:val="明显强调3"/>
    <w:qFormat/>
    <w:uiPriority w:val="0"/>
    <w:rPr>
      <w:b/>
      <w:i/>
      <w:sz w:val="24"/>
      <w:szCs w:val="24"/>
      <w:u w:val="single"/>
    </w:rPr>
  </w:style>
  <w:style w:type="character" w:customStyle="1" w:styleId="2057">
    <w:name w:val="书籍标题3"/>
    <w:qFormat/>
    <w:uiPriority w:val="0"/>
    <w:rPr>
      <w:rFonts w:ascii="Cambria" w:hAnsi="Cambria" w:eastAsia="宋体"/>
      <w:b/>
      <w:i/>
      <w:sz w:val="24"/>
      <w:szCs w:val="24"/>
    </w:rPr>
  </w:style>
  <w:style w:type="character" w:customStyle="1" w:styleId="2058">
    <w:name w:val="不明显参考3"/>
    <w:qFormat/>
    <w:uiPriority w:val="0"/>
    <w:rPr>
      <w:sz w:val="24"/>
      <w:szCs w:val="24"/>
      <w:u w:val="single"/>
    </w:rPr>
  </w:style>
  <w:style w:type="character" w:customStyle="1" w:styleId="2059">
    <w:name w:val="不明显强调3"/>
    <w:qFormat/>
    <w:uiPriority w:val="0"/>
    <w:rPr>
      <w:i/>
      <w:color w:val="5A5A5A"/>
    </w:rPr>
  </w:style>
  <w:style w:type="character" w:customStyle="1" w:styleId="2060">
    <w:name w:val="明显参考3"/>
    <w:qFormat/>
    <w:uiPriority w:val="0"/>
    <w:rPr>
      <w:b/>
      <w:sz w:val="24"/>
      <w:u w:val="single"/>
    </w:rPr>
  </w:style>
  <w:style w:type="character" w:customStyle="1" w:styleId="2061">
    <w:name w:val="标题21"/>
    <w:basedOn w:val="89"/>
    <w:qFormat/>
    <w:uiPriority w:val="0"/>
  </w:style>
  <w:style w:type="paragraph" w:customStyle="1" w:styleId="2062">
    <w:name w:val="无间隔3"/>
    <w:basedOn w:val="1"/>
    <w:qFormat/>
    <w:uiPriority w:val="0"/>
    <w:pPr>
      <w:widowControl/>
      <w:jc w:val="left"/>
    </w:pPr>
    <w:rPr>
      <w:rFonts w:ascii="Calibri" w:hAnsi="Calibri" w:cs="黑体"/>
      <w:szCs w:val="32"/>
    </w:rPr>
  </w:style>
  <w:style w:type="paragraph" w:customStyle="1" w:styleId="2063">
    <w:name w:val="引用3"/>
    <w:basedOn w:val="1"/>
    <w:next w:val="1"/>
    <w:qFormat/>
    <w:uiPriority w:val="0"/>
    <w:pPr>
      <w:widowControl/>
      <w:jc w:val="left"/>
    </w:pPr>
    <w:rPr>
      <w:rFonts w:ascii="Calibri" w:hAnsi="Calibri"/>
      <w:i/>
      <w:kern w:val="0"/>
      <w:sz w:val="24"/>
      <w:szCs w:val="24"/>
      <w:lang w:eastAsia="en-US" w:bidi="en-US"/>
    </w:rPr>
  </w:style>
  <w:style w:type="paragraph" w:customStyle="1" w:styleId="2064">
    <w:name w:val="Char1 Char Char Char1"/>
    <w:basedOn w:val="1"/>
    <w:qFormat/>
    <w:uiPriority w:val="0"/>
    <w:pPr>
      <w:spacing w:afterLines="50" w:line="560" w:lineRule="exact"/>
    </w:pPr>
    <w:rPr>
      <w:rFonts w:ascii="Calibri" w:hAnsi="Calibri"/>
      <w:szCs w:val="22"/>
    </w:rPr>
  </w:style>
  <w:style w:type="paragraph" w:customStyle="1" w:styleId="2065">
    <w:name w:val="Char Char Char1 Char1"/>
    <w:basedOn w:val="1"/>
    <w:qFormat/>
    <w:uiPriority w:val="0"/>
    <w:pPr>
      <w:spacing w:line="360" w:lineRule="auto"/>
      <w:ind w:firstLine="200" w:firstLineChars="200"/>
    </w:pPr>
    <w:rPr>
      <w:rFonts w:ascii="Times New Roman" w:hAnsi="Times New Roman"/>
    </w:rPr>
  </w:style>
  <w:style w:type="paragraph" w:customStyle="1" w:styleId="2066">
    <w:name w:val="Char7"/>
    <w:basedOn w:val="7"/>
    <w:qFormat/>
    <w:uiPriority w:val="0"/>
    <w:pPr>
      <w:tabs>
        <w:tab w:val="left" w:pos="360"/>
        <w:tab w:val="left" w:pos="900"/>
      </w:tabs>
      <w:snapToGrid w:val="0"/>
      <w:spacing w:before="120" w:after="120" w:line="360" w:lineRule="auto"/>
      <w:ind w:left="542" w:leftChars="-12" w:firstLine="200" w:firstLineChars="200"/>
    </w:pPr>
    <w:rPr>
      <w:rFonts w:ascii="Times New Roman" w:hAnsi="Times New Roman" w:eastAsia="宋体" w:cs="Times New Roman"/>
      <w:kern w:val="2"/>
    </w:rPr>
  </w:style>
  <w:style w:type="paragraph" w:customStyle="1" w:styleId="2067">
    <w:name w:val="Char Char Char Char Char Char Char6"/>
    <w:basedOn w:val="1"/>
    <w:qFormat/>
    <w:uiPriority w:val="0"/>
    <w:pPr>
      <w:spacing w:line="360" w:lineRule="auto"/>
      <w:ind w:firstLine="200" w:firstLineChars="200"/>
    </w:pPr>
    <w:rPr>
      <w:rFonts w:ascii="宋体" w:hAnsi="宋体" w:cs="宋体"/>
      <w:sz w:val="24"/>
    </w:rPr>
  </w:style>
  <w:style w:type="paragraph" w:customStyle="1" w:styleId="2068">
    <w:name w:val="列出段落3"/>
    <w:basedOn w:val="1"/>
    <w:qFormat/>
    <w:uiPriority w:val="0"/>
    <w:pPr>
      <w:widowControl/>
      <w:ind w:left="720"/>
      <w:contextualSpacing/>
      <w:jc w:val="left"/>
    </w:pPr>
    <w:rPr>
      <w:rFonts w:ascii="Calibri" w:hAnsi="Calibri"/>
      <w:kern w:val="0"/>
      <w:sz w:val="24"/>
      <w:szCs w:val="24"/>
      <w:lang w:eastAsia="en-US" w:bidi="en-US"/>
    </w:rPr>
  </w:style>
  <w:style w:type="paragraph" w:customStyle="1" w:styleId="2069">
    <w:name w:val="明显引用3"/>
    <w:basedOn w:val="1"/>
    <w:next w:val="1"/>
    <w:qFormat/>
    <w:uiPriority w:val="0"/>
    <w:pPr>
      <w:widowControl/>
      <w:ind w:left="720" w:right="720"/>
      <w:jc w:val="left"/>
    </w:pPr>
    <w:rPr>
      <w:rFonts w:ascii="Calibri" w:hAnsi="Calibri"/>
      <w:b/>
      <w:i/>
      <w:kern w:val="0"/>
      <w:sz w:val="24"/>
      <w:szCs w:val="22"/>
      <w:lang w:eastAsia="en-US" w:bidi="en-US"/>
    </w:rPr>
  </w:style>
  <w:style w:type="paragraph" w:customStyle="1" w:styleId="2070">
    <w:name w:val="TOC 标题3"/>
    <w:basedOn w:val="5"/>
    <w:next w:val="1"/>
    <w:qFormat/>
    <w:uiPriority w:val="0"/>
    <w:pPr>
      <w:keepLines w:val="0"/>
      <w:widowControl/>
      <w:spacing w:before="240" w:after="60" w:line="240" w:lineRule="auto"/>
      <w:jc w:val="left"/>
      <w:outlineLvl w:val="9"/>
    </w:pPr>
    <w:rPr>
      <w:rFonts w:ascii="Cambria" w:hAnsi="Cambria" w:eastAsia="宋体" w:cs="Times New Roman"/>
      <w:kern w:val="32"/>
      <w:sz w:val="32"/>
      <w:szCs w:val="32"/>
      <w:lang w:eastAsia="en-US" w:bidi="en-US"/>
    </w:rPr>
  </w:style>
  <w:style w:type="paragraph" w:customStyle="1" w:styleId="2071">
    <w:name w:val="Char43"/>
    <w:basedOn w:val="1"/>
    <w:qFormat/>
    <w:uiPriority w:val="0"/>
    <w:pPr>
      <w:spacing w:line="360" w:lineRule="auto"/>
      <w:ind w:firstLine="200" w:firstLineChars="200"/>
    </w:pPr>
    <w:rPr>
      <w:rFonts w:ascii="宋体" w:hAnsi="宋体" w:cs="宋体"/>
      <w:sz w:val="24"/>
      <w:szCs w:val="24"/>
    </w:rPr>
  </w:style>
  <w:style w:type="paragraph" w:customStyle="1" w:styleId="2072">
    <w:name w:val="正文文本缩进3"/>
    <w:basedOn w:val="1"/>
    <w:qFormat/>
    <w:uiPriority w:val="99"/>
    <w:pPr>
      <w:spacing w:after="120"/>
      <w:ind w:left="420" w:leftChars="200"/>
    </w:pPr>
    <w:rPr>
      <w:rFonts w:ascii="Calibri" w:hAnsi="Calibri"/>
      <w:szCs w:val="22"/>
    </w:rPr>
  </w:style>
  <w:style w:type="paragraph" w:customStyle="1" w:styleId="2073">
    <w:name w:val="市环科院正文"/>
    <w:basedOn w:val="1"/>
    <w:link w:val="2074"/>
    <w:qFormat/>
    <w:uiPriority w:val="0"/>
    <w:pPr>
      <w:spacing w:line="300" w:lineRule="auto"/>
      <w:ind w:firstLine="480" w:firstLineChars="200"/>
    </w:pPr>
    <w:rPr>
      <w:rFonts w:ascii="Times New Roman" w:hAnsi="Times New Roman"/>
      <w:kern w:val="0"/>
      <w:sz w:val="24"/>
      <w:szCs w:val="24"/>
      <w:lang w:eastAsia="en-US"/>
    </w:rPr>
  </w:style>
  <w:style w:type="character" w:customStyle="1" w:styleId="2074">
    <w:name w:val="市环科院正文 Char"/>
    <w:link w:val="2073"/>
    <w:qFormat/>
    <w:uiPriority w:val="0"/>
    <w:rPr>
      <w:rFonts w:ascii="Times New Roman" w:hAnsi="Times New Roman" w:eastAsia="宋体" w:cs="Times New Roman"/>
      <w:sz w:val="24"/>
      <w:szCs w:val="24"/>
      <w:lang w:eastAsia="en-US"/>
    </w:rPr>
  </w:style>
  <w:style w:type="character" w:customStyle="1" w:styleId="2075">
    <w:name w:val="题注 字符1"/>
    <w:qFormat/>
    <w:uiPriority w:val="35"/>
    <w:rPr>
      <w:rFonts w:cs="Arial"/>
      <w:b/>
      <w:kern w:val="2"/>
      <w:sz w:val="24"/>
    </w:rPr>
  </w:style>
  <w:style w:type="character" w:customStyle="1" w:styleId="2076">
    <w:name w:val="正文 Char"/>
    <w:qFormat/>
    <w:uiPriority w:val="0"/>
    <w:rPr>
      <w:rFonts w:ascii="宋体" w:hAnsi="Courier New" w:eastAsia="仿宋_GB2312"/>
      <w:kern w:val="2"/>
      <w:sz w:val="28"/>
    </w:rPr>
  </w:style>
  <w:style w:type="paragraph" w:customStyle="1" w:styleId="2077">
    <w:name w:val="A环评表"/>
    <w:basedOn w:val="2017"/>
    <w:qFormat/>
    <w:uiPriority w:val="0"/>
    <w:pPr>
      <w:spacing w:afterLines="20" w:line="500" w:lineRule="exact"/>
    </w:pPr>
    <w:rPr>
      <w:color w:val="FF0000"/>
      <w:kern w:val="0"/>
    </w:rPr>
  </w:style>
  <w:style w:type="paragraph" w:customStyle="1" w:styleId="2078">
    <w:name w:val="AHP"/>
    <w:basedOn w:val="1"/>
    <w:qFormat/>
    <w:uiPriority w:val="0"/>
    <w:pPr>
      <w:spacing w:afterLines="30" w:line="500" w:lineRule="exact"/>
      <w:ind w:firstLine="480" w:firstLineChars="200"/>
    </w:pPr>
    <w:rPr>
      <w:rFonts w:ascii="Times New Roman" w:hAnsi="Times New Roman"/>
      <w:sz w:val="24"/>
      <w:szCs w:val="24"/>
    </w:rPr>
  </w:style>
  <w:style w:type="character" w:customStyle="1" w:styleId="2079">
    <w:name w:val="fontstyle01"/>
    <w:basedOn w:val="89"/>
    <w:qFormat/>
    <w:uiPriority w:val="0"/>
    <w:rPr>
      <w:rFonts w:ascii="宋体" w:hAnsi="宋体" w:eastAsia="宋体" w:cs="宋体"/>
      <w:color w:val="000000"/>
      <w:sz w:val="24"/>
      <w:szCs w:val="24"/>
    </w:rPr>
  </w:style>
  <w:style w:type="character" w:customStyle="1" w:styleId="2080">
    <w:name w:val="fontstyle21"/>
    <w:basedOn w:val="89"/>
    <w:qFormat/>
    <w:uiPriority w:val="0"/>
    <w:rPr>
      <w:rFonts w:ascii="TimesNewRomanPSMT" w:hAnsi="TimesNewRomanPSMT" w:eastAsia="TimesNewRomanPSMT" w:cs="TimesNewRomanPSMT"/>
      <w:color w:val="000000"/>
      <w:sz w:val="24"/>
      <w:szCs w:val="24"/>
    </w:rPr>
  </w:style>
  <w:style w:type="paragraph" w:customStyle="1" w:styleId="2081">
    <w:name w:val="表格内容22"/>
    <w:basedOn w:val="1"/>
    <w:qFormat/>
    <w:uiPriority w:val="0"/>
    <w:pPr>
      <w:widowControl/>
      <w:spacing w:line="320" w:lineRule="exact"/>
      <w:jc w:val="center"/>
    </w:pPr>
    <w:rPr>
      <w:rFonts w:ascii="Calibri" w:hAnsi="Calibri"/>
      <w:color w:val="000000"/>
      <w:kern w:val="0"/>
      <w:sz w:val="24"/>
      <w:szCs w:val="18"/>
      <w:lang w:eastAsia="en-US" w:bidi="en-US"/>
    </w:rPr>
  </w:style>
  <w:style w:type="paragraph" w:customStyle="1" w:styleId="2082">
    <w:name w:val="正文表格"/>
    <w:basedOn w:val="1"/>
    <w:qFormat/>
    <w:uiPriority w:val="0"/>
    <w:pPr>
      <w:widowControl/>
      <w:jc w:val="center"/>
    </w:pPr>
    <w:rPr>
      <w:rFonts w:ascii="宋体" w:hAnsi="宋体"/>
      <w:kern w:val="0"/>
      <w:sz w:val="24"/>
      <w:szCs w:val="21"/>
      <w:lang w:eastAsia="en-US" w:bidi="en-US"/>
    </w:rPr>
  </w:style>
  <w:style w:type="character" w:customStyle="1" w:styleId="2083">
    <w:name w:val="明显参考4"/>
    <w:qFormat/>
    <w:uiPriority w:val="0"/>
    <w:rPr>
      <w:b/>
      <w:sz w:val="24"/>
      <w:u w:val="single"/>
    </w:rPr>
  </w:style>
  <w:style w:type="character" w:customStyle="1" w:styleId="2084">
    <w:name w:val="不明显强调4"/>
    <w:qFormat/>
    <w:uiPriority w:val="0"/>
    <w:rPr>
      <w:i/>
      <w:color w:val="5A5A5A"/>
    </w:rPr>
  </w:style>
  <w:style w:type="character" w:customStyle="1" w:styleId="2085">
    <w:name w:val="明显强调4"/>
    <w:qFormat/>
    <w:uiPriority w:val="0"/>
    <w:rPr>
      <w:b/>
      <w:i/>
      <w:sz w:val="24"/>
      <w:szCs w:val="24"/>
      <w:u w:val="single"/>
    </w:rPr>
  </w:style>
  <w:style w:type="character" w:customStyle="1" w:styleId="2086">
    <w:name w:val="不明显参考4"/>
    <w:qFormat/>
    <w:uiPriority w:val="0"/>
    <w:rPr>
      <w:sz w:val="24"/>
      <w:szCs w:val="24"/>
      <w:u w:val="single"/>
    </w:rPr>
  </w:style>
  <w:style w:type="character" w:customStyle="1" w:styleId="2087">
    <w:name w:val="书籍标题4"/>
    <w:qFormat/>
    <w:uiPriority w:val="0"/>
    <w:rPr>
      <w:rFonts w:ascii="Cambria" w:hAnsi="Cambria" w:eastAsia="宋体"/>
      <w:b/>
      <w:i/>
      <w:sz w:val="24"/>
      <w:szCs w:val="24"/>
    </w:rPr>
  </w:style>
  <w:style w:type="paragraph" w:customStyle="1" w:styleId="2088">
    <w:name w:val="TOC 标题4"/>
    <w:basedOn w:val="5"/>
    <w:next w:val="1"/>
    <w:qFormat/>
    <w:uiPriority w:val="39"/>
    <w:pPr>
      <w:keepLines w:val="0"/>
      <w:widowControl/>
      <w:spacing w:before="0" w:after="0" w:line="360" w:lineRule="auto"/>
      <w:outlineLvl w:val="9"/>
    </w:pPr>
    <w:rPr>
      <w:rFonts w:ascii="Times New Roman" w:hAnsi="Times New Roman" w:eastAsia="宋体" w:cs="Times New Roman"/>
      <w:kern w:val="32"/>
      <w:sz w:val="32"/>
      <w:szCs w:val="32"/>
      <w:lang w:eastAsia="en-US" w:bidi="en-US"/>
    </w:rPr>
  </w:style>
  <w:style w:type="character" w:customStyle="1" w:styleId="2089">
    <w:name w:val="明显强调111"/>
    <w:qFormat/>
    <w:uiPriority w:val="0"/>
    <w:rPr>
      <w:rFonts w:cs="Times New Roman"/>
      <w:b/>
      <w:bCs/>
      <w:i/>
      <w:iCs/>
      <w:color w:val="4F81BD"/>
    </w:rPr>
  </w:style>
  <w:style w:type="character" w:customStyle="1" w:styleId="2090">
    <w:name w:val="书籍标题212"/>
    <w:qFormat/>
    <w:uiPriority w:val="0"/>
    <w:rPr>
      <w:rFonts w:ascii="Cambria" w:hAnsi="Cambria" w:eastAsia="宋体"/>
      <w:b/>
      <w:i/>
      <w:sz w:val="24"/>
      <w:szCs w:val="24"/>
    </w:rPr>
  </w:style>
  <w:style w:type="character" w:customStyle="1" w:styleId="2091">
    <w:name w:val="不明显参考112"/>
    <w:qFormat/>
    <w:uiPriority w:val="0"/>
    <w:rPr>
      <w:sz w:val="24"/>
      <w:szCs w:val="24"/>
      <w:u w:val="single"/>
    </w:rPr>
  </w:style>
  <w:style w:type="character" w:customStyle="1" w:styleId="2092">
    <w:name w:val="不明显强调212"/>
    <w:qFormat/>
    <w:uiPriority w:val="0"/>
    <w:rPr>
      <w:i/>
      <w:color w:val="5A5A5A"/>
    </w:rPr>
  </w:style>
  <w:style w:type="character" w:customStyle="1" w:styleId="2093">
    <w:name w:val="明显参考112"/>
    <w:qFormat/>
    <w:uiPriority w:val="0"/>
    <w:rPr>
      <w:b/>
      <w:sz w:val="24"/>
      <w:u w:val="single"/>
    </w:rPr>
  </w:style>
  <w:style w:type="paragraph" w:customStyle="1" w:styleId="2094">
    <w:name w:val="Char Char Char Char Char Char Char111"/>
    <w:basedOn w:val="1"/>
    <w:qFormat/>
    <w:uiPriority w:val="0"/>
    <w:pPr>
      <w:spacing w:line="360" w:lineRule="auto"/>
      <w:ind w:firstLine="200" w:firstLineChars="200"/>
    </w:pPr>
    <w:rPr>
      <w:rFonts w:ascii="宋体" w:hAnsi="宋体" w:cs="宋体"/>
      <w:sz w:val="24"/>
    </w:rPr>
  </w:style>
  <w:style w:type="paragraph" w:customStyle="1" w:styleId="2095">
    <w:name w:val="TOC 标题112"/>
    <w:basedOn w:val="5"/>
    <w:next w:val="1"/>
    <w:qFormat/>
    <w:uiPriority w:val="0"/>
    <w:pPr>
      <w:keepLines w:val="0"/>
      <w:widowControl/>
      <w:spacing w:before="240" w:after="60" w:line="240" w:lineRule="auto"/>
      <w:jc w:val="left"/>
      <w:outlineLvl w:val="9"/>
    </w:pPr>
    <w:rPr>
      <w:rFonts w:ascii="Cambria" w:hAnsi="Cambria" w:eastAsia="宋体" w:cs="Times New Roman"/>
      <w:kern w:val="32"/>
      <w:sz w:val="32"/>
      <w:szCs w:val="32"/>
      <w:lang w:eastAsia="en-US" w:bidi="en-US"/>
    </w:rPr>
  </w:style>
  <w:style w:type="paragraph" w:customStyle="1" w:styleId="2096">
    <w:name w:val="明显引用111"/>
    <w:basedOn w:val="1"/>
    <w:next w:val="1"/>
    <w:qFormat/>
    <w:uiPriority w:val="0"/>
    <w:pPr>
      <w:pBdr>
        <w:bottom w:val="single" w:color="4F81BD" w:sz="4" w:space="4"/>
      </w:pBdr>
      <w:spacing w:before="200" w:after="280"/>
      <w:ind w:left="936" w:right="936"/>
    </w:pPr>
    <w:rPr>
      <w:rFonts w:ascii="Calibri" w:hAnsi="Calibri"/>
      <w:b/>
      <w:bCs/>
      <w:i/>
      <w:iCs/>
      <w:color w:val="4F81BD"/>
      <w:szCs w:val="22"/>
    </w:rPr>
  </w:style>
  <w:style w:type="paragraph" w:customStyle="1" w:styleId="2097">
    <w:name w:val="无间隔111"/>
    <w:qFormat/>
    <w:uiPriority w:val="0"/>
    <w:pPr>
      <w:widowControl w:val="0"/>
      <w:spacing w:beforeLines="50" w:afterLines="50"/>
      <w:ind w:firstLine="200" w:firstLineChars="200"/>
    </w:pPr>
    <w:rPr>
      <w:rFonts w:ascii="Calibri" w:hAnsi="Calibri" w:eastAsia="宋体" w:cs="Times New Roman"/>
      <w:kern w:val="2"/>
      <w:sz w:val="24"/>
      <w:szCs w:val="24"/>
      <w:lang w:val="en-US" w:eastAsia="zh-CN" w:bidi="ar-SA"/>
    </w:rPr>
  </w:style>
  <w:style w:type="paragraph" w:customStyle="1" w:styleId="2098">
    <w:name w:val="引用111"/>
    <w:basedOn w:val="1"/>
    <w:next w:val="1"/>
    <w:qFormat/>
    <w:uiPriority w:val="0"/>
    <w:rPr>
      <w:rFonts w:ascii="Calibri" w:hAnsi="Calibri"/>
      <w:i/>
      <w:iCs/>
      <w:color w:val="000000"/>
      <w:szCs w:val="22"/>
    </w:rPr>
  </w:style>
  <w:style w:type="paragraph" w:customStyle="1" w:styleId="2099">
    <w:name w:val="Char421"/>
    <w:basedOn w:val="1"/>
    <w:qFormat/>
    <w:uiPriority w:val="0"/>
    <w:pPr>
      <w:spacing w:line="360" w:lineRule="auto"/>
      <w:ind w:firstLine="200" w:firstLineChars="200"/>
    </w:pPr>
    <w:rPr>
      <w:rFonts w:ascii="宋体" w:hAnsi="宋体" w:cs="宋体"/>
      <w:sz w:val="24"/>
      <w:szCs w:val="24"/>
    </w:rPr>
  </w:style>
  <w:style w:type="paragraph" w:customStyle="1" w:styleId="2100">
    <w:name w:val="Char61"/>
    <w:basedOn w:val="1"/>
    <w:qFormat/>
    <w:uiPriority w:val="0"/>
    <w:pPr>
      <w:spacing w:line="360" w:lineRule="auto"/>
      <w:jc w:val="left"/>
    </w:pPr>
    <w:rPr>
      <w:rFonts w:ascii="Calibri" w:hAnsi="Calibri"/>
      <w:szCs w:val="22"/>
    </w:rPr>
  </w:style>
  <w:style w:type="character" w:customStyle="1" w:styleId="2101">
    <w:name w:val="标题121"/>
    <w:qFormat/>
    <w:uiPriority w:val="0"/>
    <w:rPr>
      <w:rFonts w:hint="eastAsia" w:ascii="黑体" w:hAnsi="黑体" w:eastAsia="黑体"/>
      <w:color w:val="000000"/>
      <w:sz w:val="36"/>
      <w:szCs w:val="36"/>
    </w:rPr>
  </w:style>
  <w:style w:type="paragraph" w:customStyle="1" w:styleId="2102">
    <w:name w:val="Char1 Char Char Char11"/>
    <w:basedOn w:val="1"/>
    <w:qFormat/>
    <w:uiPriority w:val="0"/>
    <w:pPr>
      <w:spacing w:afterLines="50" w:line="560" w:lineRule="exact"/>
    </w:pPr>
    <w:rPr>
      <w:rFonts w:ascii="Calibri" w:hAnsi="Calibri"/>
      <w:szCs w:val="22"/>
    </w:rPr>
  </w:style>
  <w:style w:type="paragraph" w:customStyle="1" w:styleId="2103">
    <w:name w:val="Char Char Char1 Char11"/>
    <w:basedOn w:val="1"/>
    <w:qFormat/>
    <w:uiPriority w:val="0"/>
    <w:pPr>
      <w:spacing w:line="360" w:lineRule="auto"/>
      <w:ind w:firstLine="200" w:firstLineChars="200"/>
    </w:pPr>
    <w:rPr>
      <w:rFonts w:ascii="Times New Roman" w:hAnsi="Times New Roman"/>
    </w:rPr>
  </w:style>
  <w:style w:type="paragraph" w:customStyle="1" w:styleId="2104">
    <w:name w:val="Char71"/>
    <w:basedOn w:val="7"/>
    <w:qFormat/>
    <w:uiPriority w:val="0"/>
    <w:pPr>
      <w:tabs>
        <w:tab w:val="left" w:pos="360"/>
        <w:tab w:val="left" w:pos="900"/>
      </w:tabs>
      <w:snapToGrid w:val="0"/>
      <w:spacing w:before="120" w:after="120" w:line="360" w:lineRule="auto"/>
      <w:ind w:left="542" w:leftChars="-12" w:firstLine="200" w:firstLineChars="200"/>
    </w:pPr>
    <w:rPr>
      <w:rFonts w:ascii="Times New Roman" w:hAnsi="Times New Roman" w:eastAsia="宋体" w:cs="Times New Roman"/>
      <w:kern w:val="2"/>
    </w:rPr>
  </w:style>
  <w:style w:type="paragraph" w:customStyle="1" w:styleId="2105">
    <w:name w:val="Char Char Char Char Char Char Char61"/>
    <w:basedOn w:val="1"/>
    <w:qFormat/>
    <w:uiPriority w:val="0"/>
    <w:pPr>
      <w:spacing w:line="360" w:lineRule="auto"/>
      <w:ind w:firstLine="200" w:firstLineChars="200"/>
    </w:pPr>
    <w:rPr>
      <w:rFonts w:ascii="宋体" w:hAnsi="宋体" w:cs="宋体"/>
      <w:sz w:val="24"/>
    </w:rPr>
  </w:style>
  <w:style w:type="paragraph" w:customStyle="1" w:styleId="2106">
    <w:name w:val="Char431"/>
    <w:basedOn w:val="1"/>
    <w:qFormat/>
    <w:uiPriority w:val="0"/>
    <w:pPr>
      <w:spacing w:line="360" w:lineRule="auto"/>
      <w:ind w:firstLine="200" w:firstLineChars="200"/>
    </w:pPr>
    <w:rPr>
      <w:rFonts w:ascii="宋体" w:hAnsi="宋体" w:cs="宋体"/>
      <w:sz w:val="24"/>
      <w:szCs w:val="24"/>
    </w:rPr>
  </w:style>
  <w:style w:type="paragraph" w:customStyle="1" w:styleId="2107">
    <w:name w:val="_Style 1"/>
    <w:basedOn w:val="1"/>
    <w:qFormat/>
    <w:uiPriority w:val="1"/>
    <w:pPr>
      <w:widowControl/>
      <w:jc w:val="left"/>
    </w:pPr>
    <w:rPr>
      <w:rFonts w:ascii="Times New Roman" w:hAnsi="Times New Roman"/>
      <w:kern w:val="0"/>
      <w:sz w:val="24"/>
      <w:szCs w:val="32"/>
    </w:rPr>
  </w:style>
  <w:style w:type="paragraph" w:customStyle="1" w:styleId="210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09">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0">
    <w:name w:val="xl82"/>
    <w:basedOn w:val="1"/>
    <w:qFormat/>
    <w:uiPriority w:val="0"/>
    <w:pPr>
      <w:widowControl/>
      <w:pBdr>
        <w:top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1">
    <w:name w:val="xl83"/>
    <w:basedOn w:val="1"/>
    <w:qFormat/>
    <w:uiPriority w:val="0"/>
    <w:pPr>
      <w:widowControl/>
      <w:pBdr>
        <w:top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2">
    <w:name w:val="xl84"/>
    <w:basedOn w:val="1"/>
    <w:qFormat/>
    <w:uiPriority w:val="0"/>
    <w:pPr>
      <w:widowControl/>
      <w:pBdr>
        <w:left w:val="single" w:color="auto" w:sz="4" w:space="0"/>
        <w:bottom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3">
    <w:name w:val="xl85"/>
    <w:basedOn w:val="1"/>
    <w:qFormat/>
    <w:uiPriority w:val="0"/>
    <w:pPr>
      <w:widowControl/>
      <w:pBdr>
        <w:bottom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4">
    <w:name w:val="xl86"/>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5">
    <w:name w:val="xl87"/>
    <w:basedOn w:val="1"/>
    <w:qFormat/>
    <w:uiPriority w:val="0"/>
    <w:pPr>
      <w:widowControl/>
      <w:pBdr>
        <w:lef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6">
    <w:name w:val="xl88"/>
    <w:basedOn w:val="1"/>
    <w:qFormat/>
    <w:uiPriority w:val="0"/>
    <w:pPr>
      <w:widowControl/>
      <w:pBdr>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7">
    <w:name w:val="xl89"/>
    <w:basedOn w:val="1"/>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8">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19">
    <w:name w:val="xl9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120">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2">
    <w:name w:val="xl9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3">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4">
    <w:name w:val="xl96"/>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5">
    <w:name w:val="xl9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6">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7">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8">
    <w:name w:val="xl100"/>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2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30">
    <w:name w:val="xl102"/>
    <w:basedOn w:val="1"/>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color w:val="FF0000"/>
      <w:kern w:val="0"/>
      <w:sz w:val="18"/>
      <w:szCs w:val="18"/>
    </w:rPr>
  </w:style>
  <w:style w:type="paragraph" w:customStyle="1" w:styleId="2131">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FF0000"/>
      <w:kern w:val="0"/>
      <w:sz w:val="24"/>
      <w:szCs w:val="24"/>
    </w:rPr>
  </w:style>
  <w:style w:type="paragraph" w:customStyle="1" w:styleId="2132">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Times New Roman" w:hAnsi="Times New Roman"/>
      <w:color w:val="FF0000"/>
      <w:kern w:val="0"/>
      <w:sz w:val="24"/>
      <w:szCs w:val="24"/>
    </w:rPr>
  </w:style>
  <w:style w:type="paragraph" w:customStyle="1" w:styleId="2133">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color w:val="FF0000"/>
      <w:kern w:val="0"/>
      <w:sz w:val="24"/>
      <w:szCs w:val="24"/>
    </w:rPr>
  </w:style>
  <w:style w:type="paragraph" w:customStyle="1" w:styleId="2134">
    <w:name w:val="xl106"/>
    <w:basedOn w:val="1"/>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color w:val="FF0000"/>
      <w:kern w:val="0"/>
      <w:sz w:val="24"/>
      <w:szCs w:val="24"/>
    </w:rPr>
  </w:style>
  <w:style w:type="paragraph" w:customStyle="1" w:styleId="2135">
    <w:name w:val="xl10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24"/>
      <w:szCs w:val="24"/>
    </w:rPr>
  </w:style>
  <w:style w:type="paragraph" w:customStyle="1" w:styleId="2136">
    <w:name w:val="P21"/>
    <w:basedOn w:val="1"/>
    <w:qFormat/>
    <w:uiPriority w:val="0"/>
    <w:pPr>
      <w:spacing w:line="360" w:lineRule="auto"/>
      <w:ind w:firstLine="560"/>
    </w:pPr>
    <w:rPr>
      <w:rFonts w:ascii="Times New Roman" w:hAnsi="Times New Roman" w:cs="Calibri"/>
      <w:kern w:val="0"/>
      <w:szCs w:val="21"/>
    </w:rPr>
  </w:style>
  <w:style w:type="paragraph" w:customStyle="1" w:styleId="2137">
    <w:name w:val="WPSOffice手动目录 1"/>
    <w:qFormat/>
    <w:uiPriority w:val="0"/>
    <w:rPr>
      <w:rFonts w:asciiTheme="minorHAnsi" w:hAnsiTheme="minorHAnsi" w:eastAsiaTheme="minorEastAsia" w:cstheme="minorBidi"/>
      <w:lang w:val="en-US" w:eastAsia="zh-CN" w:bidi="ar-SA"/>
    </w:rPr>
  </w:style>
  <w:style w:type="paragraph" w:customStyle="1" w:styleId="213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3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140">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lang w:val="en-US" w:eastAsia="zh-CN" w:bidi="ar-SA"/>
    </w:rPr>
  </w:style>
  <w:style w:type="character" w:customStyle="1" w:styleId="2141">
    <w:name w:val="fontstyle11"/>
    <w:basedOn w:val="89"/>
    <w:qFormat/>
    <w:uiPriority w:val="0"/>
    <w:rPr>
      <w:rFonts w:ascii="TimesNewRomanPS-BoldMT" w:hAnsi="TimesNewRomanPS-BoldMT" w:eastAsia="TimesNewRomanPS-BoldMT" w:cs="TimesNewRomanPS-BoldMT"/>
      <w:b/>
      <w:bCs/>
      <w:color w:val="000000"/>
      <w:sz w:val="22"/>
      <w:szCs w:val="22"/>
    </w:rPr>
  </w:style>
  <w:style w:type="paragraph" w:customStyle="1" w:styleId="2142">
    <w:name w:val="表格样式"/>
    <w:basedOn w:val="1"/>
    <w:qFormat/>
    <w:uiPriority w:val="0"/>
    <w:pPr>
      <w:autoSpaceDE w:val="0"/>
      <w:autoSpaceDN w:val="0"/>
      <w:adjustRightInd w:val="0"/>
      <w:jc w:val="center"/>
    </w:pPr>
    <w:rPr>
      <w:bCs/>
      <w:szCs w:val="21"/>
      <w:lang w:val="zh-CN"/>
    </w:rPr>
  </w:style>
  <w:style w:type="character" w:customStyle="1" w:styleId="2143">
    <w:name w:val="font151"/>
    <w:qFormat/>
    <w:uiPriority w:val="0"/>
    <w:rPr>
      <w:rFonts w:hint="eastAsia" w:ascii="宋体" w:hAnsi="宋体" w:eastAsia="宋体" w:cs="宋体"/>
      <w:color w:val="FF0000"/>
      <w:sz w:val="24"/>
      <w:szCs w:val="24"/>
      <w:u w:val="none"/>
    </w:rPr>
  </w:style>
  <w:style w:type="paragraph" w:customStyle="1" w:styleId="2144">
    <w:name w:val="Other|1"/>
    <w:basedOn w:val="1"/>
    <w:qFormat/>
    <w:uiPriority w:val="0"/>
    <w:pPr>
      <w:jc w:val="center"/>
    </w:pPr>
    <w:rPr>
      <w:sz w:val="20"/>
    </w:rPr>
  </w:style>
  <w:style w:type="paragraph" w:customStyle="1" w:styleId="2145">
    <w:name w:val="图表题注"/>
    <w:qFormat/>
    <w:uiPriority w:val="0"/>
    <w:pPr>
      <w:spacing w:line="360" w:lineRule="auto"/>
      <w:jc w:val="center"/>
    </w:pPr>
    <w:rPr>
      <w:rFonts w:eastAsia="黑体" w:asciiTheme="minorHAnsi" w:hAnsiTheme="minorHAnsi" w:cstheme="minorBidi"/>
      <w:b/>
      <w:kern w:val="2"/>
      <w:sz w:val="21"/>
      <w:szCs w:val="21"/>
      <w:lang w:val="en-US" w:eastAsia="zh-CN" w:bidi="en-US"/>
    </w:rPr>
  </w:style>
  <w:style w:type="paragraph" w:customStyle="1" w:styleId="2146">
    <w:name w:val="表中表"/>
    <w:basedOn w:val="1"/>
    <w:qFormat/>
    <w:uiPriority w:val="0"/>
    <w:pPr>
      <w:ind w:left="1" w:hanging="1"/>
      <w:jc w:val="center"/>
    </w:pPr>
    <w:rPr>
      <w:rFonts w:ascii="仿宋" w:hAnsi="仿宋" w:eastAsia="仿宋"/>
      <w:szCs w:val="21"/>
    </w:rPr>
  </w:style>
  <w:style w:type="paragraph" w:customStyle="1" w:styleId="2147">
    <w:name w:val="正文11"/>
    <w:basedOn w:val="1"/>
    <w:qFormat/>
    <w:uiPriority w:val="0"/>
    <w:pPr>
      <w:spacing w:before="60" w:line="460" w:lineRule="exact"/>
      <w:ind w:firstLine="200" w:firstLineChars="200"/>
    </w:pPr>
    <w:rPr>
      <w:rFonts w:ascii="Times New Roman" w:hAnsi="Times New Roman"/>
      <w:sz w:val="24"/>
    </w:rPr>
  </w:style>
  <w:style w:type="paragraph" w:customStyle="1" w:styleId="2148">
    <w:name w:val="环保正文"/>
    <w:basedOn w:val="1"/>
    <w:qFormat/>
    <w:uiPriority w:val="0"/>
    <w:pPr>
      <w:tabs>
        <w:tab w:val="left" w:pos="0"/>
        <w:tab w:val="left" w:pos="7012"/>
      </w:tabs>
      <w:autoSpaceDE w:val="0"/>
      <w:autoSpaceDN w:val="0"/>
      <w:spacing w:line="360" w:lineRule="auto"/>
      <w:ind w:firstLine="200" w:firstLineChars="200"/>
    </w:pPr>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0" Type="http://schemas.microsoft.com/office/2011/relationships/people" Target="people.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wmf"/><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10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0CB4E6-63B0-4587-9748-5B3BCA1DFD1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226</Pages>
  <Words>27259</Words>
  <Characters>155380</Characters>
  <Lines>1294</Lines>
  <Paragraphs>364</Paragraphs>
  <TotalTime>11</TotalTime>
  <ScaleCrop>false</ScaleCrop>
  <LinksUpToDate>false</LinksUpToDate>
  <CharactersWithSpaces>182275</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2021-03-01T23:16:00Z</dcterms:created>
  <dc:creator>Windows 用户</dc:creator>
  <cp:lastModifiedBy>Administrator</cp:lastModifiedBy>
  <cp:lastPrinted>2021-03-01T23:40:00Z</cp:lastPrinted>
  <dcterms:modified xsi:type="dcterms:W3CDTF">2021-09-01T02:25:43Z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1820CD4BAE6F40C1A80EBEE3F3D42E7F</vt:lpwstr>
  </property>
</Properties>
</file>