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59"/>
        <w:rPr>
          <w:rFonts w:hint="eastAsia" w:ascii="黑体" w:hAnsi="Times New Roman" w:eastAsia="黑体"/>
          <w:sz w:val="32"/>
          <w:szCs w:val="32"/>
        </w:rPr>
      </w:pPr>
      <w:r>
        <w:rPr>
          <w:rFonts w:ascii="黑体" w:hAnsi="Times New Roman" w:eastAsia="黑体"/>
          <w:sz w:val="32"/>
          <w:szCs w:val="32"/>
        </w:rPr>
        <w:t>附件2</w:t>
      </w:r>
    </w:p>
    <w:p>
      <w:pPr>
        <w:spacing w:line="540" w:lineRule="exact"/>
        <w:ind w:right="159"/>
        <w:rPr>
          <w:rFonts w:hint="eastAsia" w:ascii="黑体" w:hAnsi="Times New Roman" w:eastAsia="黑体"/>
          <w:sz w:val="32"/>
          <w:szCs w:val="32"/>
        </w:rPr>
      </w:pPr>
    </w:p>
    <w:p>
      <w:pPr>
        <w:spacing w:line="540" w:lineRule="exact"/>
        <w:ind w:right="159"/>
        <w:jc w:val="center"/>
        <w:rPr>
          <w:rFonts w:ascii="Times New Roman" w:hAnsi="Times New Roman" w:eastAsia="方正小标宋简体"/>
          <w:sz w:val="40"/>
          <w:szCs w:val="40"/>
        </w:rPr>
      </w:pPr>
      <w:r>
        <w:rPr>
          <w:rFonts w:ascii="Times New Roman" w:hAnsi="Times New Roman" w:eastAsia="方正小标宋简体"/>
          <w:sz w:val="44"/>
          <w:szCs w:val="44"/>
        </w:rPr>
        <w:t>二次供水设施移交宣传公告</w:t>
      </w:r>
    </w:p>
    <w:p>
      <w:pPr>
        <w:spacing w:line="540" w:lineRule="exact"/>
        <w:ind w:right="159"/>
        <w:jc w:val="center"/>
        <w:rPr>
          <w:rFonts w:hint="eastAsia" w:ascii="楷体_GB2312" w:hAnsi="Times New Roman" w:eastAsia="楷体_GB2312"/>
          <w:sz w:val="32"/>
          <w:szCs w:val="32"/>
        </w:rPr>
      </w:pPr>
      <w:r>
        <w:rPr>
          <w:rFonts w:hint="eastAsia" w:ascii="楷体_GB2312" w:hAnsi="Times New Roman" w:eastAsia="楷体_GB2312"/>
          <w:sz w:val="32"/>
          <w:szCs w:val="32"/>
        </w:rPr>
        <w:t>（示范文本）</w:t>
      </w:r>
    </w:p>
    <w:p>
      <w:pPr>
        <w:spacing w:line="540" w:lineRule="exact"/>
        <w:ind w:right="159"/>
        <w:jc w:val="center"/>
        <w:rPr>
          <w:rFonts w:hint="eastAsia" w:ascii="楷体_GB2312" w:hAnsi="Times New Roman" w:eastAsia="楷体_GB2312"/>
          <w:sz w:val="32"/>
          <w:szCs w:val="32"/>
        </w:rPr>
      </w:pPr>
    </w:p>
    <w:p>
      <w:pPr>
        <w:spacing w:line="540" w:lineRule="exact"/>
        <w:ind w:right="159"/>
        <w:rPr>
          <w:rFonts w:ascii="Times New Roman" w:hAnsi="Times New Roman" w:eastAsia="仿宋_GB2312"/>
          <w:sz w:val="32"/>
          <w:szCs w:val="32"/>
        </w:rPr>
      </w:pPr>
      <w:r>
        <w:rPr>
          <w:rFonts w:ascii="Times New Roman" w:hAnsi="Times New Roman" w:eastAsia="仿宋_GB2312"/>
          <w:sz w:val="32"/>
          <w:szCs w:val="32"/>
          <w:u w:val="single"/>
        </w:rPr>
        <w:t>***小区</w:t>
      </w:r>
      <w:r>
        <w:rPr>
          <w:rFonts w:ascii="Times New Roman" w:hAnsi="Times New Roman" w:eastAsia="仿宋_GB2312"/>
          <w:sz w:val="32"/>
          <w:szCs w:val="32"/>
        </w:rPr>
        <w:t>业主：</w:t>
      </w:r>
    </w:p>
    <w:p>
      <w:pPr>
        <w:spacing w:line="540" w:lineRule="exact"/>
        <w:ind w:right="159" w:firstLine="640" w:firstLineChars="200"/>
        <w:rPr>
          <w:rFonts w:ascii="Times New Roman" w:hAnsi="Times New Roman" w:eastAsia="仿宋_GB2312"/>
          <w:sz w:val="32"/>
          <w:szCs w:val="32"/>
        </w:rPr>
      </w:pPr>
      <w:r>
        <w:rPr>
          <w:rFonts w:ascii="Times New Roman" w:hAnsi="Times New Roman" w:eastAsia="仿宋_GB2312"/>
          <w:sz w:val="32"/>
          <w:szCs w:val="32"/>
        </w:rPr>
        <w:t>为推动落实由供水企业统一负责居民住宅二次供水设施的日常管理和后续维修维护的要求，现就小区二次供水设施移交给供水企业统一运营维护管理公告如下：</w:t>
      </w:r>
    </w:p>
    <w:p>
      <w:pPr>
        <w:spacing w:line="540" w:lineRule="exact"/>
        <w:ind w:right="159" w:firstLine="640" w:firstLineChars="200"/>
        <w:rPr>
          <w:rFonts w:ascii="Times New Roman" w:hAnsi="Times New Roman" w:eastAsia="仿宋_GB2312"/>
          <w:sz w:val="32"/>
          <w:szCs w:val="32"/>
        </w:rPr>
      </w:pPr>
      <w:r>
        <w:rPr>
          <w:rFonts w:hint="eastAsia" w:ascii="楷体_GB2312" w:hAnsi="Times New Roman" w:eastAsia="楷体_GB2312"/>
          <w:sz w:val="32"/>
          <w:szCs w:val="32"/>
        </w:rPr>
        <w:t>（一）移交</w:t>
      </w:r>
      <w:bookmarkStart w:id="0" w:name="_GoBack"/>
      <w:bookmarkEnd w:id="0"/>
      <w:r>
        <w:rPr>
          <w:rFonts w:hint="eastAsia" w:ascii="楷体_GB2312" w:hAnsi="Times New Roman" w:eastAsia="楷体_GB2312"/>
          <w:sz w:val="32"/>
          <w:szCs w:val="32"/>
        </w:rPr>
        <w:t>对象及范围。</w:t>
      </w:r>
      <w:r>
        <w:rPr>
          <w:rFonts w:ascii="Times New Roman" w:hAnsi="Times New Roman" w:eastAsia="仿宋_GB2312"/>
          <w:sz w:val="32"/>
          <w:szCs w:val="32"/>
        </w:rPr>
        <w:t>本次移交的二次供水设施是指从城镇公共供水管网接口</w:t>
      </w:r>
      <w:r>
        <w:rPr>
          <w:rFonts w:ascii="Times New Roman" w:hAnsi="Times New Roman" w:eastAsia="仿宋_GB2312"/>
          <w:b/>
          <w:sz w:val="32"/>
          <w:szCs w:val="32"/>
        </w:rPr>
        <w:t>（现状小区水费计量总表）至</w:t>
      </w:r>
      <w:r>
        <w:rPr>
          <w:rFonts w:ascii="Times New Roman" w:hAnsi="Times New Roman" w:eastAsia="仿宋_GB2312"/>
          <w:sz w:val="32"/>
          <w:szCs w:val="32"/>
        </w:rPr>
        <w:t>最终用户计量结算水表</w:t>
      </w:r>
      <w:r>
        <w:rPr>
          <w:rFonts w:ascii="Times New Roman" w:hAnsi="Times New Roman" w:eastAsia="仿宋_GB2312"/>
          <w:b/>
          <w:sz w:val="32"/>
          <w:szCs w:val="32"/>
        </w:rPr>
        <w:t>（业主水费分表）之间</w:t>
      </w:r>
      <w:r>
        <w:rPr>
          <w:rFonts w:ascii="Times New Roman" w:hAnsi="Times New Roman" w:eastAsia="仿宋_GB2312"/>
          <w:sz w:val="32"/>
          <w:szCs w:val="32"/>
        </w:rPr>
        <w:t>设施的总称。包括为二次供水设置的泵房、水箱（池）、水泵、阀门、电控装置、压力容器、消毒设备、供水管道、安防设施、水质监测及远程监控等设施，不包括消防、直饮水等其他供水设施。</w:t>
      </w:r>
    </w:p>
    <w:p>
      <w:pPr>
        <w:spacing w:line="540" w:lineRule="exact"/>
        <w:ind w:right="159" w:firstLine="640" w:firstLineChars="200"/>
        <w:rPr>
          <w:rFonts w:ascii="Times New Roman" w:hAnsi="Times New Roman" w:eastAsia="仿宋_GB2312"/>
          <w:sz w:val="32"/>
          <w:szCs w:val="32"/>
        </w:rPr>
      </w:pPr>
      <w:r>
        <w:rPr>
          <w:rFonts w:ascii="楷体_GB2312" w:hAnsi="Times New Roman" w:eastAsia="楷体_GB2312"/>
          <w:sz w:val="32"/>
          <w:szCs w:val="32"/>
        </w:rPr>
        <w:t>（二）移交的政策依据。</w:t>
      </w:r>
      <w:r>
        <w:rPr>
          <w:rFonts w:ascii="Times New Roman" w:hAnsi="Times New Roman" w:eastAsia="仿宋_GB2312"/>
          <w:sz w:val="32"/>
          <w:szCs w:val="32"/>
        </w:rPr>
        <w:t>居民二次供水设施移交是法定要求，《湖北省城镇供水条例》、《湖北省城镇二次供水管理办法》和《宜昌市城镇居民住宅二次供水管理实施细则》规定：新建居民住宅的二次供水设施，经验收合格，应当移交供水单位，由供水单位负责运行、维护和管理。已建居民住宅的二次供水设施，县级以上人民政府应当制定计划，采取措施，限期移交，由供水单位负责运行、维护和管理。二次供水设施不符合有关</w:t>
      </w:r>
      <w:r>
        <w:rPr>
          <w:rFonts w:ascii="Times New Roman" w:hAnsi="Times New Roman" w:eastAsia="仿宋_GB2312"/>
          <w:spacing w:val="-6"/>
          <w:sz w:val="32"/>
          <w:szCs w:val="32"/>
        </w:rPr>
        <w:t>建设标准和工程技术规范的，应当实施改造，经验收合格后移交。</w:t>
      </w:r>
    </w:p>
    <w:p>
      <w:pPr>
        <w:spacing w:line="540" w:lineRule="exact"/>
        <w:ind w:right="159" w:firstLine="640" w:firstLineChars="200"/>
        <w:rPr>
          <w:rFonts w:ascii="Times New Roman" w:hAnsi="Times New Roman" w:eastAsia="仿宋_GB2312"/>
          <w:b/>
          <w:sz w:val="32"/>
          <w:szCs w:val="32"/>
        </w:rPr>
      </w:pPr>
      <w:r>
        <w:rPr>
          <w:rFonts w:ascii="楷体_GB2312" w:hAnsi="Times New Roman" w:eastAsia="楷体_GB2312"/>
          <w:sz w:val="32"/>
          <w:szCs w:val="32"/>
        </w:rPr>
        <w:t>（三）移交的原则。</w:t>
      </w:r>
      <w:r>
        <w:rPr>
          <w:rFonts w:ascii="Times New Roman" w:hAnsi="Times New Roman" w:eastAsia="仿宋_GB2312"/>
          <w:sz w:val="32"/>
          <w:szCs w:val="32"/>
        </w:rPr>
        <w:t>本次移交为相应设施管理权无偿移交，无偿移交是指：一是用户不给予供水企业接收费用。二是不给予原产权或管理单位补偿费用。相应产权归属不变，移交后的运行维护（含后续更新改造）由供水企业终身负责。</w:t>
      </w:r>
    </w:p>
    <w:p>
      <w:pPr>
        <w:spacing w:line="540" w:lineRule="exact"/>
        <w:ind w:right="159" w:firstLine="640" w:firstLineChars="200"/>
        <w:rPr>
          <w:rFonts w:ascii="Times New Roman" w:hAnsi="Times New Roman" w:eastAsia="仿宋_GB2312"/>
          <w:sz w:val="32"/>
          <w:szCs w:val="32"/>
        </w:rPr>
      </w:pPr>
      <w:r>
        <w:rPr>
          <w:rFonts w:ascii="楷体_GB2312" w:hAnsi="Times New Roman" w:eastAsia="楷体_GB2312"/>
          <w:sz w:val="32"/>
          <w:szCs w:val="32"/>
        </w:rPr>
        <w:t>（四）移交目的及好处。</w:t>
      </w:r>
      <w:r>
        <w:rPr>
          <w:rFonts w:ascii="Times New Roman" w:hAnsi="Times New Roman" w:eastAsia="仿宋_GB2312"/>
          <w:sz w:val="32"/>
          <w:szCs w:val="32"/>
        </w:rPr>
        <w:t>居民住宅二次供水设施统一移交供水企业运营维护是国家、省市法定要求。移交后由供水企业抄表到户并按照省、市相关规定负责小区内部公共二次供水设施、庭院供水管网和楼栋公共供水立管的维护维修（终点以用户分户水表为界，包含水表更换维修）；每季度对二次供水储水设施清洗消毒一次，每月水质监测，对泵房内部反恐、安防管理升级等。无论将来物业怎么变，“水管家”永远在线，用水有问题可随时拨打供水企业24小时服务热线咨询、报修，方便快捷。打通供水专业服务“小区最后一公里”，让居民用水放心、舒心。</w:t>
      </w:r>
    </w:p>
    <w:p>
      <w:pPr>
        <w:spacing w:line="540" w:lineRule="exact"/>
        <w:ind w:right="159" w:firstLine="640" w:firstLineChars="200"/>
        <w:rPr>
          <w:rFonts w:ascii="Times New Roman" w:hAnsi="Times New Roman" w:eastAsia="仿宋_GB2312"/>
          <w:sz w:val="32"/>
          <w:szCs w:val="32"/>
        </w:rPr>
      </w:pPr>
      <w:r>
        <w:rPr>
          <w:rFonts w:ascii="Times New Roman" w:hAnsi="Times New Roman" w:eastAsia="仿宋_GB2312"/>
          <w:sz w:val="32"/>
          <w:szCs w:val="32"/>
        </w:rPr>
        <w:t>居民除按政府部门统一定价交纳水费外，供水企业所有的维护维修不再单独向用户收取其它任何费用。居民可24小时手机（支付宝或微信）缴纳水费，也保留了传统银行代扣、客服现金窗口、超市代缴等多种便捷缴费方式。</w:t>
      </w:r>
    </w:p>
    <w:p>
      <w:pPr>
        <w:spacing w:line="540" w:lineRule="exact"/>
        <w:ind w:right="159" w:firstLine="640" w:firstLineChars="200"/>
        <w:rPr>
          <w:rFonts w:hint="eastAsia" w:ascii="Times New Roman" w:hAnsi="Times New Roman" w:eastAsia="仿宋_GB2312"/>
          <w:sz w:val="32"/>
          <w:szCs w:val="32"/>
        </w:rPr>
      </w:pPr>
      <w:r>
        <w:rPr>
          <w:rFonts w:ascii="Times New Roman" w:hAnsi="Times New Roman" w:eastAsia="仿宋_GB2312"/>
          <w:sz w:val="32"/>
          <w:szCs w:val="32"/>
        </w:rPr>
        <w:t>请广大居民支持配合二次供水移交工作。</w:t>
      </w:r>
    </w:p>
    <w:p>
      <w:pPr>
        <w:spacing w:line="540" w:lineRule="exact"/>
        <w:ind w:right="159" w:firstLine="640" w:firstLineChars="200"/>
        <w:jc w:val="left"/>
        <w:rPr>
          <w:rFonts w:hint="eastAsia" w:ascii="Times New Roman" w:hAnsi="Times New Roman" w:eastAsia="仿宋_GB2312"/>
          <w:sz w:val="32"/>
          <w:szCs w:val="32"/>
        </w:rPr>
      </w:pPr>
    </w:p>
    <w:p>
      <w:pPr>
        <w:spacing w:line="540" w:lineRule="exact"/>
        <w:ind w:right="159" w:firstLine="640" w:firstLineChars="200"/>
        <w:jc w:val="left"/>
        <w:rPr>
          <w:rFonts w:hint="eastAsia" w:ascii="Times New Roman" w:hAnsi="Times New Roman" w:eastAsia="仿宋_GB2312"/>
          <w:sz w:val="32"/>
          <w:szCs w:val="32"/>
        </w:rPr>
      </w:pPr>
    </w:p>
    <w:p>
      <w:pPr>
        <w:spacing w:line="540" w:lineRule="exact"/>
        <w:ind w:right="159" w:firstLine="640" w:firstLineChars="200"/>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社区（村）落款盖章</w:t>
      </w:r>
    </w:p>
    <w:p>
      <w:pPr>
        <w:spacing w:line="540" w:lineRule="exact"/>
        <w:ind w:right="159" w:firstLine="640" w:firstLineChars="200"/>
        <w:jc w:val="left"/>
        <w:rPr>
          <w:rFonts w:ascii="Times New Roman" w:hAnsi="Times New Roman" w:eastAsia="仿宋_GB2312"/>
          <w:sz w:val="32"/>
          <w:szCs w:val="32"/>
        </w:rPr>
      </w:pPr>
      <w:r>
        <w:rPr>
          <w:rFonts w:ascii="Times New Roman" w:hAnsi="Times New Roman" w:eastAsia="仿宋_GB2312"/>
          <w:sz w:val="32"/>
          <w:szCs w:val="32"/>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B1B2F"/>
    <w:rsid w:val="15CB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2021-10-21T02:36:00Z</dcterms:created>
  <dc:creator>NTKO</dc:creator>
  <cp:lastModifiedBy>NTKO</cp:lastModifiedBy>
  <dcterms:modified xsi:type="dcterms:W3CDTF">2021-10-21T02:36:43Z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