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sz w:val="21"/>
                <w:szCs w:val="21"/>
                <w:lang w:eastAsia="zh-CN"/>
              </w:rPr>
              <w:t>宜都市疾病预防控制中心整体搬迁项目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5A664B7"/>
    <w:rsid w:val="0777559D"/>
    <w:rsid w:val="08267E98"/>
    <w:rsid w:val="0B717D6B"/>
    <w:rsid w:val="0CF1393D"/>
    <w:rsid w:val="1FA17E08"/>
    <w:rsid w:val="22507265"/>
    <w:rsid w:val="2BC86DD5"/>
    <w:rsid w:val="2F22039B"/>
    <w:rsid w:val="301943C0"/>
    <w:rsid w:val="30A56C68"/>
    <w:rsid w:val="37B63B72"/>
    <w:rsid w:val="3EBA11D7"/>
    <w:rsid w:val="428C2185"/>
    <w:rsid w:val="498F7DE5"/>
    <w:rsid w:val="4AEE4CBE"/>
    <w:rsid w:val="4B3B2D4B"/>
    <w:rsid w:val="528D3E06"/>
    <w:rsid w:val="570C42FB"/>
    <w:rsid w:val="597E179D"/>
    <w:rsid w:val="5AD22E5C"/>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江珩</cp:lastModifiedBy>
  <dcterms:modified xsi:type="dcterms:W3CDTF">2021-11-15T04:03:30Z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9CCD8C4176B54664B1D9C06B02AD4AA0</vt:lpwstr>
  </property>
</Properties>
</file>