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附件1</w:t>
      </w:r>
    </w:p>
    <w:p>
      <w:pPr>
        <w:jc w:val="center"/>
        <w:rPr>
          <w:rFonts w:eastAsia="方正小标宋简体"/>
          <w:sz w:val="44"/>
          <w:szCs w:val="44"/>
        </w:rPr>
      </w:pPr>
      <w:r>
        <w:rPr>
          <w:rFonts w:eastAsia="方正小标宋简体"/>
          <w:sz w:val="44"/>
          <w:szCs w:val="44"/>
        </w:rPr>
        <w:t>供水供气企业准许收费清单</w:t>
      </w:r>
    </w:p>
    <w:tbl>
      <w:tblPr>
        <w:tblStyle w:val="2"/>
        <w:tblW w:w="94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2645"/>
        <w:gridCol w:w="28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序号</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收费项目</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服务内容</w:t>
            </w:r>
          </w:p>
        </w:tc>
        <w:tc>
          <w:tcPr>
            <w:tcW w:w="288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收费标准</w:t>
            </w:r>
          </w:p>
        </w:tc>
        <w:tc>
          <w:tcPr>
            <w:tcW w:w="19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eastAsia="仿宋_GB2312"/>
                <w:b/>
                <w:bCs/>
                <w:szCs w:val="21"/>
              </w:rPr>
            </w:pPr>
            <w:r>
              <w:rPr>
                <w:rFonts w:eastAsia="仿宋_GB2312"/>
                <w:b/>
                <w:bCs/>
                <w:szCs w:val="21"/>
              </w:rPr>
              <w:t>收费依据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1</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工程安装</w:t>
            </w:r>
          </w:p>
          <w:p>
            <w:pPr>
              <w:adjustRightInd w:val="0"/>
              <w:snapToGrid w:val="0"/>
              <w:spacing w:line="300" w:lineRule="atLeast"/>
              <w:jc w:val="center"/>
              <w:rPr>
                <w:rFonts w:eastAsia="仿宋_GB2312"/>
                <w:szCs w:val="21"/>
              </w:rPr>
            </w:pPr>
            <w:r>
              <w:rPr>
                <w:rFonts w:eastAsia="仿宋_GB2312"/>
                <w:szCs w:val="21"/>
              </w:rPr>
              <w:t>收费</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rPr>
                <w:rFonts w:eastAsia="仿宋_GB2312"/>
                <w:szCs w:val="21"/>
              </w:rPr>
            </w:pPr>
            <w:r>
              <w:rPr>
                <w:rFonts w:eastAsia="仿宋_GB2312"/>
                <w:szCs w:val="21"/>
              </w:rPr>
              <w:t>建筑区划红线内，自愿委托供水供气企业进行供水供气管线及配套设备设施的工程建设安装费用</w:t>
            </w:r>
          </w:p>
        </w:tc>
        <w:tc>
          <w:tcPr>
            <w:tcW w:w="2884" w:type="dxa"/>
            <w:vMerge w:val="restart"/>
            <w:tcBorders>
              <w:top w:val="nil"/>
              <w:left w:val="nil"/>
              <w:bottom w:val="single" w:color="auto" w:sz="4" w:space="0"/>
              <w:right w:val="single" w:color="auto" w:sz="4" w:space="0"/>
            </w:tcBorders>
            <w:noWrap w:val="0"/>
            <w:vAlign w:val="center"/>
          </w:tcPr>
          <w:p>
            <w:pPr>
              <w:spacing w:line="300" w:lineRule="atLeast"/>
              <w:rPr>
                <w:rFonts w:eastAsia="仿宋_GB2312"/>
                <w:szCs w:val="21"/>
              </w:rPr>
            </w:pPr>
            <w:r>
              <w:rPr>
                <w:rFonts w:eastAsia="仿宋_GB2312"/>
                <w:szCs w:val="21"/>
              </w:rPr>
              <w:t>1、已发布测算价格项目的按测算价格执行。</w:t>
            </w:r>
          </w:p>
          <w:p>
            <w:pPr>
              <w:spacing w:line="300" w:lineRule="atLeast"/>
              <w:rPr>
                <w:rFonts w:eastAsia="仿宋_GB2312"/>
                <w:szCs w:val="21"/>
              </w:rPr>
            </w:pPr>
            <w:r>
              <w:rPr>
                <w:rFonts w:eastAsia="仿宋_GB2312"/>
                <w:szCs w:val="21"/>
              </w:rPr>
              <w:t>2、未发布测算价格的，收费标准报主管部门认定后公示执行。</w:t>
            </w:r>
          </w:p>
          <w:p>
            <w:pPr>
              <w:adjustRightInd w:val="0"/>
              <w:snapToGrid w:val="0"/>
              <w:spacing w:line="300" w:lineRule="atLeast"/>
              <w:rPr>
                <w:rFonts w:eastAsia="仿宋_GB2312"/>
                <w:szCs w:val="21"/>
              </w:rPr>
            </w:pPr>
            <w:r>
              <w:rPr>
                <w:rFonts w:eastAsia="仿宋_GB2312"/>
                <w:szCs w:val="21"/>
              </w:rPr>
              <w:t>3、红线内安装、改造、维修已由政府承担的，不得向用户收取。</w:t>
            </w:r>
          </w:p>
        </w:tc>
        <w:tc>
          <w:tcPr>
            <w:tcW w:w="1985" w:type="dxa"/>
            <w:vMerge w:val="restart"/>
            <w:tcBorders>
              <w:top w:val="nil"/>
              <w:left w:val="nil"/>
              <w:bottom w:val="single" w:color="auto" w:sz="4" w:space="0"/>
              <w:right w:val="single" w:color="auto" w:sz="4" w:space="0"/>
            </w:tcBorders>
            <w:noWrap w:val="0"/>
            <w:vAlign w:val="center"/>
          </w:tcPr>
          <w:p>
            <w:pPr>
              <w:adjustRightInd w:val="0"/>
              <w:snapToGrid w:val="0"/>
              <w:spacing w:line="300" w:lineRule="atLeast"/>
              <w:rPr>
                <w:rFonts w:eastAsia="仿宋_GB2312"/>
                <w:szCs w:val="21"/>
              </w:rPr>
            </w:pPr>
            <w:r>
              <w:rPr>
                <w:rFonts w:eastAsia="仿宋_GB2312"/>
                <w:szCs w:val="21"/>
              </w:rPr>
              <w:t>国办函〔2020〕129号、鄂发改价管〔2021〕88号、宜发改价管〔2021〕59号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2</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维修维护</w:t>
            </w:r>
          </w:p>
          <w:p>
            <w:pPr>
              <w:adjustRightInd w:val="0"/>
              <w:snapToGrid w:val="0"/>
              <w:spacing w:line="300" w:lineRule="atLeast"/>
              <w:jc w:val="center"/>
              <w:rPr>
                <w:rFonts w:eastAsia="仿宋_GB2312"/>
                <w:szCs w:val="21"/>
              </w:rPr>
            </w:pPr>
            <w:r>
              <w:rPr>
                <w:rFonts w:eastAsia="仿宋_GB2312"/>
                <w:szCs w:val="21"/>
              </w:rPr>
              <w:t>收费</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rPr>
                <w:rFonts w:eastAsia="仿宋_GB2312"/>
                <w:szCs w:val="21"/>
              </w:rPr>
            </w:pPr>
            <w:r>
              <w:rPr>
                <w:rFonts w:eastAsia="仿宋_GB2312"/>
                <w:szCs w:val="21"/>
              </w:rPr>
              <w:t>委托供水供气企业对按照法律法规规定属于用户专有部分的设施运行、维护、抢修和更新改造</w:t>
            </w:r>
          </w:p>
        </w:tc>
        <w:tc>
          <w:tcPr>
            <w:tcW w:w="2884" w:type="dxa"/>
            <w:vMerge w:val="continue"/>
            <w:tcBorders>
              <w:top w:val="nil"/>
              <w:left w:val="nil"/>
              <w:bottom w:val="single" w:color="auto" w:sz="4" w:space="0"/>
              <w:right w:val="single" w:color="auto" w:sz="4" w:space="0"/>
            </w:tcBorders>
            <w:noWrap w:val="0"/>
            <w:vAlign w:val="center"/>
          </w:tcPr>
          <w:p>
            <w:pPr>
              <w:rPr>
                <w:rFonts w:eastAsia="仿宋_GB2312"/>
                <w:szCs w:val="21"/>
              </w:rPr>
            </w:pPr>
          </w:p>
        </w:tc>
        <w:tc>
          <w:tcPr>
            <w:tcW w:w="1985" w:type="dxa"/>
            <w:vMerge w:val="continue"/>
            <w:tcBorders>
              <w:top w:val="nil"/>
              <w:left w:val="nil"/>
              <w:bottom w:val="single" w:color="auto" w:sz="4" w:space="0"/>
              <w:right w:val="single" w:color="auto" w:sz="4" w:space="0"/>
            </w:tcBorders>
            <w:noWrap w:val="0"/>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3</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kern w:val="0"/>
                <w:szCs w:val="21"/>
              </w:rPr>
            </w:pPr>
            <w:r>
              <w:rPr>
                <w:rFonts w:eastAsia="仿宋_GB2312"/>
                <w:szCs w:val="21"/>
              </w:rPr>
              <w:t>因用户原因造成计量装置、相关设施损坏</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kern w:val="0"/>
                <w:szCs w:val="21"/>
              </w:rPr>
            </w:pPr>
            <w:r>
              <w:rPr>
                <w:rFonts w:eastAsia="仿宋_GB2312"/>
                <w:szCs w:val="21"/>
              </w:rPr>
              <w:t>因用户自身原因或其他责任人造成损坏及责任事故的计量装置、相关设施购置更换费用</w:t>
            </w:r>
          </w:p>
        </w:tc>
        <w:tc>
          <w:tcPr>
            <w:tcW w:w="2884" w:type="dxa"/>
            <w:vMerge w:val="restart"/>
            <w:tcBorders>
              <w:top w:val="nil"/>
              <w:left w:val="nil"/>
              <w:bottom w:val="single" w:color="auto" w:sz="4" w:space="0"/>
              <w:right w:val="single" w:color="auto" w:sz="4" w:space="0"/>
            </w:tcBorders>
            <w:noWrap w:val="0"/>
            <w:vAlign w:val="center"/>
          </w:tcPr>
          <w:p>
            <w:pPr>
              <w:spacing w:line="300" w:lineRule="atLeast"/>
              <w:rPr>
                <w:rFonts w:eastAsia="仿宋_GB2312"/>
                <w:szCs w:val="21"/>
              </w:rPr>
            </w:pPr>
            <w:r>
              <w:rPr>
                <w:rFonts w:eastAsia="仿宋_GB2312"/>
                <w:szCs w:val="21"/>
              </w:rPr>
              <w:t>1、已发布测算价格项目的按测算价格执行。</w:t>
            </w:r>
          </w:p>
          <w:p>
            <w:pPr>
              <w:adjustRightInd w:val="0"/>
              <w:snapToGrid w:val="0"/>
              <w:spacing w:line="300" w:lineRule="atLeast"/>
              <w:rPr>
                <w:rFonts w:eastAsia="仿宋_GB2312"/>
                <w:kern w:val="0"/>
                <w:szCs w:val="21"/>
              </w:rPr>
            </w:pPr>
            <w:r>
              <w:rPr>
                <w:rFonts w:eastAsia="仿宋_GB2312"/>
                <w:szCs w:val="21"/>
              </w:rPr>
              <w:t>2、未发布测算价格的，收费标准报主管部门认定后公示执行。</w:t>
            </w:r>
          </w:p>
        </w:tc>
        <w:tc>
          <w:tcPr>
            <w:tcW w:w="198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kern w:val="0"/>
                <w:szCs w:val="21"/>
              </w:rPr>
            </w:pPr>
            <w:r>
              <w:rPr>
                <w:rFonts w:eastAsia="仿宋_GB2312"/>
                <w:szCs w:val="21"/>
              </w:rPr>
              <w:t>鄂发改价管〔2021〕88号、宜发改价管〔2021〕59号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tLeast"/>
              <w:jc w:val="center"/>
              <w:rPr>
                <w:rFonts w:eastAsia="仿宋_GB2312"/>
                <w:kern w:val="0"/>
                <w:szCs w:val="21"/>
              </w:rPr>
            </w:pPr>
            <w:r>
              <w:rPr>
                <w:rFonts w:eastAsia="仿宋_GB2312"/>
                <w:szCs w:val="21"/>
              </w:rPr>
              <w:t>4</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kern w:val="0"/>
                <w:szCs w:val="21"/>
              </w:rPr>
            </w:pPr>
            <w:r>
              <w:rPr>
                <w:rFonts w:eastAsia="仿宋_GB2312"/>
                <w:szCs w:val="21"/>
              </w:rPr>
              <w:t>供水供气企业管理设施收费</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应用户要求迁改供水供气企业产权范围内的供水供气设施</w:t>
            </w:r>
          </w:p>
        </w:tc>
        <w:tc>
          <w:tcPr>
            <w:tcW w:w="2884" w:type="dxa"/>
            <w:vMerge w:val="continue"/>
            <w:tcBorders>
              <w:top w:val="nil"/>
              <w:left w:val="nil"/>
              <w:bottom w:val="single" w:color="auto" w:sz="4" w:space="0"/>
              <w:right w:val="single" w:color="auto" w:sz="4" w:space="0"/>
            </w:tcBorders>
            <w:noWrap w:val="0"/>
            <w:vAlign w:val="center"/>
          </w:tcPr>
          <w:p>
            <w:pPr>
              <w:rPr>
                <w:rFonts w:eastAsia="仿宋_GB2312"/>
                <w:szCs w:val="21"/>
              </w:rPr>
            </w:pPr>
          </w:p>
        </w:tc>
        <w:tc>
          <w:tcPr>
            <w:tcW w:w="1985" w:type="dxa"/>
            <w:tcBorders>
              <w:top w:val="single" w:color="auto" w:sz="4" w:space="0"/>
              <w:left w:val="nil"/>
              <w:bottom w:val="single" w:color="auto" w:sz="4" w:space="0"/>
              <w:right w:val="single" w:color="auto" w:sz="4" w:space="0"/>
            </w:tcBorders>
            <w:noWrap w:val="0"/>
            <w:vAlign w:val="top"/>
          </w:tcPr>
          <w:p>
            <w:pPr>
              <w:spacing w:line="300" w:lineRule="atLeast"/>
              <w:rPr>
                <w:rFonts w:eastAsia="仿宋_GB2312"/>
                <w:szCs w:val="21"/>
              </w:rPr>
            </w:pPr>
            <w:r>
              <w:rPr>
                <w:rFonts w:eastAsia="仿宋_GB2312"/>
                <w:szCs w:val="21"/>
              </w:rPr>
              <w:t>1、《湖北省城镇供水条例》第二十一条、第二十四条、第三十八条。</w:t>
            </w:r>
          </w:p>
          <w:p>
            <w:pPr>
              <w:adjustRightInd w:val="0"/>
              <w:snapToGrid w:val="0"/>
              <w:spacing w:line="300" w:lineRule="atLeast"/>
              <w:rPr>
                <w:rFonts w:eastAsia="仿宋_GB2312"/>
                <w:szCs w:val="21"/>
              </w:rPr>
            </w:pPr>
            <w:r>
              <w:rPr>
                <w:rFonts w:eastAsia="仿宋_GB2312"/>
                <w:szCs w:val="21"/>
              </w:rPr>
              <w:t>2、《城镇燃气管理条例》第十九条、第二十八条。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5</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消火栓等市政供水设施建设</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受相关单位委托，新、补建市政消火栓</w:t>
            </w:r>
          </w:p>
        </w:tc>
        <w:tc>
          <w:tcPr>
            <w:tcW w:w="288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已发布测算价格项目的按测算价格执行。</w:t>
            </w:r>
          </w:p>
        </w:tc>
        <w:tc>
          <w:tcPr>
            <w:tcW w:w="198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《宜昌城区消火栓建设管理办法》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6</w:t>
            </w:r>
          </w:p>
        </w:tc>
        <w:tc>
          <w:tcPr>
            <w:tcW w:w="127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其他商品、服务收费</w:t>
            </w:r>
          </w:p>
        </w:tc>
        <w:tc>
          <w:tcPr>
            <w:tcW w:w="264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用户自身需要自愿选择的其它商品和服务等项目</w:t>
            </w:r>
          </w:p>
        </w:tc>
        <w:tc>
          <w:tcPr>
            <w:tcW w:w="2884" w:type="dxa"/>
            <w:tcBorders>
              <w:top w:val="single" w:color="auto" w:sz="4" w:space="0"/>
              <w:left w:val="nil"/>
              <w:bottom w:val="single" w:color="auto" w:sz="4" w:space="0"/>
              <w:right w:val="single" w:color="auto" w:sz="4" w:space="0"/>
            </w:tcBorders>
            <w:noWrap w:val="0"/>
            <w:vAlign w:val="center"/>
          </w:tcPr>
          <w:p>
            <w:pPr>
              <w:spacing w:line="300" w:lineRule="atLeast"/>
              <w:rPr>
                <w:rFonts w:eastAsia="仿宋_GB2312"/>
                <w:szCs w:val="21"/>
              </w:rPr>
            </w:pPr>
            <w:r>
              <w:rPr>
                <w:rFonts w:eastAsia="仿宋_GB2312"/>
                <w:szCs w:val="21"/>
              </w:rPr>
              <w:t>1、已发布测算价格项目的按测算价格执行。</w:t>
            </w:r>
          </w:p>
          <w:p>
            <w:pPr>
              <w:adjustRightInd w:val="0"/>
              <w:snapToGrid w:val="0"/>
              <w:spacing w:line="300" w:lineRule="atLeast"/>
              <w:jc w:val="center"/>
              <w:rPr>
                <w:rFonts w:eastAsia="仿宋_GB2312"/>
                <w:szCs w:val="21"/>
              </w:rPr>
            </w:pPr>
            <w:r>
              <w:rPr>
                <w:rFonts w:eastAsia="仿宋_GB2312"/>
                <w:szCs w:val="21"/>
              </w:rPr>
              <w:t>2、市场化程度较高的商品和服务项目，由供水供气企业自主合理确定收费标准，报主管部门认定后</w:t>
            </w:r>
            <w:r>
              <w:rPr>
                <w:rFonts w:hint="eastAsia" w:eastAsia="仿宋_GB2312"/>
                <w:szCs w:val="21"/>
              </w:rPr>
              <w:t>公示</w:t>
            </w:r>
            <w:r>
              <w:rPr>
                <w:rFonts w:eastAsia="仿宋_GB2312"/>
                <w:szCs w:val="21"/>
              </w:rPr>
              <w:t>执行。</w:t>
            </w:r>
          </w:p>
        </w:tc>
        <w:tc>
          <w:tcPr>
            <w:tcW w:w="198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atLeast"/>
              <w:jc w:val="center"/>
              <w:rPr>
                <w:rFonts w:eastAsia="仿宋_GB2312"/>
                <w:szCs w:val="21"/>
              </w:rPr>
            </w:pPr>
            <w:r>
              <w:rPr>
                <w:rFonts w:eastAsia="仿宋_GB2312"/>
                <w:szCs w:val="21"/>
              </w:rPr>
              <w:t>国办函〔2020〕129号、鄂发改价管〔2021〕88号、宜发改价管〔2021〕59号</w:t>
            </w:r>
          </w:p>
        </w:tc>
      </w:tr>
    </w:tbl>
    <w:p>
      <w:pPr>
        <w:spacing w:line="600" w:lineRule="exact"/>
        <w:rPr>
          <w:rFonts w:eastAsia="仿宋_GB2312"/>
          <w:sz w:val="24"/>
        </w:rPr>
      </w:pPr>
      <w:r>
        <w:rPr>
          <w:rFonts w:eastAsia="仿宋_GB2312"/>
          <w:sz w:val="24"/>
        </w:rPr>
        <w:t>备注：各企业收费清单详细内容经行业主管部门另行审定，企业公示后执行。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27BC1"/>
    <w:rsid w:val="6D92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2021-11-16T01:10:00Z</dcterms:created>
  <dc:creator>NTKO</dc:creator>
  <cp:lastModifiedBy>NTKO</cp:lastModifiedBy>
  <dcterms:modified xsi:type="dcterms:W3CDTF">2021-11-16T01:11:48Z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