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after="100" w:afterAutospacing="1" w:line="360" w:lineRule="auto"/>
        <w:jc w:val="both"/>
        <w:rPr>
          <w:rFonts w:cs="宋体"/>
          <w:b/>
          <w:bCs/>
          <w:sz w:val="30"/>
          <w:highlight w:val="none"/>
          <w:shd w:val="clear" w:color="auto" w:fill="FFFFFF"/>
          <w:lang w:val="zh-CN" w:eastAsia="zh-CN"/>
        </w:rPr>
      </w:pPr>
      <w:r>
        <w:rPr>
          <w:rFonts w:cs="宋体"/>
          <w:b/>
          <w:bCs/>
          <w:sz w:val="30"/>
          <w:highlight w:val="none"/>
          <w:shd w:val="clear" w:color="auto" w:fill="FFFFFF"/>
          <w:lang w:val="zh-CN" w:eastAsia="zh-CN"/>
        </w:rPr>
        <w:t>附件：</w:t>
      </w:r>
    </w:p>
    <w:p>
      <w:pPr>
        <w:pStyle w:val="4"/>
        <w:spacing w:after="100" w:afterAutospacing="1" w:line="400" w:lineRule="atLeast"/>
        <w:jc w:val="center"/>
        <w:rPr>
          <w:rFonts w:hint="eastAsia"/>
          <w:highlight w:val="none"/>
          <w:lang w:val="zh-CN" w:eastAsia="zh-CN"/>
        </w:rPr>
      </w:pPr>
      <w:r>
        <w:rPr>
          <w:rFonts w:ascii="黑体" w:hAnsi="黑体" w:eastAsia="黑体" w:cs="黑体"/>
          <w:highlight w:val="none"/>
          <w:lang w:val="zh-CN" w:eastAsia="zh-CN"/>
        </w:rPr>
        <w:t>附录</w:t>
      </w:r>
      <w:r>
        <w:rPr>
          <w:rFonts w:ascii="Times New Roman" w:hAnsi="Times New Roman" w:eastAsia="Times New Roman"/>
          <w:highlight w:val="none"/>
          <w:lang w:val="zh-CN" w:eastAsia="zh-CN"/>
        </w:rPr>
        <w:t xml:space="preserve">1 </w:t>
      </w:r>
      <w:r>
        <w:rPr>
          <w:rFonts w:ascii="黑体" w:hAnsi="黑体" w:eastAsia="黑体" w:cs="黑体"/>
          <w:highlight w:val="none"/>
          <w:lang w:val="zh-CN" w:eastAsia="zh-CN"/>
        </w:rPr>
        <w:t>资格审查条件</w:t>
      </w:r>
      <w:r>
        <w:rPr>
          <w:rFonts w:ascii="Times New Roman" w:hAnsi="Times New Roman" w:eastAsia="Times New Roman"/>
          <w:highlight w:val="none"/>
          <w:lang w:val="zh-CN" w:eastAsia="zh-CN"/>
        </w:rPr>
        <w:t>(</w:t>
      </w:r>
      <w:r>
        <w:rPr>
          <w:rFonts w:ascii="黑体" w:hAnsi="黑体" w:eastAsia="黑体" w:cs="黑体"/>
          <w:highlight w:val="none"/>
          <w:lang w:val="zh-CN" w:eastAsia="zh-CN"/>
        </w:rPr>
        <w:t>资质最低要求</w:t>
      </w:r>
      <w:r>
        <w:rPr>
          <w:rFonts w:ascii="Times New Roman" w:hAnsi="Times New Roman" w:eastAsia="Times New Roman"/>
          <w:highlight w:val="none"/>
          <w:lang w:val="zh-CN" w:eastAsia="zh-CN"/>
        </w:rPr>
        <w:t>)</w:t>
      </w:r>
    </w:p>
    <w:tbl>
      <w:tblPr>
        <w:tblStyle w:val="2"/>
        <w:tblW w:w="9174"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1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569" w:hRule="atLeast"/>
        </w:trPr>
        <w:tc>
          <w:tcPr>
            <w:tcW w:w="917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00" w:lineRule="atLeast"/>
              <w:jc w:val="center"/>
              <w:rPr>
                <w:rFonts w:cs="宋体"/>
                <w:highlight w:val="none"/>
                <w:lang w:val="zh-CN" w:eastAsia="zh-CN"/>
              </w:rPr>
            </w:pPr>
            <w:r>
              <w:rPr>
                <w:rFonts w:ascii="Times New Roman" w:hAnsi="Times New Roman" w:eastAsia="Times New Roman"/>
                <w:highlight w:val="none"/>
                <w:lang w:val="zh-CN" w:eastAsia="zh-CN"/>
              </w:rPr>
              <w:t>施工企业资质要求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994" w:hRule="atLeast"/>
        </w:trPr>
        <w:tc>
          <w:tcPr>
            <w:tcW w:w="917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240" w:lineRule="auto"/>
              <w:jc w:val="both"/>
              <w:rPr>
                <w:rFonts w:cs="宋体"/>
                <w:highlight w:val="none"/>
                <w:lang w:val="zh-CN" w:eastAsia="zh-CN"/>
              </w:rPr>
            </w:pPr>
            <w:r>
              <w:rPr>
                <w:rFonts w:ascii="Times New Roman" w:hAnsi="Times New Roman" w:eastAsia="Times New Roman"/>
                <w:highlight w:val="none"/>
                <w:lang w:val="zh-CN" w:eastAsia="zh-CN"/>
              </w:rPr>
              <w:t>同时具备：</w:t>
            </w:r>
          </w:p>
          <w:p>
            <w:pPr>
              <w:pStyle w:val="4"/>
              <w:spacing w:line="240" w:lineRule="auto"/>
              <w:jc w:val="both"/>
              <w:rPr>
                <w:rFonts w:cs="宋体"/>
                <w:highlight w:val="none"/>
                <w:lang w:val="zh-CN" w:eastAsia="zh-CN"/>
              </w:rPr>
            </w:pPr>
            <w:r>
              <w:rPr>
                <w:rFonts w:ascii="Times New Roman" w:hAnsi="Times New Roman" w:eastAsia="Times New Roman"/>
                <w:highlight w:val="none"/>
                <w:lang w:val="zh-CN" w:eastAsia="zh-CN"/>
              </w:rPr>
              <w:t>1</w:t>
            </w:r>
            <w:r>
              <w:rPr>
                <w:rFonts w:cs="宋体"/>
                <w:highlight w:val="none"/>
                <w:lang w:val="zh-CN" w:eastAsia="zh-CN"/>
              </w:rPr>
              <w:t>、有效的营业执照；</w:t>
            </w:r>
          </w:p>
          <w:p>
            <w:pPr>
              <w:pStyle w:val="4"/>
              <w:spacing w:line="240" w:lineRule="auto"/>
              <w:jc w:val="both"/>
              <w:rPr>
                <w:rFonts w:ascii="Times New Roman" w:hAnsi="Times New Roman" w:eastAsia="等线"/>
                <w:highlight w:val="none"/>
                <w:lang w:val="zh-CN" w:eastAsia="zh-CN"/>
              </w:rPr>
            </w:pPr>
            <w:r>
              <w:rPr>
                <w:rFonts w:ascii="Times New Roman" w:hAnsi="Times New Roman" w:eastAsia="Times New Roman"/>
                <w:highlight w:val="none"/>
                <w:lang w:val="zh-CN" w:eastAsia="zh-CN"/>
              </w:rPr>
              <w:t>2</w:t>
            </w:r>
            <w:r>
              <w:rPr>
                <w:rFonts w:cs="宋体"/>
                <w:highlight w:val="none"/>
                <w:lang w:val="zh-CN" w:eastAsia="zh-CN"/>
              </w:rPr>
              <w:t>、公路工程施工总承包三</w:t>
            </w:r>
            <w:r>
              <w:rPr>
                <w:rFonts w:hint="eastAsia" w:cs="宋体"/>
                <w:highlight w:val="none"/>
                <w:lang w:val="zh-CN" w:eastAsia="zh-CN"/>
              </w:rPr>
              <w:t>级及以上资质；</w:t>
            </w:r>
          </w:p>
          <w:p>
            <w:pPr>
              <w:pStyle w:val="4"/>
              <w:spacing w:line="240" w:lineRule="auto"/>
              <w:jc w:val="both"/>
              <w:rPr>
                <w:rFonts w:cs="宋体"/>
                <w:highlight w:val="none"/>
                <w:lang w:val="zh-CN" w:eastAsia="zh-CN"/>
              </w:rPr>
            </w:pPr>
            <w:r>
              <w:rPr>
                <w:rFonts w:ascii="Times New Roman" w:hAnsi="Times New Roman" w:eastAsia="Times New Roman"/>
                <w:highlight w:val="none"/>
                <w:lang w:val="zh-CN" w:eastAsia="zh-CN"/>
              </w:rPr>
              <w:t>3</w:t>
            </w:r>
            <w:r>
              <w:rPr>
                <w:rFonts w:cs="宋体"/>
                <w:highlight w:val="none"/>
                <w:lang w:val="zh-CN" w:eastAsia="zh-CN"/>
              </w:rPr>
              <w:t>、有效的安全生产许可证。</w:t>
            </w:r>
          </w:p>
        </w:tc>
      </w:tr>
    </w:tbl>
    <w:p>
      <w:pPr>
        <w:pStyle w:val="4"/>
        <w:spacing w:after="100" w:afterAutospacing="1" w:line="400" w:lineRule="atLeast"/>
        <w:rPr>
          <w:highlight w:val="none"/>
          <w:lang w:val="zh-CN" w:eastAsia="zh-CN"/>
        </w:rPr>
      </w:pPr>
      <w:r>
        <w:rPr>
          <w:rFonts w:ascii="黑体" w:hAnsi="黑体" w:eastAsia="黑体" w:cs="黑体"/>
          <w:sz w:val="21"/>
          <w:highlight w:val="none"/>
          <w:lang w:val="zh-CN" w:eastAsia="zh-CN"/>
        </w:rPr>
        <w:t>注：</w:t>
      </w:r>
      <w:r>
        <w:rPr>
          <w:rFonts w:ascii="Times New Roman" w:hAnsi="Times New Roman" w:eastAsia="Times New Roman"/>
          <w:sz w:val="21"/>
          <w:highlight w:val="none"/>
          <w:lang w:val="zh-CN" w:eastAsia="zh-CN"/>
        </w:rPr>
        <w:t>1</w:t>
      </w:r>
      <w:r>
        <w:rPr>
          <w:rFonts w:ascii="黑体" w:hAnsi="黑体" w:eastAsia="黑体" w:cs="黑体"/>
          <w:sz w:val="21"/>
          <w:highlight w:val="none"/>
          <w:lang w:val="zh-CN" w:eastAsia="zh-CN"/>
        </w:rPr>
        <w:t>、投标人应附企业法人营业执照副本</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全本</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、施工资质证书副本</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全本</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、安全生产许可证副本（全本）等材料的原件彩色扫描件。</w:t>
      </w:r>
    </w:p>
    <w:p>
      <w:pPr>
        <w:pStyle w:val="4"/>
        <w:spacing w:after="100" w:afterAutospacing="1" w:line="400" w:lineRule="atLeast"/>
        <w:ind w:firstLine="420"/>
        <w:rPr>
          <w:rFonts w:ascii="黑体" w:hAnsi="黑体" w:eastAsia="黑体" w:cs="黑体"/>
          <w:sz w:val="21"/>
          <w:highlight w:val="none"/>
          <w:lang w:val="zh-CN" w:eastAsia="zh-CN"/>
        </w:rPr>
      </w:pPr>
      <w:r>
        <w:rPr>
          <w:rFonts w:ascii="Times New Roman" w:hAnsi="Times New Roman" w:eastAsia="Times New Roman"/>
          <w:sz w:val="21"/>
          <w:highlight w:val="none"/>
          <w:lang w:val="zh-CN" w:eastAsia="zh-CN"/>
        </w:rPr>
        <w:t>2</w:t>
      </w:r>
      <w:r>
        <w:rPr>
          <w:rFonts w:ascii="黑体" w:hAnsi="黑体" w:eastAsia="黑体" w:cs="黑体"/>
          <w:sz w:val="21"/>
          <w:highlight w:val="none"/>
          <w:lang w:val="zh-CN" w:eastAsia="zh-CN"/>
        </w:rPr>
        <w:t>、对于法人发生重组或变更的投标人，应在本表后附有法人重组或变更时相关部门的合法批件、变更时的企业法人营业执照和资质证书的副本变更记录彩色扫描件。</w:t>
      </w:r>
    </w:p>
    <w:p>
      <w:pPr>
        <w:pStyle w:val="4"/>
        <w:spacing w:after="100" w:afterAutospacing="1" w:line="400" w:lineRule="atLeast"/>
        <w:ind w:firstLine="420"/>
        <w:rPr>
          <w:rFonts w:hint="eastAsia"/>
          <w:highlight w:val="none"/>
          <w:lang w:val="zh-CN" w:eastAsia="zh-CN"/>
        </w:rPr>
      </w:pPr>
      <w:r>
        <w:rPr>
          <w:rFonts w:hint="eastAsia" w:ascii="黑体" w:hAnsi="黑体" w:eastAsia="黑体" w:cs="黑体"/>
          <w:sz w:val="21"/>
          <w:highlight w:val="none"/>
          <w:lang w:val="zh-CN" w:eastAsia="zh-CN"/>
        </w:rPr>
        <w:t>3、根据《住房和城乡建设部办公厅关于做好建筑业“证照分离”改革衔接有关工作的通知》建办市〔2021〕30号 “2021年7月1日至新的建设工程企业资质标准实施之日止，投标人公路工程施工总承包三级资质证书有效期届满的，统一延期至新的建设工程企业资质标准实施之日”的规定，本项目投标人资质存在上述情况的视为有效。</w:t>
      </w:r>
    </w:p>
    <w:p>
      <w:pPr>
        <w:pStyle w:val="4"/>
        <w:spacing w:after="100" w:afterAutospacing="1" w:line="400" w:lineRule="atLeast"/>
        <w:jc w:val="center"/>
        <w:rPr>
          <w:rFonts w:hint="eastAsia"/>
          <w:highlight w:val="none"/>
          <w:lang w:val="zh-CN" w:eastAsia="zh-CN"/>
        </w:rPr>
      </w:pPr>
      <w:r>
        <w:rPr>
          <w:rFonts w:ascii="Times New Roman" w:hAnsi="Times New Roman" w:eastAsia="Times New Roman"/>
          <w:sz w:val="21"/>
          <w:highlight w:val="none"/>
          <w:lang w:val="zh-CN" w:eastAsia="zh-CN"/>
        </w:rPr>
        <w:br w:type="page"/>
      </w:r>
      <w:r>
        <w:rPr>
          <w:rFonts w:ascii="黑体" w:hAnsi="黑体" w:eastAsia="黑体" w:cs="黑体"/>
          <w:highlight w:val="none"/>
          <w:lang w:val="zh-CN" w:eastAsia="zh-CN"/>
        </w:rPr>
        <w:t>附录</w:t>
      </w:r>
      <w:r>
        <w:rPr>
          <w:rFonts w:ascii="Times New Roman" w:hAnsi="Times New Roman" w:eastAsia="Times New Roman"/>
          <w:highlight w:val="none"/>
          <w:lang w:val="zh-CN" w:eastAsia="zh-CN"/>
        </w:rPr>
        <w:t xml:space="preserve">2 </w:t>
      </w:r>
      <w:r>
        <w:rPr>
          <w:rFonts w:ascii="黑体" w:hAnsi="黑体" w:eastAsia="黑体" w:cs="黑体"/>
          <w:highlight w:val="none"/>
          <w:lang w:val="zh-CN" w:eastAsia="zh-CN"/>
        </w:rPr>
        <w:t>资格审查条件</w:t>
      </w:r>
      <w:r>
        <w:rPr>
          <w:rFonts w:ascii="Times New Roman" w:hAnsi="Times New Roman" w:eastAsia="Times New Roman"/>
          <w:highlight w:val="none"/>
          <w:lang w:val="zh-CN" w:eastAsia="zh-CN"/>
        </w:rPr>
        <w:t>(</w:t>
      </w:r>
      <w:r>
        <w:rPr>
          <w:rFonts w:ascii="黑体" w:hAnsi="黑体" w:eastAsia="黑体" w:cs="黑体"/>
          <w:highlight w:val="none"/>
          <w:lang w:val="zh-CN" w:eastAsia="zh-CN"/>
        </w:rPr>
        <w:t>财务最低要求</w:t>
      </w:r>
      <w:r>
        <w:rPr>
          <w:rFonts w:ascii="Times New Roman" w:hAnsi="Times New Roman" w:eastAsia="Times New Roman"/>
          <w:highlight w:val="none"/>
          <w:lang w:val="zh-CN" w:eastAsia="zh-CN"/>
        </w:rPr>
        <w:t>)</w:t>
      </w:r>
    </w:p>
    <w:tbl>
      <w:tblPr>
        <w:tblStyle w:val="2"/>
        <w:tblW w:w="9174"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1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1" w:hRule="atLeast"/>
        </w:trPr>
        <w:tc>
          <w:tcPr>
            <w:tcW w:w="917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00" w:lineRule="atLeast"/>
              <w:jc w:val="center"/>
              <w:rPr>
                <w:rFonts w:cs="宋体"/>
                <w:highlight w:val="none"/>
                <w:lang w:val="zh-CN" w:eastAsia="zh-CN"/>
              </w:rPr>
            </w:pPr>
            <w:r>
              <w:rPr>
                <w:rFonts w:ascii="Times New Roman" w:hAnsi="Times New Roman" w:eastAsia="Times New Roman"/>
                <w:highlight w:val="none"/>
                <w:lang w:val="zh-CN" w:eastAsia="zh-CN"/>
              </w:rPr>
              <w:t>财务</w:t>
            </w:r>
            <w:r>
              <w:rPr>
                <w:rFonts w:hint="eastAsia" w:cs="宋体"/>
                <w:highlight w:val="none"/>
                <w:lang w:val="zh-CN" w:eastAsia="zh-CN"/>
              </w:rPr>
              <w:t>最低</w:t>
            </w:r>
            <w:r>
              <w:rPr>
                <w:rFonts w:ascii="Times New Roman" w:hAnsi="Times New Roman" w:eastAsia="Times New Roman"/>
                <w:highlight w:val="none"/>
                <w:lang w:val="zh-CN" w:eastAsia="zh-CN"/>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85" w:hRule="atLeast"/>
        </w:trPr>
        <w:tc>
          <w:tcPr>
            <w:tcW w:w="917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360" w:lineRule="atLeast"/>
              <w:jc w:val="both"/>
              <w:rPr>
                <w:rFonts w:cs="宋体"/>
                <w:highlight w:val="none"/>
                <w:lang w:val="zh-CN" w:eastAsia="zh-CN"/>
              </w:rPr>
            </w:pPr>
            <w:r>
              <w:rPr>
                <w:rFonts w:cs="宋体"/>
                <w:highlight w:val="none"/>
                <w:lang w:val="zh-CN" w:eastAsia="zh-CN"/>
              </w:rPr>
              <w:t>投标人</w:t>
            </w:r>
            <w:r>
              <w:rPr>
                <w:rFonts w:ascii="Times New Roman" w:hAnsi="Times New Roman" w:eastAsia="Times New Roman"/>
                <w:highlight w:val="none"/>
                <w:lang w:val="zh-CN" w:eastAsia="zh-CN"/>
              </w:rPr>
              <w:t>20</w:t>
            </w:r>
            <w:r>
              <w:rPr>
                <w:rFonts w:ascii="Times New Roman" w:hAnsi="Times New Roman" w:eastAsia="等线"/>
                <w:highlight w:val="none"/>
                <w:lang w:val="zh-CN" w:eastAsia="zh-CN"/>
              </w:rPr>
              <w:t>18</w:t>
            </w:r>
            <w:r>
              <w:rPr>
                <w:rFonts w:cs="宋体"/>
                <w:highlight w:val="none"/>
                <w:lang w:val="zh-CN" w:eastAsia="zh-CN"/>
              </w:rPr>
              <w:t>年、</w:t>
            </w:r>
            <w:r>
              <w:rPr>
                <w:rFonts w:ascii="Times New Roman" w:hAnsi="Times New Roman" w:eastAsia="Times New Roman"/>
                <w:highlight w:val="none"/>
                <w:lang w:val="zh-CN" w:eastAsia="zh-CN"/>
              </w:rPr>
              <w:t>20</w:t>
            </w:r>
            <w:r>
              <w:rPr>
                <w:rFonts w:ascii="Times New Roman" w:hAnsi="Times New Roman" w:eastAsia="等线"/>
                <w:highlight w:val="none"/>
                <w:lang w:val="zh-CN" w:eastAsia="zh-CN"/>
              </w:rPr>
              <w:t>19</w:t>
            </w:r>
            <w:r>
              <w:rPr>
                <w:rFonts w:cs="宋体"/>
                <w:highlight w:val="none"/>
                <w:lang w:val="zh-CN" w:eastAsia="zh-CN"/>
              </w:rPr>
              <w:t>年、</w:t>
            </w:r>
            <w:r>
              <w:rPr>
                <w:rFonts w:ascii="Times New Roman" w:hAnsi="Times New Roman" w:eastAsia="Times New Roman"/>
                <w:highlight w:val="none"/>
                <w:lang w:val="zh-CN" w:eastAsia="zh-CN"/>
              </w:rPr>
              <w:t>20</w:t>
            </w:r>
            <w:r>
              <w:rPr>
                <w:rFonts w:ascii="Times New Roman" w:hAnsi="Times New Roman" w:eastAsia="等线"/>
                <w:highlight w:val="none"/>
                <w:lang w:val="zh-CN" w:eastAsia="zh-CN"/>
              </w:rPr>
              <w:t>20</w:t>
            </w:r>
            <w:r>
              <w:rPr>
                <w:rFonts w:cs="宋体"/>
                <w:highlight w:val="none"/>
                <w:lang w:val="zh-CN" w:eastAsia="zh-CN"/>
              </w:rPr>
              <w:t>年每年的流动资产与流动负债的比均不应小于</w:t>
            </w:r>
            <w:r>
              <w:rPr>
                <w:rFonts w:ascii="Times New Roman" w:hAnsi="Times New Roman" w:eastAsia="Times New Roman"/>
                <w:highlight w:val="none"/>
                <w:lang w:val="zh-CN" w:eastAsia="zh-CN"/>
              </w:rPr>
              <w:t>1</w:t>
            </w:r>
            <w:r>
              <w:rPr>
                <w:rFonts w:cs="宋体"/>
                <w:highlight w:val="none"/>
                <w:lang w:val="zh-CN" w:eastAsia="zh-CN"/>
              </w:rPr>
              <w:t>。</w:t>
            </w:r>
          </w:p>
        </w:tc>
      </w:tr>
    </w:tbl>
    <w:p>
      <w:pPr>
        <w:pStyle w:val="4"/>
        <w:spacing w:after="100" w:afterAutospacing="1" w:line="400" w:lineRule="atLeast"/>
        <w:jc w:val="center"/>
        <w:rPr>
          <w:rFonts w:hint="eastAsia"/>
          <w:highlight w:val="none"/>
          <w:lang w:val="zh-CN" w:eastAsia="zh-CN"/>
        </w:rPr>
      </w:pPr>
      <w:r>
        <w:rPr>
          <w:rFonts w:ascii="黑体" w:hAnsi="黑体" w:eastAsia="黑体" w:cs="黑体"/>
          <w:sz w:val="21"/>
          <w:highlight w:val="none"/>
          <w:lang w:val="zh-CN" w:eastAsia="zh-CN"/>
        </w:rPr>
        <w:t>注：投标人应提供2018年、</w:t>
      </w:r>
      <w:r>
        <w:rPr>
          <w:rFonts w:ascii="Times New Roman" w:hAnsi="Times New Roman" w:eastAsia="Times New Roman"/>
          <w:sz w:val="21"/>
          <w:highlight w:val="none"/>
          <w:lang w:val="zh-CN" w:eastAsia="zh-CN"/>
        </w:rPr>
        <w:t>20</w:t>
      </w:r>
      <w:r>
        <w:rPr>
          <w:rFonts w:ascii="Times New Roman" w:hAnsi="Times New Roman" w:eastAsia="等线"/>
          <w:sz w:val="21"/>
          <w:highlight w:val="none"/>
          <w:lang w:val="zh-CN" w:eastAsia="zh-CN"/>
        </w:rPr>
        <w:t>19</w:t>
      </w:r>
      <w:r>
        <w:rPr>
          <w:rFonts w:ascii="黑体" w:hAnsi="黑体" w:eastAsia="黑体" w:cs="黑体"/>
          <w:sz w:val="21"/>
          <w:highlight w:val="none"/>
          <w:lang w:val="zh-CN" w:eastAsia="zh-CN"/>
        </w:rPr>
        <w:t>年、</w:t>
      </w:r>
      <w:r>
        <w:rPr>
          <w:rFonts w:ascii="Times New Roman" w:hAnsi="Times New Roman" w:eastAsia="Times New Roman"/>
          <w:sz w:val="21"/>
          <w:highlight w:val="none"/>
          <w:lang w:val="zh-CN" w:eastAsia="zh-CN"/>
        </w:rPr>
        <w:t>20</w:t>
      </w:r>
      <w:r>
        <w:rPr>
          <w:rFonts w:ascii="Times New Roman" w:hAnsi="Times New Roman" w:eastAsia="等线"/>
          <w:sz w:val="21"/>
          <w:highlight w:val="none"/>
          <w:lang w:val="zh-CN" w:eastAsia="zh-CN"/>
        </w:rPr>
        <w:t>20</w:t>
      </w:r>
      <w:r>
        <w:rPr>
          <w:rFonts w:ascii="黑体" w:hAnsi="黑体" w:eastAsia="黑体" w:cs="黑体"/>
          <w:sz w:val="21"/>
          <w:highlight w:val="none"/>
          <w:lang w:val="zh-CN" w:eastAsia="zh-CN"/>
        </w:rPr>
        <w:t>年财务报表（包括财务报表说明、资产负债表、现金流量表、利润及利润分配表（或损益表）及其他财务资料）及由独立于投标人的会计师事务所出具的相应年度审计报告的原件彩色扫描件。</w:t>
      </w:r>
      <w:r>
        <w:rPr>
          <w:rFonts w:ascii="Times New Roman" w:hAnsi="Times New Roman" w:eastAsia="Times New Roman"/>
          <w:highlight w:val="none"/>
          <w:lang w:val="zh-CN" w:eastAsia="zh-CN"/>
        </w:rPr>
        <w:br w:type="page"/>
      </w:r>
      <w:r>
        <w:rPr>
          <w:rFonts w:ascii="黑体" w:hAnsi="黑体" w:eastAsia="黑体" w:cs="黑体"/>
          <w:highlight w:val="none"/>
          <w:lang w:val="zh-CN" w:eastAsia="zh-CN"/>
        </w:rPr>
        <w:t>附录</w:t>
      </w:r>
      <w:r>
        <w:rPr>
          <w:rFonts w:ascii="Times New Roman" w:hAnsi="Times New Roman" w:eastAsia="Times New Roman"/>
          <w:highlight w:val="none"/>
          <w:lang w:val="zh-CN" w:eastAsia="zh-CN"/>
        </w:rPr>
        <w:t xml:space="preserve">3 </w:t>
      </w:r>
      <w:r>
        <w:rPr>
          <w:rFonts w:ascii="黑体" w:hAnsi="黑体" w:eastAsia="黑体" w:cs="黑体"/>
          <w:highlight w:val="none"/>
          <w:lang w:val="zh-CN" w:eastAsia="zh-CN"/>
        </w:rPr>
        <w:t>资格审查条件</w:t>
      </w:r>
      <w:r>
        <w:rPr>
          <w:rFonts w:ascii="Times New Roman" w:hAnsi="Times New Roman" w:eastAsia="Times New Roman"/>
          <w:highlight w:val="none"/>
          <w:lang w:val="zh-CN" w:eastAsia="zh-CN"/>
        </w:rPr>
        <w:t>(</w:t>
      </w:r>
      <w:r>
        <w:rPr>
          <w:rFonts w:ascii="黑体" w:hAnsi="黑体" w:eastAsia="黑体" w:cs="黑体"/>
          <w:highlight w:val="none"/>
          <w:lang w:val="zh-CN" w:eastAsia="zh-CN"/>
        </w:rPr>
        <w:t>业绩最低要求</w:t>
      </w:r>
      <w:r>
        <w:rPr>
          <w:rFonts w:ascii="Times New Roman" w:hAnsi="Times New Roman" w:eastAsia="Times New Roman"/>
          <w:highlight w:val="none"/>
          <w:lang w:val="zh-CN" w:eastAsia="zh-CN"/>
        </w:rPr>
        <w:t>)</w:t>
      </w:r>
    </w:p>
    <w:tbl>
      <w:tblPr>
        <w:tblStyle w:val="2"/>
        <w:tblW w:w="9174"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1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17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00" w:lineRule="atLeast"/>
              <w:jc w:val="center"/>
              <w:rPr>
                <w:rFonts w:cs="宋体"/>
                <w:highlight w:val="none"/>
                <w:lang w:val="zh-CN" w:eastAsia="zh-CN"/>
              </w:rPr>
            </w:pPr>
            <w:r>
              <w:rPr>
                <w:rFonts w:hint="eastAsia" w:cs="宋体"/>
                <w:highlight w:val="none"/>
                <w:lang w:val="zh-CN" w:eastAsia="zh-CN"/>
              </w:rPr>
              <w:t>业</w:t>
            </w:r>
            <w:r>
              <w:rPr>
                <w:rFonts w:ascii="Times New Roman" w:hAnsi="Times New Roman" w:eastAsia="Times New Roman"/>
                <w:highlight w:val="none"/>
                <w:lang w:val="zh-CN" w:eastAsia="zh-CN"/>
              </w:rPr>
              <w:t>绩</w:t>
            </w:r>
            <w:r>
              <w:rPr>
                <w:rFonts w:hint="eastAsia" w:cs="宋体"/>
                <w:highlight w:val="none"/>
                <w:lang w:val="zh-CN" w:eastAsia="zh-CN"/>
              </w:rPr>
              <w:t>最低</w:t>
            </w:r>
            <w:r>
              <w:rPr>
                <w:rFonts w:ascii="Times New Roman" w:hAnsi="Times New Roman" w:eastAsia="Times New Roman"/>
                <w:highlight w:val="none"/>
                <w:lang w:val="zh-CN" w:eastAsia="zh-CN"/>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96" w:hRule="atLeast"/>
        </w:trPr>
        <w:tc>
          <w:tcPr>
            <w:tcW w:w="917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after="100" w:afterAutospacing="1" w:line="360" w:lineRule="atLeast"/>
              <w:jc w:val="center"/>
              <w:rPr>
                <w:rFonts w:hint="eastAsia" w:cs="宋体"/>
                <w:highlight w:val="none"/>
                <w:lang w:val="zh-CN" w:eastAsia="zh-CN"/>
              </w:rPr>
            </w:pPr>
            <w:r>
              <w:rPr>
                <w:rFonts w:hint="eastAsia" w:ascii="等线" w:hAnsi="等线" w:eastAsia="等线"/>
                <w:highlight w:val="none"/>
                <w:lang w:val="zh-CN" w:eastAsia="zh-CN"/>
              </w:rPr>
              <w:t>/</w:t>
            </w:r>
          </w:p>
        </w:tc>
      </w:tr>
    </w:tbl>
    <w:p>
      <w:pPr>
        <w:pStyle w:val="4"/>
        <w:spacing w:after="240" w:line="400" w:lineRule="atLeast"/>
        <w:ind w:left="539" w:hanging="344"/>
        <w:jc w:val="center"/>
        <w:rPr>
          <w:rFonts w:hint="eastAsia"/>
          <w:highlight w:val="none"/>
          <w:lang w:val="zh-CN" w:eastAsia="zh-CN"/>
        </w:rPr>
      </w:pPr>
      <w:r>
        <w:rPr>
          <w:rFonts w:ascii="Times New Roman" w:hAnsi="Times New Roman" w:eastAsia="Times New Roman"/>
          <w:sz w:val="21"/>
          <w:highlight w:val="none"/>
          <w:lang w:val="zh-CN" w:eastAsia="zh-CN"/>
        </w:rPr>
        <w:br w:type="page"/>
      </w:r>
      <w:bookmarkStart w:id="0" w:name="_GoBack"/>
      <w:bookmarkEnd w:id="0"/>
      <w:r>
        <w:rPr>
          <w:rFonts w:ascii="黑体" w:hAnsi="黑体" w:eastAsia="黑体" w:cs="黑体"/>
          <w:highlight w:val="none"/>
          <w:lang w:val="zh-CN" w:eastAsia="zh-CN"/>
        </w:rPr>
        <w:t>附录</w:t>
      </w:r>
      <w:r>
        <w:rPr>
          <w:rFonts w:ascii="Times New Roman" w:hAnsi="Times New Roman" w:eastAsia="Times New Roman"/>
          <w:highlight w:val="none"/>
          <w:lang w:val="zh-CN" w:eastAsia="zh-CN"/>
        </w:rPr>
        <w:t xml:space="preserve">4 </w:t>
      </w:r>
      <w:r>
        <w:rPr>
          <w:rFonts w:ascii="黑体" w:hAnsi="黑体" w:eastAsia="黑体" w:cs="黑体"/>
          <w:highlight w:val="none"/>
          <w:lang w:val="zh-CN" w:eastAsia="zh-CN"/>
        </w:rPr>
        <w:t>资格审查条件</w:t>
      </w:r>
      <w:r>
        <w:rPr>
          <w:rFonts w:ascii="Times New Roman" w:hAnsi="Times New Roman" w:eastAsia="Times New Roman"/>
          <w:highlight w:val="none"/>
          <w:lang w:val="zh-CN" w:eastAsia="zh-CN"/>
        </w:rPr>
        <w:t>(</w:t>
      </w:r>
      <w:r>
        <w:rPr>
          <w:rFonts w:ascii="黑体" w:hAnsi="黑体" w:eastAsia="黑体" w:cs="黑体"/>
          <w:highlight w:val="none"/>
          <w:lang w:val="zh-CN" w:eastAsia="zh-CN"/>
        </w:rPr>
        <w:t>信誉最低要求</w:t>
      </w:r>
      <w:r>
        <w:rPr>
          <w:rFonts w:ascii="Times New Roman" w:hAnsi="Times New Roman" w:eastAsia="Times New Roman"/>
          <w:highlight w:val="none"/>
          <w:lang w:val="zh-CN" w:eastAsia="zh-CN"/>
        </w:rPr>
        <w:t>)</w:t>
      </w:r>
    </w:p>
    <w:tbl>
      <w:tblPr>
        <w:tblStyle w:val="2"/>
        <w:tblW w:w="9174" w:type="dxa"/>
        <w:tblInd w:w="21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1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7" w:hRule="atLeast"/>
        </w:trPr>
        <w:tc>
          <w:tcPr>
            <w:tcW w:w="917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00" w:lineRule="atLeast"/>
              <w:jc w:val="center"/>
              <w:rPr>
                <w:rFonts w:cs="宋体"/>
                <w:highlight w:val="none"/>
                <w:lang w:val="zh-CN" w:eastAsia="zh-CN"/>
              </w:rPr>
            </w:pPr>
            <w:r>
              <w:rPr>
                <w:rFonts w:hint="eastAsia" w:cs="宋体"/>
                <w:highlight w:val="none"/>
                <w:lang w:val="zh-CN" w:eastAsia="zh-CN"/>
              </w:rPr>
              <w:t>信</w:t>
            </w:r>
            <w:r>
              <w:rPr>
                <w:rFonts w:ascii="Times New Roman" w:hAnsi="Times New Roman" w:eastAsia="Times New Roman"/>
                <w:highlight w:val="none"/>
                <w:lang w:val="zh-CN" w:eastAsia="zh-CN"/>
              </w:rPr>
              <w:t>誉要求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192" w:hRule="atLeast"/>
        </w:trPr>
        <w:tc>
          <w:tcPr>
            <w:tcW w:w="917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rPr>
                <w:rFonts w:cs="宋体"/>
                <w:highlight w:val="none"/>
                <w:lang w:val="zh-CN" w:eastAsia="zh-CN"/>
              </w:rPr>
            </w:pPr>
            <w:r>
              <w:rPr>
                <w:rFonts w:cs="宋体"/>
                <w:highlight w:val="none"/>
                <w:lang w:val="zh-CN" w:eastAsia="zh-CN"/>
              </w:rPr>
              <w:t>1、投标人没有正受到责令停产、停业的行政处罚或正处于财务被接管、破产的状态；</w:t>
            </w:r>
          </w:p>
          <w:p>
            <w:pPr>
              <w:pStyle w:val="4"/>
              <w:spacing w:line="440" w:lineRule="atLeast"/>
              <w:rPr>
                <w:rFonts w:cs="宋体"/>
                <w:highlight w:val="none"/>
                <w:lang w:val="zh-CN" w:eastAsia="zh-CN"/>
              </w:rPr>
            </w:pPr>
            <w:r>
              <w:rPr>
                <w:rFonts w:cs="宋体"/>
                <w:highlight w:val="none"/>
                <w:lang w:val="zh-CN" w:eastAsia="zh-CN"/>
              </w:rPr>
              <w:t>2、投标人没有被交通运输主管部门或其他有权作出处罚的部门作出取消在湖北省及宜昌市交通建设市场投标资格或禁止进入湖北省及宜昌市公路建设市场的处罚且处于有效期内；</w:t>
            </w:r>
          </w:p>
          <w:p>
            <w:pPr>
              <w:pStyle w:val="4"/>
              <w:spacing w:line="440" w:lineRule="atLeast"/>
              <w:rPr>
                <w:rFonts w:cs="宋体"/>
                <w:highlight w:val="none"/>
                <w:lang w:val="zh-CN" w:eastAsia="zh-CN"/>
              </w:rPr>
            </w:pPr>
            <w:r>
              <w:rPr>
                <w:rFonts w:cs="宋体"/>
                <w:highlight w:val="none"/>
                <w:lang w:val="zh-CN" w:eastAsia="zh-CN"/>
              </w:rPr>
              <w:t>3、</w:t>
            </w:r>
            <w:r>
              <w:rPr>
                <w:rFonts w:hint="eastAsia" w:cs="宋体"/>
                <w:highlight w:val="none"/>
                <w:lang w:val="zh-CN" w:eastAsia="zh-CN"/>
              </w:rPr>
              <w:t>投标人在交通运输部《2020年度公路施工企业全国综合信用评价结果》中信用等级未被列为D级，且在湖北省交通运输厅《2020年度湖北省高速公路建设施工企业信用等级表》、《湖北省20</w:t>
            </w:r>
            <w:r>
              <w:rPr>
                <w:rFonts w:cs="宋体"/>
                <w:highlight w:val="none"/>
                <w:lang w:val="zh-CN" w:eastAsia="zh-CN"/>
              </w:rPr>
              <w:t>20</w:t>
            </w:r>
            <w:r>
              <w:rPr>
                <w:rFonts w:hint="eastAsia" w:cs="宋体"/>
                <w:highlight w:val="none"/>
                <w:lang w:val="zh-CN" w:eastAsia="zh-CN"/>
              </w:rPr>
              <w:t>年度普通公路施工企业信用等级表》中也未被列为D级。</w:t>
            </w:r>
          </w:p>
          <w:p>
            <w:pPr>
              <w:pStyle w:val="4"/>
              <w:spacing w:line="440" w:lineRule="atLeast"/>
              <w:rPr>
                <w:rFonts w:cs="宋体"/>
                <w:highlight w:val="none"/>
                <w:lang w:val="zh-CN" w:eastAsia="zh-CN"/>
              </w:rPr>
            </w:pPr>
            <w:r>
              <w:rPr>
                <w:rFonts w:cs="宋体"/>
                <w:highlight w:val="none"/>
                <w:lang w:val="zh-CN" w:eastAsia="zh-CN"/>
              </w:rPr>
              <w:t>4、投标人不得存在下列不良状况或不良信用记录：</w:t>
            </w:r>
          </w:p>
          <w:p>
            <w:pPr>
              <w:pStyle w:val="4"/>
              <w:spacing w:line="440" w:lineRule="atLeast"/>
              <w:rPr>
                <w:rFonts w:cs="宋体"/>
                <w:highlight w:val="none"/>
                <w:lang w:val="zh-CN" w:eastAsia="zh-CN"/>
              </w:rPr>
            </w:pPr>
            <w:r>
              <w:rPr>
                <w:rFonts w:cs="宋体"/>
                <w:highlight w:val="none"/>
                <w:lang w:val="zh-CN" w:eastAsia="zh-CN"/>
              </w:rPr>
              <w:t>（</w:t>
            </w:r>
            <w:r>
              <w:rPr>
                <w:rFonts w:ascii="Times New Roman" w:hAnsi="Times New Roman" w:eastAsia="Times New Roman"/>
                <w:highlight w:val="none"/>
                <w:lang w:val="zh-CN" w:eastAsia="zh-CN"/>
              </w:rPr>
              <w:t>1</w:t>
            </w:r>
            <w:r>
              <w:rPr>
                <w:rFonts w:cs="宋体"/>
                <w:highlight w:val="none"/>
                <w:lang w:val="zh-CN" w:eastAsia="zh-CN"/>
              </w:rPr>
              <w:t>）在国家企业信用信息公示系统（</w:t>
            </w:r>
            <w:r>
              <w:rPr>
                <w:rFonts w:ascii="Times New Roman" w:hAnsi="Times New Roman" w:eastAsia="Times New Roman"/>
                <w:highlight w:val="none"/>
                <w:lang w:val="zh-CN" w:eastAsia="zh-CN"/>
              </w:rPr>
              <w:t>http://www.gsxt.gov.cn/</w:t>
            </w:r>
            <w:r>
              <w:rPr>
                <w:rFonts w:cs="宋体"/>
                <w:highlight w:val="none"/>
                <w:lang w:val="zh-CN" w:eastAsia="zh-CN"/>
              </w:rPr>
              <w:t>）中被列入严重违法失信企业名单的；</w:t>
            </w:r>
          </w:p>
          <w:p>
            <w:pPr>
              <w:pStyle w:val="4"/>
              <w:spacing w:line="440" w:lineRule="atLeast"/>
              <w:rPr>
                <w:rFonts w:cs="宋体"/>
                <w:highlight w:val="none"/>
                <w:lang w:val="zh-CN" w:eastAsia="zh-CN"/>
              </w:rPr>
            </w:pPr>
            <w:r>
              <w:rPr>
                <w:rFonts w:cs="宋体"/>
                <w:highlight w:val="none"/>
                <w:lang w:val="zh-CN" w:eastAsia="zh-CN"/>
              </w:rPr>
              <w:t>（</w:t>
            </w:r>
            <w:r>
              <w:rPr>
                <w:rFonts w:ascii="Times New Roman" w:hAnsi="Times New Roman" w:eastAsia="Times New Roman"/>
                <w:highlight w:val="none"/>
                <w:lang w:val="zh-CN" w:eastAsia="zh-CN"/>
              </w:rPr>
              <w:t>2</w:t>
            </w:r>
            <w:r>
              <w:rPr>
                <w:rFonts w:cs="宋体"/>
                <w:highlight w:val="none"/>
                <w:lang w:val="zh-CN" w:eastAsia="zh-CN"/>
              </w:rPr>
              <w:t>）在“中国执行信息公开网”（</w:t>
            </w:r>
            <w:r>
              <w:rPr>
                <w:rFonts w:ascii="Times New Roman" w:hAnsi="Times New Roman" w:eastAsia="Times New Roman"/>
                <w:highlight w:val="none"/>
                <w:lang w:val="zh-CN" w:eastAsia="zh-CN"/>
              </w:rPr>
              <w:t>http://zxgk.court.gov.cn/</w:t>
            </w:r>
            <w:r>
              <w:rPr>
                <w:rFonts w:cs="宋体"/>
                <w:highlight w:val="none"/>
                <w:lang w:val="zh-CN" w:eastAsia="zh-CN"/>
              </w:rPr>
              <w:t>）中被列入失信被执行人名单；</w:t>
            </w:r>
          </w:p>
          <w:p>
            <w:pPr>
              <w:pStyle w:val="4"/>
              <w:spacing w:line="440" w:lineRule="atLeast"/>
              <w:rPr>
                <w:rFonts w:cs="宋体"/>
                <w:highlight w:val="none"/>
                <w:lang w:val="zh-CN" w:eastAsia="zh-CN"/>
              </w:rPr>
            </w:pPr>
            <w:r>
              <w:rPr>
                <w:rFonts w:cs="宋体"/>
                <w:highlight w:val="none"/>
                <w:lang w:val="zh-CN" w:eastAsia="zh-CN"/>
              </w:rPr>
              <w:t>（</w:t>
            </w:r>
            <w:r>
              <w:rPr>
                <w:rFonts w:ascii="Times New Roman" w:hAnsi="Times New Roman" w:eastAsia="Times New Roman"/>
                <w:highlight w:val="none"/>
                <w:lang w:val="zh-CN" w:eastAsia="zh-CN"/>
              </w:rPr>
              <w:t>3</w:t>
            </w:r>
            <w:r>
              <w:rPr>
                <w:rFonts w:cs="宋体"/>
                <w:highlight w:val="none"/>
                <w:lang w:val="zh-CN" w:eastAsia="zh-CN"/>
              </w:rPr>
              <w:t>）其他在“信用中国”网站（</w:t>
            </w:r>
            <w:r>
              <w:rPr>
                <w:rFonts w:ascii="Times New Roman" w:hAnsi="Times New Roman" w:eastAsia="Times New Roman"/>
                <w:highlight w:val="none"/>
                <w:lang w:val="zh-CN" w:eastAsia="zh-CN"/>
              </w:rPr>
              <w:t>http://www.creditchina.gov.cn/</w:t>
            </w:r>
            <w:r>
              <w:rPr>
                <w:rFonts w:cs="宋体"/>
                <w:highlight w:val="none"/>
                <w:lang w:val="zh-CN" w:eastAsia="zh-CN"/>
              </w:rPr>
              <w:t>）中被列为失信惩戒对象，且按联合惩戒要求禁止参与招投标的。</w:t>
            </w:r>
          </w:p>
          <w:p>
            <w:pPr>
              <w:pStyle w:val="4"/>
              <w:spacing w:line="440" w:lineRule="atLeast"/>
              <w:rPr>
                <w:rFonts w:cs="宋体"/>
                <w:highlight w:val="none"/>
                <w:lang w:val="zh-CN" w:eastAsia="zh-CN"/>
              </w:rPr>
            </w:pPr>
            <w:r>
              <w:rPr>
                <w:rFonts w:cs="宋体"/>
                <w:highlight w:val="none"/>
                <w:lang w:val="zh-CN" w:eastAsia="zh-CN"/>
              </w:rPr>
              <w:t>（</w:t>
            </w:r>
            <w:r>
              <w:rPr>
                <w:rFonts w:ascii="Times New Roman" w:hAnsi="Times New Roman" w:eastAsia="Times New Roman"/>
                <w:highlight w:val="none"/>
                <w:lang w:val="zh-CN" w:eastAsia="zh-CN"/>
              </w:rPr>
              <w:t>4</w:t>
            </w:r>
            <w:r>
              <w:rPr>
                <w:rFonts w:cs="宋体"/>
                <w:highlight w:val="none"/>
                <w:lang w:val="zh-CN" w:eastAsia="zh-CN"/>
              </w:rPr>
              <w:t>）在“湖北省公共资源招标投标信用信息平台”被列入信用黑名单的投标人。</w:t>
            </w:r>
          </w:p>
          <w:p>
            <w:pPr>
              <w:pStyle w:val="4"/>
              <w:spacing w:line="440" w:lineRule="atLeast"/>
              <w:jc w:val="both"/>
              <w:rPr>
                <w:rFonts w:cs="宋体"/>
                <w:highlight w:val="none"/>
                <w:lang w:val="zh-CN" w:eastAsia="zh-CN"/>
              </w:rPr>
            </w:pPr>
            <w:r>
              <w:rPr>
                <w:rFonts w:cs="宋体"/>
                <w:highlight w:val="none"/>
                <w:lang w:val="zh-CN" w:eastAsia="zh-CN"/>
              </w:rPr>
              <w:t>5、投标人或其法定代表人、拟委任的项目经理在近三年（</w:t>
            </w:r>
            <w:r>
              <w:rPr>
                <w:rFonts w:ascii="Times New Roman" w:hAnsi="Times New Roman" w:eastAsia="Times New Roman"/>
                <w:highlight w:val="none"/>
                <w:lang w:val="zh-CN" w:eastAsia="zh-CN"/>
              </w:rPr>
              <w:t>201</w:t>
            </w:r>
            <w:r>
              <w:rPr>
                <w:rFonts w:ascii="Times New Roman" w:hAnsi="Times New Roman" w:eastAsia="等线"/>
                <w:highlight w:val="none"/>
                <w:lang w:val="zh-CN" w:eastAsia="zh-CN"/>
              </w:rPr>
              <w:t>9</w:t>
            </w:r>
            <w:r>
              <w:rPr>
                <w:rFonts w:cs="宋体"/>
                <w:highlight w:val="none"/>
                <w:lang w:val="zh-CN" w:eastAsia="zh-CN"/>
              </w:rPr>
              <w:t>年</w:t>
            </w:r>
            <w:r>
              <w:rPr>
                <w:rFonts w:ascii="Times New Roman" w:hAnsi="Times New Roman" w:eastAsia="Times New Roman"/>
                <w:highlight w:val="none"/>
                <w:lang w:val="zh-CN" w:eastAsia="zh-CN"/>
              </w:rPr>
              <w:t>1</w:t>
            </w:r>
            <w:r>
              <w:rPr>
                <w:rFonts w:cs="宋体"/>
                <w:highlight w:val="none"/>
                <w:lang w:val="zh-CN" w:eastAsia="zh-CN"/>
              </w:rPr>
              <w:t>月</w:t>
            </w:r>
            <w:r>
              <w:rPr>
                <w:rFonts w:ascii="Times New Roman" w:hAnsi="Times New Roman" w:eastAsia="Times New Roman"/>
                <w:highlight w:val="none"/>
                <w:lang w:val="zh-CN" w:eastAsia="zh-CN"/>
              </w:rPr>
              <w:t>1</w:t>
            </w:r>
            <w:r>
              <w:rPr>
                <w:rFonts w:cs="宋体"/>
                <w:highlight w:val="none"/>
                <w:lang w:val="zh-CN" w:eastAsia="zh-CN"/>
              </w:rPr>
              <w:t>日至投标截止时间）内无行贿犯罪行为。</w:t>
            </w:r>
          </w:p>
        </w:tc>
      </w:tr>
    </w:tbl>
    <w:p>
      <w:pPr>
        <w:pStyle w:val="4"/>
        <w:spacing w:line="400" w:lineRule="atLeast"/>
        <w:ind w:left="539" w:hanging="344"/>
        <w:jc w:val="both"/>
        <w:rPr>
          <w:highlight w:val="none"/>
          <w:lang w:val="zh-CN" w:eastAsia="zh-CN"/>
        </w:rPr>
      </w:pPr>
      <w:r>
        <w:rPr>
          <w:rFonts w:ascii="黑体" w:hAnsi="黑体" w:eastAsia="黑体" w:cs="黑体"/>
          <w:sz w:val="21"/>
          <w:highlight w:val="none"/>
          <w:lang w:val="zh-CN" w:eastAsia="zh-CN"/>
        </w:rPr>
        <w:t>注：</w:t>
      </w:r>
    </w:p>
    <w:p>
      <w:pPr>
        <w:pStyle w:val="4"/>
        <w:spacing w:line="400" w:lineRule="atLeast"/>
        <w:ind w:left="539" w:hanging="344"/>
        <w:jc w:val="both"/>
        <w:rPr>
          <w:highlight w:val="none"/>
          <w:lang w:val="zh-CN" w:eastAsia="zh-CN"/>
        </w:rPr>
      </w:pPr>
      <w:r>
        <w:rPr>
          <w:rFonts w:ascii="Times New Roman" w:hAnsi="Times New Roman" w:eastAsia="Times New Roman"/>
          <w:sz w:val="21"/>
          <w:highlight w:val="none"/>
          <w:lang w:val="zh-CN" w:eastAsia="zh-CN"/>
        </w:rPr>
        <w:t>1</w:t>
      </w:r>
      <w:r>
        <w:rPr>
          <w:rFonts w:ascii="黑体" w:hAnsi="黑体" w:eastAsia="黑体" w:cs="黑体"/>
          <w:sz w:val="21"/>
          <w:highlight w:val="none"/>
          <w:lang w:val="zh-CN" w:eastAsia="zh-CN"/>
        </w:rPr>
        <w:t>、第</w:t>
      </w:r>
      <w:r>
        <w:rPr>
          <w:rFonts w:ascii="Times New Roman" w:hAnsi="Times New Roman" w:eastAsia="Times New Roman"/>
          <w:sz w:val="21"/>
          <w:highlight w:val="none"/>
          <w:lang w:val="zh-CN" w:eastAsia="zh-CN"/>
        </w:rPr>
        <w:t>1</w:t>
      </w:r>
      <w:r>
        <w:rPr>
          <w:rFonts w:ascii="黑体" w:hAnsi="黑体" w:eastAsia="黑体" w:cs="黑体"/>
          <w:sz w:val="21"/>
          <w:highlight w:val="none"/>
          <w:lang w:val="zh-CN" w:eastAsia="zh-CN"/>
        </w:rPr>
        <w:t>、</w:t>
      </w:r>
      <w:r>
        <w:rPr>
          <w:rFonts w:ascii="Times New Roman" w:hAnsi="Times New Roman" w:eastAsia="Times New Roman"/>
          <w:sz w:val="21"/>
          <w:highlight w:val="none"/>
          <w:lang w:val="zh-CN" w:eastAsia="zh-CN"/>
        </w:rPr>
        <w:t>2</w:t>
      </w:r>
      <w:r>
        <w:rPr>
          <w:rFonts w:ascii="黑体" w:hAnsi="黑体" w:eastAsia="黑体" w:cs="黑体"/>
          <w:sz w:val="21"/>
          <w:highlight w:val="none"/>
          <w:lang w:val="zh-CN" w:eastAsia="zh-CN"/>
        </w:rPr>
        <w:t>、</w:t>
      </w:r>
      <w:r>
        <w:rPr>
          <w:rFonts w:ascii="Times New Roman" w:hAnsi="Times New Roman" w:eastAsia="Times New Roman"/>
          <w:sz w:val="21"/>
          <w:highlight w:val="none"/>
          <w:lang w:val="zh-CN" w:eastAsia="zh-CN"/>
        </w:rPr>
        <w:t>5</w:t>
      </w:r>
      <w:r>
        <w:rPr>
          <w:rFonts w:ascii="黑体" w:hAnsi="黑体" w:eastAsia="黑体" w:cs="黑体"/>
          <w:sz w:val="21"/>
          <w:highlight w:val="none"/>
          <w:lang w:val="zh-CN" w:eastAsia="zh-CN"/>
        </w:rPr>
        <w:t>条投标人在投标文件中提供承诺书并加盖公章；</w:t>
      </w:r>
    </w:p>
    <w:p>
      <w:pPr>
        <w:pStyle w:val="4"/>
        <w:spacing w:line="400" w:lineRule="atLeast"/>
        <w:ind w:left="539" w:hanging="344"/>
        <w:rPr>
          <w:rFonts w:ascii="黑体" w:hAnsi="黑体" w:eastAsia="黑体" w:cs="黑体"/>
          <w:sz w:val="21"/>
          <w:highlight w:val="none"/>
          <w:lang w:val="zh-CN" w:eastAsia="zh-CN"/>
        </w:rPr>
      </w:pPr>
      <w:r>
        <w:rPr>
          <w:rFonts w:ascii="黑体" w:hAnsi="黑体" w:eastAsia="黑体" w:cs="黑体"/>
          <w:sz w:val="21"/>
          <w:highlight w:val="none"/>
          <w:lang w:val="zh-CN" w:eastAsia="zh-CN"/>
        </w:rPr>
        <w:t>2、</w:t>
      </w:r>
      <w:r>
        <w:rPr>
          <w:rFonts w:hint="eastAsia" w:ascii="黑体" w:hAnsi="黑体" w:eastAsia="黑体" w:cs="黑体"/>
          <w:sz w:val="21"/>
          <w:highlight w:val="none"/>
          <w:lang w:val="zh-CN" w:eastAsia="zh-CN"/>
        </w:rPr>
        <w:t>投标人信用等级信息详见招标文件其他材料。</w:t>
      </w:r>
    </w:p>
    <w:p>
      <w:pPr>
        <w:pStyle w:val="4"/>
        <w:spacing w:line="400" w:lineRule="atLeast"/>
        <w:ind w:left="539" w:hanging="344"/>
        <w:jc w:val="both"/>
        <w:rPr>
          <w:highlight w:val="none"/>
          <w:lang w:val="zh-CN" w:eastAsia="zh-CN"/>
        </w:rPr>
      </w:pPr>
      <w:r>
        <w:rPr>
          <w:rFonts w:ascii="Times New Roman" w:hAnsi="Times New Roman" w:eastAsia="Times New Roman"/>
          <w:sz w:val="21"/>
          <w:highlight w:val="none"/>
          <w:lang w:val="zh-CN" w:eastAsia="zh-CN"/>
        </w:rPr>
        <w:t>3</w:t>
      </w:r>
      <w:r>
        <w:rPr>
          <w:rFonts w:ascii="黑体" w:hAnsi="黑体" w:eastAsia="黑体" w:cs="黑体"/>
          <w:sz w:val="21"/>
          <w:highlight w:val="none"/>
          <w:lang w:val="zh-CN" w:eastAsia="zh-CN"/>
        </w:rPr>
        <w:t>、第</w:t>
      </w:r>
      <w:r>
        <w:rPr>
          <w:rFonts w:ascii="Times New Roman" w:hAnsi="Times New Roman" w:eastAsia="Times New Roman"/>
          <w:sz w:val="21"/>
          <w:highlight w:val="none"/>
          <w:lang w:val="zh-CN" w:eastAsia="zh-CN"/>
        </w:rPr>
        <w:t>4</w:t>
      </w:r>
      <w:r>
        <w:rPr>
          <w:rFonts w:ascii="黑体" w:hAnsi="黑体" w:eastAsia="黑体" w:cs="黑体"/>
          <w:sz w:val="21"/>
          <w:highlight w:val="none"/>
          <w:lang w:val="zh-CN" w:eastAsia="zh-CN"/>
        </w:rPr>
        <w:t>条投标人在投标文件中提供</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信用中国</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、“中国执行信息公开网”、</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国家企业信用信息公示系统</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湖北省公共资源招标投标信用信息平台</w:t>
      </w:r>
      <w:r>
        <w:rPr>
          <w:rFonts w:ascii="Times New Roman" w:hAnsi="Times New Roman" w:eastAsia="Times New Roman"/>
          <w:sz w:val="21"/>
          <w:highlight w:val="none"/>
          <w:lang w:val="zh-CN" w:eastAsia="zh-CN"/>
        </w:rPr>
        <w:t>”</w:t>
      </w:r>
      <w:r>
        <w:rPr>
          <w:rFonts w:ascii="黑体" w:hAnsi="黑体" w:eastAsia="黑体" w:cs="黑体"/>
          <w:sz w:val="21"/>
          <w:highlight w:val="none"/>
          <w:lang w:val="zh-CN" w:eastAsia="zh-CN"/>
        </w:rPr>
        <w:t>网页查询记录截图并加盖公章。</w:t>
      </w:r>
    </w:p>
    <w:p>
      <w:pPr>
        <w:pStyle w:val="4"/>
        <w:spacing w:after="100" w:afterAutospacing="1" w:line="400" w:lineRule="atLeast"/>
        <w:jc w:val="center"/>
        <w:rPr>
          <w:rFonts w:hint="eastAsia"/>
          <w:highlight w:val="none"/>
          <w:lang w:val="zh-CN" w:eastAsia="zh-CN"/>
        </w:rPr>
      </w:pPr>
      <w:r>
        <w:rPr>
          <w:rFonts w:ascii="Times New Roman" w:hAnsi="Times New Roman" w:eastAsia="Times New Roman"/>
          <w:highlight w:val="none"/>
          <w:lang w:val="zh-CN" w:eastAsia="zh-CN"/>
        </w:rPr>
        <w:br w:type="page"/>
      </w:r>
      <w:r>
        <w:rPr>
          <w:rFonts w:ascii="黑体" w:hAnsi="黑体" w:eastAsia="黑体" w:cs="黑体"/>
          <w:highlight w:val="none"/>
          <w:lang w:val="zh-CN" w:eastAsia="zh-CN"/>
        </w:rPr>
        <w:t>附录</w:t>
      </w:r>
      <w:r>
        <w:rPr>
          <w:rFonts w:ascii="Times New Roman" w:hAnsi="Times New Roman" w:eastAsia="Times New Roman"/>
          <w:highlight w:val="none"/>
          <w:lang w:val="zh-CN" w:eastAsia="zh-CN"/>
        </w:rPr>
        <w:t xml:space="preserve">5 </w:t>
      </w:r>
      <w:r>
        <w:rPr>
          <w:rFonts w:ascii="黑体" w:hAnsi="黑体" w:eastAsia="黑体" w:cs="黑体"/>
          <w:highlight w:val="none"/>
          <w:lang w:val="zh-CN" w:eastAsia="zh-CN"/>
        </w:rPr>
        <w:t>资格审查条件</w:t>
      </w:r>
      <w:r>
        <w:rPr>
          <w:rFonts w:ascii="Times New Roman" w:hAnsi="Times New Roman" w:eastAsia="Times New Roman"/>
          <w:highlight w:val="none"/>
          <w:lang w:val="zh-CN" w:eastAsia="zh-CN"/>
        </w:rPr>
        <w:t>(</w:t>
      </w:r>
      <w:r>
        <w:rPr>
          <w:rFonts w:ascii="黑体" w:hAnsi="黑体" w:eastAsia="黑体" w:cs="黑体"/>
          <w:highlight w:val="none"/>
          <w:lang w:val="zh-CN" w:eastAsia="zh-CN"/>
        </w:rPr>
        <w:t>项目经理、项目总工、安全生产工程师最低要求</w:t>
      </w:r>
      <w:r>
        <w:rPr>
          <w:rFonts w:ascii="Times New Roman" w:hAnsi="Times New Roman" w:eastAsia="Times New Roman"/>
          <w:highlight w:val="none"/>
          <w:lang w:val="zh-CN" w:eastAsia="zh-CN"/>
        </w:rPr>
        <w:t>)</w:t>
      </w:r>
    </w:p>
    <w:tbl>
      <w:tblPr>
        <w:tblStyle w:val="2"/>
        <w:tblW w:w="9174"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530"/>
        <w:gridCol w:w="1413"/>
        <w:gridCol w:w="623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trPr>
        <w:tc>
          <w:tcPr>
            <w:tcW w:w="153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jc w:val="center"/>
              <w:rPr>
                <w:rFonts w:cs="宋体"/>
                <w:highlight w:val="none"/>
                <w:lang w:val="zh-CN" w:eastAsia="zh-CN"/>
              </w:rPr>
            </w:pPr>
            <w:r>
              <w:rPr>
                <w:rFonts w:cs="宋体"/>
                <w:highlight w:val="none"/>
                <w:lang w:val="zh-CN" w:eastAsia="zh-CN"/>
              </w:rPr>
              <w:t>人员</w:t>
            </w:r>
          </w:p>
        </w:tc>
        <w:tc>
          <w:tcPr>
            <w:tcW w:w="14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jc w:val="center"/>
              <w:rPr>
                <w:rFonts w:cs="宋体"/>
                <w:highlight w:val="none"/>
                <w:lang w:val="zh-CN" w:eastAsia="zh-CN"/>
              </w:rPr>
            </w:pPr>
            <w:r>
              <w:rPr>
                <w:rFonts w:cs="宋体"/>
                <w:highlight w:val="none"/>
                <w:lang w:val="zh-CN" w:eastAsia="zh-CN"/>
              </w:rPr>
              <w:t>数量</w:t>
            </w:r>
          </w:p>
        </w:tc>
        <w:tc>
          <w:tcPr>
            <w:tcW w:w="623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spacing w:line="360" w:lineRule="atLeast"/>
              <w:jc w:val="center"/>
              <w:rPr>
                <w:rFonts w:cs="宋体"/>
                <w:highlight w:val="none"/>
                <w:lang w:val="zh-CN" w:eastAsia="zh-CN"/>
              </w:rPr>
            </w:pPr>
            <w:r>
              <w:rPr>
                <w:rFonts w:ascii="Times New Roman" w:hAnsi="Times New Roman" w:eastAsia="Times New Roman"/>
                <w:highlight w:val="none"/>
                <w:lang w:val="zh-CN" w:eastAsia="zh-CN"/>
              </w:rPr>
              <w:t>资格</w:t>
            </w:r>
            <w:r>
              <w:rPr>
                <w:rFonts w:hint="eastAsia" w:cs="宋体"/>
                <w:highlight w:val="none"/>
                <w:lang w:val="zh-CN" w:eastAsia="zh-CN"/>
              </w:rPr>
              <w:t>最低</w:t>
            </w:r>
            <w:r>
              <w:rPr>
                <w:rFonts w:ascii="Times New Roman" w:hAnsi="Times New Roman" w:eastAsia="Times New Roman"/>
                <w:highlight w:val="none"/>
                <w:lang w:val="zh-CN" w:eastAsia="zh-CN"/>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880" w:hRule="atLeast"/>
        </w:trPr>
        <w:tc>
          <w:tcPr>
            <w:tcW w:w="15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jc w:val="center"/>
              <w:rPr>
                <w:rFonts w:cs="宋体"/>
                <w:highlight w:val="none"/>
                <w:lang w:val="zh-CN" w:eastAsia="zh-CN"/>
              </w:rPr>
            </w:pPr>
            <w:r>
              <w:rPr>
                <w:rFonts w:cs="宋体"/>
                <w:highlight w:val="none"/>
                <w:lang w:val="zh-CN" w:eastAsia="zh-CN"/>
              </w:rPr>
              <w:t>项目经理</w:t>
            </w:r>
          </w:p>
        </w:tc>
        <w:tc>
          <w:tcPr>
            <w:tcW w:w="14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jc w:val="center"/>
              <w:rPr>
                <w:rFonts w:cs="宋体"/>
                <w:highlight w:val="none"/>
                <w:lang w:val="zh-CN" w:eastAsia="zh-CN"/>
              </w:rPr>
            </w:pPr>
            <w:r>
              <w:rPr>
                <w:rFonts w:cs="宋体"/>
                <w:highlight w:val="none"/>
                <w:lang w:val="zh-CN" w:eastAsia="zh-CN"/>
              </w:rPr>
              <w:t>1</w:t>
            </w:r>
          </w:p>
        </w:tc>
        <w:tc>
          <w:tcPr>
            <w:tcW w:w="6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rPr>
                <w:rFonts w:cs="宋体"/>
                <w:highlight w:val="none"/>
                <w:lang w:val="zh-CN" w:eastAsia="zh-CN"/>
              </w:rPr>
            </w:pPr>
            <w:r>
              <w:rPr>
                <w:rFonts w:cs="宋体"/>
                <w:highlight w:val="none"/>
                <w:lang w:val="zh-CN" w:eastAsia="zh-CN"/>
              </w:rPr>
              <w:t>中级职称，持有住房和城乡建设部颁发的一级建造师（公路工程专业）注册证书，具有交通运输主管部门颁发的安全生产“三类人员”B类证书。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346" w:hRule="atLeast"/>
        </w:trPr>
        <w:tc>
          <w:tcPr>
            <w:tcW w:w="15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jc w:val="center"/>
              <w:rPr>
                <w:rFonts w:cs="宋体"/>
                <w:highlight w:val="none"/>
                <w:lang w:val="zh-CN" w:eastAsia="zh-CN"/>
              </w:rPr>
            </w:pPr>
            <w:r>
              <w:rPr>
                <w:rFonts w:cs="宋体"/>
                <w:highlight w:val="none"/>
                <w:lang w:val="zh-CN" w:eastAsia="zh-CN"/>
              </w:rPr>
              <w:t>项目总工</w:t>
            </w:r>
          </w:p>
        </w:tc>
        <w:tc>
          <w:tcPr>
            <w:tcW w:w="14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jc w:val="center"/>
              <w:rPr>
                <w:rFonts w:cs="宋体"/>
                <w:highlight w:val="none"/>
                <w:lang w:val="zh-CN" w:eastAsia="zh-CN"/>
              </w:rPr>
            </w:pPr>
            <w:r>
              <w:rPr>
                <w:rFonts w:cs="宋体"/>
                <w:highlight w:val="none"/>
                <w:lang w:val="zh-CN" w:eastAsia="zh-CN"/>
              </w:rPr>
              <w:t>1</w:t>
            </w:r>
          </w:p>
        </w:tc>
        <w:tc>
          <w:tcPr>
            <w:tcW w:w="6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rPr>
                <w:rFonts w:cs="宋体"/>
                <w:highlight w:val="none"/>
                <w:lang w:val="zh-CN" w:eastAsia="zh-CN"/>
              </w:rPr>
            </w:pPr>
            <w:r>
              <w:rPr>
                <w:rFonts w:cs="宋体"/>
                <w:highlight w:val="none"/>
                <w:lang w:val="zh-CN" w:eastAsia="zh-CN"/>
              </w:rPr>
              <w:t>高级工程师（公路工程相关专业），具有交通运输主管部门颁发的安全生产“三类人员”B类证书。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172" w:hRule="atLeast"/>
        </w:trPr>
        <w:tc>
          <w:tcPr>
            <w:tcW w:w="15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jc w:val="center"/>
              <w:rPr>
                <w:rFonts w:cs="宋体"/>
                <w:highlight w:val="none"/>
                <w:lang w:val="zh-CN" w:eastAsia="zh-CN"/>
              </w:rPr>
            </w:pPr>
            <w:r>
              <w:rPr>
                <w:rFonts w:cs="宋体"/>
                <w:highlight w:val="none"/>
                <w:lang w:val="zh-CN" w:eastAsia="zh-CN"/>
              </w:rPr>
              <w:t>安全生产工程师</w:t>
            </w:r>
          </w:p>
        </w:tc>
        <w:tc>
          <w:tcPr>
            <w:tcW w:w="14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jc w:val="center"/>
              <w:rPr>
                <w:rFonts w:cs="宋体"/>
                <w:highlight w:val="none"/>
                <w:lang w:val="zh-CN" w:eastAsia="zh-CN"/>
              </w:rPr>
            </w:pPr>
            <w:r>
              <w:rPr>
                <w:rFonts w:cs="宋体"/>
                <w:highlight w:val="none"/>
                <w:lang w:val="zh-CN" w:eastAsia="zh-CN"/>
              </w:rPr>
              <w:t>1</w:t>
            </w:r>
          </w:p>
        </w:tc>
        <w:tc>
          <w:tcPr>
            <w:tcW w:w="6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spacing w:line="440" w:lineRule="atLeast"/>
              <w:rPr>
                <w:rFonts w:cs="宋体"/>
                <w:highlight w:val="none"/>
                <w:lang w:val="zh-CN" w:eastAsia="zh-CN"/>
              </w:rPr>
            </w:pPr>
            <w:r>
              <w:rPr>
                <w:rFonts w:cs="宋体"/>
                <w:highlight w:val="none"/>
                <w:lang w:val="zh-CN" w:eastAsia="zh-CN"/>
              </w:rPr>
              <w:t>中级职称，持有交通主管部门颁发的安全生产“三类人员”C类证书。</w:t>
            </w:r>
          </w:p>
        </w:tc>
      </w:tr>
    </w:tbl>
    <w:p>
      <w:pPr>
        <w:pStyle w:val="4"/>
        <w:spacing w:line="400" w:lineRule="atLeast"/>
        <w:ind w:left="539" w:hanging="344"/>
        <w:rPr>
          <w:rFonts w:ascii="黑体" w:hAnsi="黑体" w:eastAsia="黑体" w:cs="黑体"/>
          <w:sz w:val="21"/>
          <w:highlight w:val="none"/>
          <w:lang w:val="zh-CN" w:eastAsia="zh-CN"/>
        </w:rPr>
      </w:pPr>
      <w:r>
        <w:rPr>
          <w:rFonts w:hint="eastAsia" w:ascii="黑体" w:hAnsi="黑体" w:eastAsia="黑体" w:cs="黑体"/>
          <w:sz w:val="21"/>
          <w:highlight w:val="none"/>
          <w:lang w:val="zh-CN" w:eastAsia="zh-CN"/>
        </w:rPr>
        <w:t>注：</w:t>
      </w:r>
      <w:r>
        <w:rPr>
          <w:rFonts w:ascii="黑体" w:hAnsi="黑体" w:eastAsia="黑体" w:cs="黑体"/>
          <w:sz w:val="21"/>
          <w:highlight w:val="none"/>
          <w:lang w:val="zh-CN" w:eastAsia="zh-CN"/>
        </w:rPr>
        <w:t>1</w:t>
      </w:r>
      <w:r>
        <w:rPr>
          <w:rFonts w:hint="eastAsia" w:ascii="黑体" w:hAnsi="黑体" w:eastAsia="黑体" w:cs="黑体"/>
          <w:sz w:val="21"/>
          <w:highlight w:val="none"/>
          <w:lang w:val="zh-CN" w:eastAsia="zh-CN"/>
        </w:rPr>
        <w:t>、投标人应提供上述人员有效的身份证、毕业证、职称证以及资格审查条件所要求的其它相关证书（如建造师电子注册证书（如有）、安全生产考核合格证书的原件彩色扫描件，所有证件的扫描件均应清晰可辨，否则，将被认为证书无效）。</w:t>
      </w:r>
    </w:p>
    <w:p>
      <w:pPr>
        <w:pStyle w:val="4"/>
        <w:spacing w:line="400" w:lineRule="atLeast"/>
        <w:ind w:left="210" w:leftChars="100" w:firstLine="420" w:firstLineChars="200"/>
        <w:rPr>
          <w:rFonts w:hint="eastAsia" w:ascii="黑体" w:hAnsi="黑体" w:eastAsia="黑体" w:cs="黑体"/>
          <w:sz w:val="21"/>
          <w:highlight w:val="none"/>
          <w:lang w:val="zh-CN" w:eastAsia="zh-CN"/>
        </w:rPr>
      </w:pP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级建造师统</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使</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电</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证书，</w:t>
      </w:r>
      <w:r>
        <w:rPr>
          <w:rFonts w:hint="eastAsia" w:ascii="黑体" w:hAnsi="黑体" w:eastAsia="黑体" w:cs="黑体"/>
          <w:sz w:val="21"/>
          <w:highlight w:val="none"/>
          <w:lang w:val="en-US" w:eastAsia="zh-CN"/>
        </w:rPr>
        <w:t>且</w:t>
      </w:r>
      <w:r>
        <w:rPr>
          <w:rFonts w:hint="eastAsia" w:ascii="黑体" w:hAnsi="黑体" w:eastAsia="黑体" w:cs="黑体"/>
          <w:sz w:val="21"/>
          <w:highlight w:val="none"/>
          <w:lang w:val="zh-CN" w:eastAsia="zh-CN"/>
        </w:rPr>
        <w:t>应在个</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签名处</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写本</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签名，未</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写签名或与</w:t>
      </w:r>
      <w:r>
        <w:rPr>
          <w:rFonts w:hint="eastAsia" w:ascii="黑体" w:hAnsi="黑体" w:eastAsia="黑体" w:cs="黑体"/>
          <w:sz w:val="21"/>
          <w:highlight w:val="none"/>
          <w:lang w:val="en-US" w:eastAsia="zh-CN"/>
        </w:rPr>
        <w:t>电子注册证书</w:t>
      </w:r>
      <w:r>
        <w:rPr>
          <w:rFonts w:hint="eastAsia" w:ascii="黑体" w:hAnsi="黑体" w:eastAsia="黑体" w:cs="黑体"/>
          <w:sz w:val="21"/>
          <w:highlight w:val="none"/>
          <w:lang w:val="zh-CN" w:eastAsia="zh-CN"/>
        </w:rPr>
        <w:t>签名图像笔迹不</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致的，该电</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证书</w:t>
      </w:r>
      <w:r>
        <w:rPr>
          <w:rFonts w:hint="eastAsia" w:ascii="黑体" w:hAnsi="黑体" w:eastAsia="黑体" w:cs="黑体"/>
          <w:sz w:val="21"/>
          <w:highlight w:val="none"/>
          <w:lang w:val="en-US" w:eastAsia="zh-CN"/>
        </w:rPr>
        <w:t>视为</w:t>
      </w:r>
      <w:r>
        <w:rPr>
          <w:rFonts w:hint="eastAsia" w:ascii="微软雅黑" w:hAnsi="微软雅黑" w:eastAsia="微软雅黑" w:cs="微软雅黑"/>
          <w:sz w:val="21"/>
          <w:highlight w:val="none"/>
          <w:lang w:val="zh-CN" w:eastAsia="zh-CN"/>
        </w:rPr>
        <w:t>⽆</w:t>
      </w:r>
      <w:r>
        <w:rPr>
          <w:rFonts w:hint="eastAsia" w:ascii="黑体" w:hAnsi="黑体" w:eastAsia="黑体" w:cs="黑体"/>
          <w:sz w:val="21"/>
          <w:highlight w:val="none"/>
          <w:lang w:val="zh-CN" w:eastAsia="zh-CN"/>
        </w:rPr>
        <w:t>效。</w:t>
      </w:r>
    </w:p>
    <w:p>
      <w:pPr>
        <w:pStyle w:val="4"/>
        <w:spacing w:line="400" w:lineRule="atLeast"/>
        <w:ind w:left="539" w:hanging="344"/>
        <w:jc w:val="both"/>
        <w:rPr>
          <w:rFonts w:ascii="黑体" w:hAnsi="黑体" w:eastAsia="黑体" w:cs="黑体"/>
          <w:sz w:val="21"/>
          <w:highlight w:val="none"/>
          <w:lang w:val="zh-CN" w:eastAsia="zh-CN"/>
        </w:rPr>
      </w:pPr>
      <w:r>
        <w:rPr>
          <w:rFonts w:ascii="黑体" w:hAnsi="黑体" w:eastAsia="黑体" w:cs="黑体"/>
          <w:sz w:val="21"/>
          <w:highlight w:val="none"/>
          <w:lang w:val="zh-CN" w:eastAsia="zh-CN"/>
        </w:rPr>
        <w:t>2、应提供上述人员2021年9月以来任意三个月在本投标单位缴纳社会保险的证明材料并加盖公章。</w:t>
      </w:r>
    </w:p>
    <w:p>
      <w:pPr>
        <w:pStyle w:val="4"/>
        <w:spacing w:line="400" w:lineRule="atLeast"/>
        <w:ind w:left="539" w:hanging="344"/>
        <w:jc w:val="both"/>
        <w:rPr>
          <w:rFonts w:hint="eastAsia" w:ascii="黑体" w:hAnsi="黑体" w:eastAsia="黑体" w:cs="黑体"/>
          <w:sz w:val="21"/>
          <w:highlight w:val="none"/>
          <w:lang w:val="zh-CN" w:eastAsia="zh-CN"/>
        </w:rPr>
      </w:pPr>
      <w:r>
        <w:rPr>
          <w:rFonts w:ascii="黑体" w:hAnsi="黑体" w:eastAsia="黑体" w:cs="黑体"/>
          <w:sz w:val="21"/>
          <w:highlight w:val="none"/>
          <w:lang w:val="zh-CN" w:eastAsia="zh-CN"/>
        </w:rPr>
        <w:t>3、投标人应提供上述人员的到岗承诺函。</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10A49"/>
    <w:rsid w:val="1EA1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Normal"/>
    <w:qFormat/>
    <w:uiPriority w:val="0"/>
    <w:pPr>
      <w:spacing w:line="384" w:lineRule="auto"/>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2022-02-11T09:24:00Z</dcterms:created>
  <dc:creator>Administrator</dc:creator>
  <cp:lastModifiedBy>Administrator</cp:lastModifiedBy>
  <dcterms:modified xsi:type="dcterms:W3CDTF">2022-02-11T09:25:24Z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