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_Toc101862924"/>
      <w:bookmarkStart w:id="1" w:name="_Toc26883115"/>
      <w:bookmarkStart w:id="2" w:name="_Toc13040011"/>
      <w:bookmarkStart w:id="3" w:name="_Toc24027377"/>
      <w:bookmarkStart w:id="4" w:name="_Toc82587943"/>
      <w:bookmarkStart w:id="5" w:name="_Toc21530176"/>
      <w:bookmarkStart w:id="6" w:name="_Toc529446718"/>
      <w:bookmarkStart w:id="7" w:name="_Toc471925979"/>
      <w:bookmarkStart w:id="8" w:name="_Toc16256721"/>
      <w:bookmarkStart w:id="9" w:name="_Toc16256722"/>
      <w:bookmarkStart w:id="10" w:name="_Toc21530177"/>
      <w:bookmarkStart w:id="11" w:name="_Toc516140325"/>
      <w:bookmarkStart w:id="12" w:name="_Toc26883116"/>
      <w:bookmarkStart w:id="13" w:name="_Toc529446719"/>
      <w:bookmarkStart w:id="14" w:name="_Toc24027378"/>
      <w:bookmarkStart w:id="15" w:name="_Toc13040012"/>
      <w:bookmarkStart w:id="16" w:name="_Toc38031394"/>
      <w:bookmarkStart w:id="17" w:name="_Toc45890231"/>
      <w:bookmarkStart w:id="18" w:name="_Toc60988602"/>
      <w:bookmarkStart w:id="19" w:name="_Toc43888023"/>
      <w:bookmarkStart w:id="20" w:name="_Toc43889223"/>
      <w:bookmarkStart w:id="21" w:name="_Toc910703"/>
      <w:bookmarkStart w:id="22" w:name="_Toc45894153"/>
      <w:bookmarkStart w:id="23" w:name="_Toc524013163"/>
      <w:bookmarkStart w:id="24" w:name="_Toc50974833"/>
      <w:bookmarkStart w:id="25" w:name="_Toc44514965"/>
      <w:bookmarkStart w:id="26" w:name="_Toc44657754"/>
      <w:bookmarkStart w:id="27" w:name="_Toc529446722"/>
      <w:bookmarkStart w:id="28" w:name="_Toc37162054"/>
      <w:bookmarkStart w:id="29" w:name="_Toc40261099"/>
      <w:bookmarkStart w:id="30" w:name="_Toc45287602"/>
      <w:bookmarkStart w:id="31" w:name="_Toc37337029"/>
      <w:bookmarkStart w:id="32" w:name="_Toc36806112"/>
      <w:bookmarkStart w:id="33" w:name="_Toc98491082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4" w:name="_Toc82587944"/>
      <w:bookmarkStart w:id="35" w:name="_Toc101862925"/>
      <w:r>
        <w:rPr>
          <w:rFonts w:hint="eastAsia" w:ascii="黑体" w:eastAsia="黑体"/>
          <w:sz w:val="32"/>
          <w:szCs w:val="32"/>
        </w:rPr>
        <w:t>一、3月水环境质量概况</w:t>
      </w:r>
      <w:bookmarkEnd w:id="9"/>
      <w:bookmarkEnd w:id="10"/>
      <w:bookmarkEnd w:id="11"/>
      <w:bookmarkEnd w:id="12"/>
      <w:bookmarkEnd w:id="13"/>
      <w:bookmarkEnd w:id="14"/>
      <w:bookmarkEnd w:id="15"/>
      <w:bookmarkEnd w:id="34"/>
      <w:bookmarkEnd w:id="35"/>
      <w:r>
        <w:rPr>
          <w:rFonts w:hint="eastAsia" w:ascii="黑体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根据3月地表水水质监测结果，宜昌市24条河流水质总体为“优”，符合Ⅰ～Ⅲ类的断面48个，占全部断面的96%；河流水质达到水环境功能区要求的断面47个，达标比例为94%。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地表水国控、省控断面水质情况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宜昌市纳入国家考核16个断面水质优良率为100%，</w:t>
      </w:r>
      <w:r>
        <w:rPr>
          <w:rFonts w:eastAsia="仿宋_GB2312"/>
          <w:sz w:val="32"/>
          <w:szCs w:val="32"/>
        </w:rPr>
        <w:t>达标率为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34个省控断面水质优良率为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%，达标率为</w:t>
      </w:r>
      <w:r>
        <w:rPr>
          <w:rFonts w:hint="eastAsia" w:eastAsia="仿宋_GB2312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无劣V类水体。监测结果详见表1。</w:t>
      </w:r>
    </w:p>
    <w:p>
      <w:pPr>
        <w:pStyle w:val="7"/>
        <w:spacing w:after="0" w:line="600" w:lineRule="exact"/>
        <w:ind w:left="0" w:leftChars="0" w:firstLine="643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（二）部分断面水质同比变化情况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24条河流50个断面中，水质同比下降断面6个，分别为：宜都清江大桥、</w:t>
      </w:r>
      <w:r>
        <w:rPr>
          <w:rFonts w:hint="eastAsia" w:ascii="仿宋_GB2312" w:eastAsia="仿宋_GB2312"/>
          <w:sz w:val="32"/>
          <w:szCs w:val="32"/>
          <w:lang w:eastAsia="zh-CN"/>
        </w:rPr>
        <w:t>黄柏河</w:t>
      </w:r>
      <w:r>
        <w:rPr>
          <w:rFonts w:hint="eastAsia" w:ascii="仿宋_GB2312" w:eastAsia="仿宋_GB2312"/>
          <w:sz w:val="32"/>
          <w:szCs w:val="32"/>
        </w:rPr>
        <w:t>石碑滩和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天池河</w:t>
      </w:r>
      <w:r>
        <w:rPr>
          <w:rFonts w:hint="eastAsia" w:ascii="仿宋_GB2312" w:eastAsia="仿宋_GB2312"/>
          <w:sz w:val="32"/>
          <w:szCs w:val="32"/>
        </w:rPr>
        <w:t>纸坊头断面水质均由去年同期</w:t>
      </w:r>
      <w:r>
        <w:rPr>
          <w:rFonts w:hint="eastAsia" w:ascii="宋体" w:hAnsi="宋体"/>
          <w:sz w:val="32"/>
          <w:szCs w:val="32"/>
        </w:rPr>
        <w:t>Ⅰ</w:t>
      </w:r>
      <w:r>
        <w:rPr>
          <w:rFonts w:hint="eastAsia" w:ascii="仿宋_GB2312" w:eastAsia="仿宋_GB2312"/>
          <w:sz w:val="32"/>
          <w:szCs w:val="32"/>
        </w:rPr>
        <w:t>类下降至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类；长江公路大桥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、天池河</w:t>
      </w:r>
      <w:r>
        <w:rPr>
          <w:rFonts w:hint="eastAsia" w:ascii="仿宋_GB2312" w:eastAsia="仿宋_GB2312"/>
          <w:sz w:val="32"/>
          <w:szCs w:val="32"/>
        </w:rPr>
        <w:t>小河断面水质由去年同期</w:t>
      </w:r>
      <w:r>
        <w:rPr>
          <w:rFonts w:ascii="仿宋_GB2312" w:eastAsia="仿宋_GB2312"/>
          <w:sz w:val="32"/>
          <w:szCs w:val="32"/>
        </w:rPr>
        <w:t>Ⅱ</w:t>
      </w:r>
      <w:r>
        <w:rPr>
          <w:rFonts w:hint="eastAsia" w:ascii="仿宋_GB2312" w:eastAsia="仿宋_GB2312"/>
          <w:sz w:val="32"/>
          <w:szCs w:val="32"/>
        </w:rPr>
        <w:t>类下降至Ⅲ类；</w:t>
      </w:r>
      <w:r>
        <w:rPr>
          <w:rFonts w:hint="eastAsia" w:ascii="仿宋_GB2312" w:eastAsia="仿宋_GB2312"/>
          <w:sz w:val="32"/>
          <w:szCs w:val="32"/>
          <w:lang w:eastAsia="zh-CN"/>
        </w:rPr>
        <w:t>桥边河</w:t>
      </w:r>
      <w:r>
        <w:rPr>
          <w:rFonts w:hint="eastAsia" w:ascii="仿宋_GB2312" w:eastAsia="仿宋_GB2312"/>
          <w:sz w:val="32"/>
          <w:szCs w:val="32"/>
        </w:rPr>
        <w:t>红旗村断面水质由去年同期Ⅲ类下降至</w:t>
      </w:r>
      <w:r>
        <w:rPr>
          <w:rFonts w:hint="eastAsia" w:ascii="方正楷体简体" w:eastAsia="方正楷体简体"/>
          <w:sz w:val="32"/>
          <w:szCs w:val="32"/>
        </w:rPr>
        <w:t>Ⅳ</w:t>
      </w:r>
      <w:r>
        <w:rPr>
          <w:rFonts w:hint="eastAsia" w:ascii="仿宋_GB2312" w:eastAsia="仿宋_GB2312"/>
          <w:sz w:val="32"/>
          <w:szCs w:val="32"/>
        </w:rPr>
        <w:t>类。</w:t>
      </w:r>
    </w:p>
    <w:p>
      <w:pPr>
        <w:spacing w:line="560" w:lineRule="exact"/>
        <w:ind w:firstLine="640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（三）部分断面水质未达标情况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24条河流中长江（银杏沱断面和长江公路大桥断面）和沮漳河（河溶断面）3个断面超标。 </w:t>
      </w:r>
    </w:p>
    <w:p>
      <w:pPr>
        <w:spacing w:before="156" w:beforeLines="50" w:after="156" w:afterLines="50"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6" w:name="_Toc101862926"/>
      <w:r>
        <w:rPr>
          <w:rFonts w:hint="eastAsia" w:ascii="黑体" w:eastAsia="黑体"/>
          <w:sz w:val="32"/>
          <w:szCs w:val="32"/>
        </w:rPr>
        <w:t>二、</w:t>
      </w:r>
      <w:r>
        <w:rPr>
          <w:rFonts w:ascii="黑体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>月省跨界断面水质监测情况</w:t>
      </w:r>
      <w:bookmarkEnd w:id="36"/>
    </w:p>
    <w:p>
      <w:pPr>
        <w:pStyle w:val="7"/>
        <w:spacing w:after="0" w:line="560" w:lineRule="exact"/>
        <w:ind w:left="0" w:leftChars="0" w:firstLine="640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74" w:right="1440" w:bottom="1474" w:left="144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按照《湖北省长江流域跨界断面水质考核办法（修订版）》要求，我市有7个跨界断面，本月监测结果均达标。</w:t>
      </w:r>
    </w:p>
    <w:p>
      <w:pPr>
        <w:spacing w:before="156" w:beforeLines="50" w:after="156" w:afterLines="50" w:line="560" w:lineRule="exact"/>
        <w:ind w:firstLine="600" w:firstLineChars="20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表1     2022年3月宜昌市主要河流断面水质监测类别</w:t>
      </w:r>
    </w:p>
    <w:tbl>
      <w:tblPr>
        <w:tblStyle w:val="5"/>
        <w:tblW w:w="13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700"/>
        <w:gridCol w:w="992"/>
        <w:gridCol w:w="947"/>
        <w:gridCol w:w="1178"/>
        <w:gridCol w:w="121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1-3月累计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同比变化</w:t>
            </w:r>
          </w:p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化学需氧量（0.13）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化学需氧量（0.13）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Ⅳ类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Ⅳ类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劣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白沙河小学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Ⅲ类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Ⅰ类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猇亭区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铁路大桥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两河口</w:t>
            </w:r>
          </w:p>
          <w:p>
            <w:pPr>
              <w:widowControl/>
              <w:spacing w:line="240" w:lineRule="exact"/>
              <w:ind w:left="-105" w:leftChars="-50" w:right="-105" w:rightChars="-50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省控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汞（0.2）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color w:val="FF0000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Ⅱ类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pacing w:val="-14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沙河村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Ⅴ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color w:val="FF0000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color w:val="FF0000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color w:val="FF0000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Ⅱ</w:t>
            </w:r>
            <w:r>
              <w:rPr>
                <w:rFonts w:eastAsia="仿宋_GB2312"/>
                <w:color w:val="FF0000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小河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</w:tbl>
    <w:p>
      <w:pPr>
        <w:widowControl/>
        <w:spacing w:before="156" w:beforeLines="50" w:line="380" w:lineRule="exact"/>
        <w:ind w:left="-105" w:leftChars="-50" w:right="-105" w:rightChars="-50" w:firstLine="1320" w:firstLineChars="550"/>
        <w:jc w:val="left"/>
        <w:rPr>
          <w:rFonts w:ascii="仿宋_GB2312" w:hAnsi="宋体" w:eastAsia="仿宋_GB2312" w:cs="宋体"/>
          <w:kern w:val="0"/>
          <w:sz w:val="24"/>
        </w:rPr>
        <w:sectPr>
          <w:pgSz w:w="16838" w:h="11906" w:orient="landscape"/>
          <w:pgMar w:top="1417" w:right="1474" w:bottom="1417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 w:val="24"/>
        </w:rPr>
        <w:t>备注：本月沙河河道综合整治,故未参与评价。</w:t>
      </w:r>
      <w:bookmarkStart w:id="37" w:name="_Toc82587946"/>
      <w:r>
        <w:rPr>
          <w:rFonts w:hint="eastAsia" w:ascii="仿宋_GB2312" w:hAnsi="宋体" w:eastAsia="仿宋_GB2312" w:cs="宋体"/>
          <w:kern w:val="0"/>
          <w:sz w:val="24"/>
        </w:rPr>
        <w:t>运河铁路桥下、万寿桥断面2021年3月份断流，未监测，故未作比较;紫阳河入江口为去年新增断面，监测从去年4月份开始，故未做评价</w:t>
      </w:r>
      <w:r>
        <w:rPr>
          <w:rFonts w:ascii="仿宋_GB2312" w:hAnsi="宋体" w:eastAsia="仿宋_GB2312" w:cs="宋体"/>
          <w:kern w:val="0"/>
          <w:sz w:val="24"/>
        </w:rPr>
        <w:t>。</w:t>
      </w:r>
    </w:p>
    <w:bookmarkEnd w:id="37"/>
    <w:p>
      <w:pPr>
        <w:spacing w:before="156" w:beforeLines="50" w:line="540" w:lineRule="exact"/>
        <w:ind w:firstLine="640" w:firstLineChars="200"/>
        <w:jc w:val="left"/>
        <w:outlineLvl w:val="1"/>
        <w:rPr>
          <w:rFonts w:ascii="黑体" w:hAnsi="黑体" w:eastAsia="黑体"/>
          <w:sz w:val="32"/>
          <w:szCs w:val="32"/>
        </w:rPr>
      </w:pPr>
      <w:bookmarkStart w:id="38" w:name="_Toc82587947"/>
      <w:bookmarkStart w:id="39" w:name="_Toc101862927"/>
      <w:r>
        <w:rPr>
          <w:rFonts w:hint="eastAsia" w:ascii="黑体" w:hAnsi="黑体" w:eastAsia="黑体"/>
          <w:sz w:val="32"/>
          <w:szCs w:val="32"/>
        </w:rPr>
        <w:t>三、3月城区饮用水源地水质现状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8"/>
      <w:bookmarkEnd w:id="39"/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2022年3月，对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城区4个饮用水源地水质进行手工监测，</w:t>
      </w:r>
      <w:r>
        <w:rPr>
          <w:rFonts w:hint="eastAsia" w:ascii="仿宋_GB2312" w:eastAsia="仿宋_GB2312"/>
          <w:sz w:val="32"/>
          <w:szCs w:val="32"/>
        </w:rPr>
        <w:t xml:space="preserve">城区水源地取水量合计997.4115万吨，水源地水质均达到或优于《地表水环境质量标准》（GB3838-2002）Ⅲ类标准，水源地水质达标比例和水量达标比例均为100.0%。   </w:t>
      </w:r>
    </w:p>
    <w:p>
      <w:pPr>
        <w:spacing w:line="360" w:lineRule="auto"/>
        <w:ind w:firstLine="168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24"/>
        </w:rPr>
        <w:t>2022年2月宜昌市城区饮用水源地水质类别</w:t>
      </w:r>
    </w:p>
    <w:tbl>
      <w:tblPr>
        <w:tblStyle w:val="5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>
            <w:pPr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839.0772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11.8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良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146.5343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Ⅱ</w:t>
            </w:r>
            <w:r>
              <w:rPr>
                <w:rFonts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tabs>
          <w:tab w:val="left" w:pos="692"/>
        </w:tabs>
        <w:spacing w:before="312" w:beforeLines="100" w:line="460" w:lineRule="exact"/>
        <w:ind w:firstLine="640" w:firstLineChars="200"/>
        <w:outlineLvl w:val="1"/>
        <w:rPr>
          <w:rFonts w:ascii="黑体" w:hAnsi="黑体" w:eastAsia="黑体"/>
          <w:sz w:val="32"/>
          <w:szCs w:val="32"/>
        </w:rPr>
      </w:pPr>
      <w:bookmarkStart w:id="40" w:name="_Toc101862928"/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月水质自动站监测情况</w:t>
      </w:r>
      <w:bookmarkEnd w:id="33"/>
      <w:bookmarkEnd w:id="40"/>
    </w:p>
    <w:p>
      <w:pPr>
        <w:tabs>
          <w:tab w:val="left" w:pos="692"/>
        </w:tabs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41" w:name="_Hlk36557277"/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月考核宜昌市国控9个、长江经济带6个、省控九畹溪河口和市控水源地善溪冲水库、官庄水库共计1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个水质自动监测站监测情况如下：各环境水质自动监测站月均值均达标，水质现状</w:t>
      </w:r>
      <w:r>
        <w:rPr>
          <w:rFonts w:ascii="仿宋_GB2312" w:eastAsia="仿宋_GB2312"/>
          <w:sz w:val="32"/>
          <w:szCs w:val="32"/>
        </w:rPr>
        <w:t>除</w:t>
      </w:r>
      <w:r>
        <w:rPr>
          <w:rFonts w:hint="eastAsia" w:ascii="仿宋_GB2312" w:eastAsia="仿宋_GB2312"/>
          <w:sz w:val="32"/>
          <w:szCs w:val="32"/>
        </w:rPr>
        <w:t>土门大桥总磷</w:t>
      </w:r>
      <w:r>
        <w:rPr>
          <w:rFonts w:ascii="仿宋_GB2312" w:eastAsia="仿宋_GB2312"/>
          <w:sz w:val="32"/>
          <w:szCs w:val="32"/>
        </w:rPr>
        <w:t>月均值</w:t>
      </w:r>
      <w:r>
        <w:rPr>
          <w:rFonts w:hint="eastAsia" w:ascii="仿宋_GB2312" w:eastAsia="仿宋_GB2312"/>
          <w:sz w:val="32"/>
          <w:szCs w:val="32"/>
        </w:rPr>
        <w:t>（0</w:t>
      </w:r>
      <w:r>
        <w:rPr>
          <w:rFonts w:ascii="仿宋_GB2312" w:eastAsia="仿宋_GB2312"/>
          <w:sz w:val="32"/>
          <w:szCs w:val="32"/>
        </w:rPr>
        <w:t>.117mg/L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较高，水质状况为良好（Ⅲ类）外，其余均为优（Ⅰ类或Ⅱ类）</w:t>
      </w:r>
      <w:r>
        <w:rPr>
          <w:rFonts w:hint="eastAsia" w:ascii="仿宋_GB2312" w:eastAsia="仿宋_GB2312"/>
          <w:sz w:val="32"/>
          <w:szCs w:val="32"/>
        </w:rPr>
        <w:t>。水质日均值达标率达到1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%为云池（白洋）、隔河岩水库坝上、东支（天府庙）、朱津滩、善溪冲水库和官庄水库。具体监测情况详见表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。</w:t>
      </w:r>
    </w:p>
    <w:bookmarkEnd w:id="41"/>
    <w:p>
      <w:pPr>
        <w:spacing w:line="500" w:lineRule="exact"/>
        <w:jc w:val="center"/>
        <w:outlineLvl w:val="0"/>
        <w:rPr>
          <w:rFonts w:asci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widowControl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表3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/>
          <w:sz w:val="30"/>
          <w:szCs w:val="30"/>
        </w:rPr>
        <w:t>20</w:t>
      </w:r>
      <w:r>
        <w:rPr>
          <w:rFonts w:ascii="黑体" w:hAnsi="黑体" w:eastAsia="黑体"/>
          <w:sz w:val="30"/>
          <w:szCs w:val="30"/>
        </w:rPr>
        <w:t>22</w:t>
      </w:r>
      <w:r>
        <w:rPr>
          <w:rFonts w:hint="eastAsia" w:ascii="黑体" w:hAnsi="黑体" w:eastAsia="黑体"/>
          <w:sz w:val="30"/>
          <w:szCs w:val="30"/>
        </w:rPr>
        <w:t>年</w:t>
      </w:r>
      <w:r>
        <w:rPr>
          <w:rFonts w:ascii="黑体" w:hAnsi="黑体" w:eastAsia="黑体"/>
          <w:sz w:val="30"/>
          <w:szCs w:val="30"/>
        </w:rPr>
        <w:t>3</w:t>
      </w:r>
      <w:r>
        <w:rPr>
          <w:rFonts w:hint="eastAsia" w:ascii="黑体" w:hAnsi="黑体" w:eastAsia="黑体"/>
          <w:sz w:val="30"/>
          <w:szCs w:val="30"/>
        </w:rPr>
        <w:t>月宜昌市水质自动站监测情况</w:t>
      </w:r>
    </w:p>
    <w:tbl>
      <w:tblPr>
        <w:tblStyle w:val="5"/>
        <w:tblW w:w="13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543"/>
        <w:gridCol w:w="550"/>
        <w:gridCol w:w="666"/>
        <w:gridCol w:w="1080"/>
        <w:gridCol w:w="675"/>
        <w:gridCol w:w="675"/>
        <w:gridCol w:w="620"/>
        <w:gridCol w:w="601"/>
        <w:gridCol w:w="541"/>
        <w:gridCol w:w="1341"/>
        <w:gridCol w:w="727"/>
        <w:gridCol w:w="1665"/>
        <w:gridCol w:w="1146"/>
        <w:gridCol w:w="1330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  <w:jc w:val="center"/>
        </w:trPr>
        <w:tc>
          <w:tcPr>
            <w:tcW w:w="40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4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3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  <w:jc w:val="center"/>
        </w:trPr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30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43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92.3%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高猛酸盐指数（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.0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0.75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0.111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90.3%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0.03-0.45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4.11-5.8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0.16-0.31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0.116-0.231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0.01-0.56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0.101-0.156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80.6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0.06-2.22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0.106-0.322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94.1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（0.05）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0.105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77.4%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0.05-0.15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4.2-4.6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0.12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0.56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0.05-0.5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0.105-0.150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71.0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0.25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0.01-0.68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0.101-0.168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16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77.4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0.02-0.28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4.3-5.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大雨、面源污染、回水区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17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氨氮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0.004-0.69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0.502-0.844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>
            <w:pPr>
              <w:spacing w:line="240" w:lineRule="exact"/>
              <w:ind w:left="-105" w:leftChars="-50" w:right="-105" w:rightChars="-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90.3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0.23-0.3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7.4-7.8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大雨、上游施工、企业污染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0.32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1.32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22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0.35-0.72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0.270-0.345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23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93.5%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0.92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7.7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大雨、面源污染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25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1.25-1.31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3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0.225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-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0.231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0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93.3%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6.8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27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0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1.38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0.238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</w:rPr>
              <w:t>28</w:t>
            </w:r>
          </w:p>
        </w:tc>
        <w:tc>
          <w:tcPr>
            <w:tcW w:w="543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湖库</w:t>
            </w:r>
          </w:p>
        </w:tc>
        <w:tc>
          <w:tcPr>
            <w:tcW w:w="550" w:type="dxa"/>
            <w:vMerge w:val="restart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市控</w:t>
            </w: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善溪冲水库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猇亭区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43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50" w:type="dxa"/>
            <w:vMerge w:val="continue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6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官庄水库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20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60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4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41" w:type="dxa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  <w:tc>
          <w:tcPr>
            <w:tcW w:w="727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66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1330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  <w:tc>
          <w:tcPr>
            <w:tcW w:w="99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--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  <w:sectPr>
          <w:footerReference r:id="rId5" w:type="default"/>
          <w:pgSz w:w="16838" w:h="11906" w:orient="landscape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>
      <w:bookmarkStart w:id="42" w:name="_GoBack"/>
      <w:bookmarkEnd w:id="42"/>
    </w:p>
    <w:sectPr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6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7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/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9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/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</w:pP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begin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instrText xml:space="preserve"> PAGE   \* MERGEFORMAT </w:instrTex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separate"/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t>3</w:t>
    </w:r>
    <w:r>
      <w:rPr>
        <w:rFonts w:ascii="Times New Roman" w:hAnsi="Times New Roman" w:eastAsia="宋体" w:cs="Times New Roman"/>
        <w:kern w:val="0"/>
        <w:sz w:val="24"/>
        <w:szCs w:val="18"/>
        <w:lang w:val="zh-CN" w:eastAsia="zh-CN" w:bidi="ar-SA"/>
      </w:rPr>
      <w:fldChar w:fldCharType="end"/>
    </w:r>
  </w:p>
  <w:p>
    <w:pPr>
      <w:widowControl w:val="0"/>
      <w:ind w:right="360" w:firstLine="360"/>
      <w:jc w:val="both"/>
      <w:rPr>
        <w:rFonts w:ascii="Times New Roman" w:hAnsi="Times New Roman" w:eastAsia="宋体" w:cs="Times New Roman"/>
        <w:kern w:val="0"/>
        <w:sz w:val="18"/>
        <w:szCs w:val="18"/>
        <w:lang w:val="zh-CN" w:eastAsia="zh-CN" w:bidi="ar-SA"/>
      </w:rPr>
    </w:pPr>
  </w:p>
  <w:p/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1219F"/>
    <w:rsid w:val="4C3471CC"/>
    <w:rsid w:val="70FB4AC9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semiHidden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jc w:val="both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Body Text First Indent 2"/>
    <w:semiHidden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_Style 66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2022-04-29T08:48:13Z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7720C3DF8FCE45E3BB5A1E2ACA732E1C</vt:lpwstr>
  </property>
</Properties>
</file>