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  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车辆信息明细表</w:t>
      </w:r>
    </w:p>
    <w:tbl>
      <w:tblPr>
        <w:tblStyle w:val="3"/>
        <w:tblW w:w="138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440"/>
        <w:gridCol w:w="3996"/>
        <w:gridCol w:w="1296"/>
        <w:gridCol w:w="1032"/>
        <w:gridCol w:w="780"/>
        <w:gridCol w:w="2340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车牌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所属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品牌型号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车型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核载人数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年审情况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是否购买交强险及其他商业险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E-12345</w:t>
            </w: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本田雅阁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轿车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有效期至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/12/13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6838" w:h="11906" w:orient="landscape"/>
      <w:pgMar w:top="1531" w:right="1871" w:bottom="1531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4698B"/>
    <w:rsid w:val="5BF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2021-05-13T03:32:36Z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