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jc w:val="both"/>
        <w:rPr>
          <w:rFonts w:ascii="Times New Roman" w:hAnsi="Times New Roman" w:eastAsia="仿宋_GB2312"/>
        </w:rPr>
      </w:pPr>
      <w:r>
        <w:rPr>
          <w:rFonts w:hint="eastAsia" w:ascii="Times New Roman" w:hAnsi="Times New Roman" w:eastAsia="仿宋_GB2312"/>
          <w:sz w:val="32"/>
          <w:szCs w:val="32"/>
          <w:lang w:val="en-US" w:eastAsia="zh-CN"/>
        </w:rPr>
        <w:t>附件2</w:t>
      </w:r>
    </w:p>
    <w:p>
      <w:pPr>
        <w:suppressAutoHyphens/>
        <w:spacing w:line="60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黑榜企业认定标准</w:t>
      </w:r>
    </w:p>
    <w:bookmarkEnd w:id="0"/>
    <w:tbl>
      <w:tblPr>
        <w:tblStyle w:val="5"/>
        <w:tblpPr w:leftFromText="180" w:rightFromText="180" w:vertAnchor="text" w:horzAnchor="page" w:tblpXSpec="center" w:tblpY="144"/>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994"/>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66" w:type="dxa"/>
            <w:noWrap w:val="0"/>
            <w:vAlign w:val="center"/>
          </w:tcPr>
          <w:p>
            <w:pPr>
              <w:spacing w:line="500" w:lineRule="exact"/>
              <w:jc w:val="center"/>
              <w:rPr>
                <w:rFonts w:ascii="Times New Roman" w:hAnsi="Times New Roman" w:eastAsia="仿宋_GB2312"/>
                <w:sz w:val="24"/>
                <w:szCs w:val="24"/>
              </w:rPr>
            </w:pPr>
            <w:r>
              <w:rPr>
                <w:rFonts w:ascii="Times New Roman" w:hAnsi="Times New Roman" w:eastAsia="仿宋_GB2312"/>
                <w:b/>
                <w:bCs/>
                <w:sz w:val="24"/>
                <w:szCs w:val="24"/>
              </w:rPr>
              <w:t>评价指标</w:t>
            </w:r>
          </w:p>
        </w:tc>
        <w:tc>
          <w:tcPr>
            <w:tcW w:w="3994" w:type="dxa"/>
            <w:noWrap w:val="0"/>
            <w:vAlign w:val="center"/>
          </w:tcPr>
          <w:p>
            <w:pPr>
              <w:spacing w:line="500" w:lineRule="exact"/>
              <w:jc w:val="center"/>
              <w:rPr>
                <w:rFonts w:ascii="Times New Roman" w:hAnsi="Times New Roman" w:eastAsia="仿宋_GB2312"/>
                <w:sz w:val="24"/>
                <w:szCs w:val="24"/>
              </w:rPr>
            </w:pPr>
            <w:r>
              <w:rPr>
                <w:rFonts w:ascii="Times New Roman" w:hAnsi="Times New Roman" w:eastAsia="仿宋_GB2312"/>
                <w:b/>
                <w:bCs/>
                <w:sz w:val="24"/>
                <w:szCs w:val="24"/>
              </w:rPr>
              <w:t>认定标准</w:t>
            </w:r>
          </w:p>
        </w:tc>
        <w:tc>
          <w:tcPr>
            <w:tcW w:w="3668" w:type="dxa"/>
            <w:noWrap w:val="0"/>
            <w:vAlign w:val="center"/>
          </w:tcPr>
          <w:p>
            <w:pPr>
              <w:spacing w:line="500" w:lineRule="exact"/>
              <w:jc w:val="center"/>
              <w:rPr>
                <w:rFonts w:ascii="Times New Roman" w:hAnsi="Times New Roman" w:eastAsia="仿宋_GB2312"/>
                <w:sz w:val="24"/>
                <w:szCs w:val="24"/>
              </w:rPr>
            </w:pPr>
            <w:r>
              <w:rPr>
                <w:rFonts w:ascii="Times New Roman" w:hAnsi="Times New Roman" w:eastAsia="仿宋_GB2312"/>
                <w:b/>
                <w:bCs/>
                <w:sz w:val="24"/>
                <w:szCs w:val="24"/>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126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业主</w:t>
            </w:r>
          </w:p>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满意率</w:t>
            </w:r>
          </w:p>
        </w:tc>
        <w:tc>
          <w:tcPr>
            <w:tcW w:w="3994" w:type="dxa"/>
            <w:noWrap w:val="0"/>
            <w:vAlign w:val="center"/>
          </w:tcPr>
          <w:p>
            <w:pPr>
              <w:spacing w:line="400" w:lineRule="exact"/>
              <w:rPr>
                <w:rFonts w:ascii="Times New Roman" w:hAnsi="Times New Roman" w:eastAsia="仿宋_GB2312"/>
                <w:sz w:val="24"/>
                <w:szCs w:val="24"/>
              </w:rPr>
            </w:pPr>
            <w:r>
              <w:rPr>
                <w:rFonts w:ascii="Times New Roman" w:hAnsi="Times New Roman" w:eastAsia="仿宋_GB2312"/>
                <w:sz w:val="24"/>
                <w:szCs w:val="24"/>
              </w:rPr>
              <w:t>物业服务项目中住宅小区业主满意率在50%以下的。</w:t>
            </w:r>
          </w:p>
        </w:tc>
        <w:tc>
          <w:tcPr>
            <w:tcW w:w="3668" w:type="dxa"/>
            <w:noWrap w:val="0"/>
            <w:vAlign w:val="center"/>
          </w:tcPr>
          <w:p>
            <w:pPr>
              <w:spacing w:line="400" w:lineRule="exact"/>
              <w:rPr>
                <w:rFonts w:ascii="Times New Roman" w:hAnsi="Times New Roman" w:eastAsia="仿宋_GB2312"/>
                <w:b/>
                <w:bCs/>
                <w:sz w:val="24"/>
                <w:szCs w:val="24"/>
              </w:rPr>
            </w:pPr>
            <w:r>
              <w:rPr>
                <w:rFonts w:hint="default" w:ascii="Times New Roman" w:hAnsi="Times New Roman" w:eastAsia="仿宋_GB2312"/>
                <w:sz w:val="24"/>
                <w:szCs w:val="24"/>
                <w:lang w:eastAsia="zh-CN"/>
              </w:rPr>
              <w:t>区物业行业主管部门</w:t>
            </w:r>
            <w:r>
              <w:rPr>
                <w:rFonts w:hint="eastAsia" w:ascii="Times New Roman" w:hAnsi="Times New Roman" w:eastAsia="仿宋_GB2312"/>
                <w:sz w:val="24"/>
                <w:szCs w:val="24"/>
                <w:lang w:val="en-US" w:eastAsia="zh-CN"/>
              </w:rPr>
              <w:t>运用</w:t>
            </w:r>
            <w:r>
              <w:rPr>
                <w:rFonts w:ascii="Times New Roman" w:hAnsi="Times New Roman" w:eastAsia="仿宋_GB2312"/>
                <w:sz w:val="24"/>
                <w:szCs w:val="24"/>
              </w:rPr>
              <w:t>信息系统进行评价，</w:t>
            </w:r>
            <w:r>
              <w:rPr>
                <w:rFonts w:hint="eastAsia" w:ascii="Times New Roman" w:hAnsi="Times New Roman" w:eastAsia="仿宋_GB2312"/>
                <w:sz w:val="24"/>
                <w:szCs w:val="24"/>
                <w:lang w:val="en-US" w:eastAsia="zh-CN"/>
              </w:rPr>
              <w:t>按企业服务项目10%的比例进行抽查，抽查项目不少于2个，不多于5个</w:t>
            </w:r>
            <w:r>
              <w:rPr>
                <w:rFonts w:ascii="Times New Roman" w:hAnsi="Times New Roman"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5" w:hRule="atLeast"/>
        </w:trPr>
        <w:tc>
          <w:tcPr>
            <w:tcW w:w="126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一票否决</w:t>
            </w:r>
          </w:p>
        </w:tc>
        <w:tc>
          <w:tcPr>
            <w:tcW w:w="3994" w:type="dxa"/>
            <w:noWrap w:val="0"/>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有下列情形之一的：</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1.因服务不当造成重大安全责任事故的；</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2.因挪用专项维修资金或者物业经营收入、逃税骗税、恶意欠薪、非法集资、合同诈骗、无证照经营等严重破坏市场经济秩序和社会管理秩序受到行政处罚或构成犯罪的；</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3.擅自撤离物业区域、停止物业服务，或被解聘拒不按规定办理交接手续、拒不退出的；</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4.因企业原因引发群体性事件的；</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5.申报红榜时存在提供虚假材料并经核实的。</w:t>
            </w:r>
          </w:p>
        </w:tc>
        <w:tc>
          <w:tcPr>
            <w:tcW w:w="3668" w:type="dxa"/>
            <w:noWrap w:val="0"/>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以生效文书为准。</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E71901A-6F1E-4A16-98C4-CAAFFC6A06AF}"/>
  </w:font>
  <w:font w:name="仿宋_GB2312">
    <w:panose1 w:val="02010609030101010101"/>
    <w:charset w:val="86"/>
    <w:family w:val="modern"/>
    <w:pitch w:val="default"/>
    <w:sig w:usb0="00000001" w:usb1="080E0000" w:usb2="00000000" w:usb3="00000000" w:csb0="00040000" w:csb1="00000000"/>
    <w:embedRegular r:id="rId2" w:fontKey="{A31D368E-5166-4841-AFEA-C7502227193E}"/>
  </w:font>
  <w:font w:name="方正小标宋简体">
    <w:panose1 w:val="02000000000000000000"/>
    <w:charset w:val="86"/>
    <w:family w:val="auto"/>
    <w:pitch w:val="default"/>
    <w:sig w:usb0="00000001" w:usb1="080E0000" w:usb2="00000000" w:usb3="00000000" w:csb0="00040000" w:csb1="00000000"/>
    <w:embedRegular r:id="rId3" w:fontKey="{63786C02-653D-483F-928A-68D04AE419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ODVjOTI0NTkzZDQ1ODM3OWFjN2MxM2Y5NGI3MmYifQ=="/>
  </w:docVars>
  <w:rsids>
    <w:rsidRoot w:val="5592215C"/>
    <w:rsid w:val="55922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2022-06-16T09:11:00Z</dcterms:created>
  <dc:creator>ww</dc:creator>
  <cp:lastModifiedBy>ww</cp:lastModifiedBy>
  <dcterms:modified xsi:type="dcterms:W3CDTF">2022-06-16T09:11:48Z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2D078C519D1C456A9BA42D49DBF9756F</vt:lpwstr>
  </property>
</Properties>
</file>