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hAnsi="Times New Roman" w:eastAsia="微软雅黑" w:cs="Times New Roman"/>
          <w:sz w:val="44"/>
          <w:szCs w:val="44"/>
        </w:rPr>
      </w:pPr>
      <w:bookmarkStart w:id="0" w:name="_Toc21530173"/>
      <w:bookmarkStart w:id="1" w:name="_Toc60988595"/>
      <w:bookmarkStart w:id="2" w:name="_Toc27143886"/>
      <w:bookmarkStart w:id="3" w:name="_Toc53476337"/>
      <w:bookmarkStart w:id="4" w:name="_Toc45894146"/>
      <w:bookmarkStart w:id="5" w:name="_Toc50974826"/>
      <w:bookmarkStart w:id="6" w:name="_Toc26883112"/>
      <w:bookmarkStart w:id="7" w:name="_Toc29461470"/>
      <w:bookmarkStart w:id="8" w:name="_Toc44514958"/>
      <w:bookmarkStart w:id="9" w:name="_Toc13669060"/>
      <w:bookmarkStart w:id="10" w:name="_Toc16256716"/>
      <w:bookmarkStart w:id="11" w:name="_Toc24027374"/>
      <w:bookmarkStart w:id="12" w:name="_Toc44657747"/>
      <w:bookmarkStart w:id="13" w:name="_Toc27143821"/>
      <w:bookmarkStart w:id="14" w:name="_Toc40261092"/>
      <w:bookmarkStart w:id="15" w:name="_Toc38031387"/>
      <w:bookmarkStart w:id="16" w:name="_Toc43888016"/>
      <w:bookmarkStart w:id="17" w:name="_Toc108511852"/>
      <w:bookmarkStart w:id="18" w:name="_Toc45890224"/>
      <w:bookmarkStart w:id="19" w:name="_Toc48654551"/>
      <w:bookmarkStart w:id="20" w:name="_Toc43889216"/>
      <w:bookmarkStart w:id="21" w:name="_Toc27143803"/>
      <w:bookmarkStart w:id="22" w:name="_Toc19527519"/>
      <w:bookmarkStart w:id="23" w:name="_Toc56083024"/>
      <w:bookmarkStart w:id="24" w:name="_Toc18930298"/>
      <w:bookmarkStart w:id="25" w:name="_Toc18930273"/>
      <w:bookmarkStart w:id="26" w:name="_Toc45287595"/>
      <w:bookmarkStart w:id="27" w:name="_Toc11071109"/>
      <w:bookmarkStart w:id="28" w:name="_Hlt11138051"/>
      <w:bookmarkStart w:id="29" w:name="_Toc106263667"/>
      <w:r>
        <w:rPr>
          <w:rFonts w:hint="eastAsia" w:ascii="微软雅黑" w:hAnsi="Times New Roman" w:eastAsia="微软雅黑" w:cs="Times New Roman"/>
          <w:sz w:val="44"/>
          <w:szCs w:val="44"/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30" w:name="_Toc27143822"/>
      <w:bookmarkStart w:id="31" w:name="_Toc24027375"/>
      <w:bookmarkStart w:id="32" w:name="_Toc26883113"/>
      <w:bookmarkStart w:id="33" w:name="_Toc43889217"/>
      <w:bookmarkStart w:id="34" w:name="_Toc44514959"/>
      <w:bookmarkStart w:id="35" w:name="_Toc43888017"/>
      <w:bookmarkStart w:id="36" w:name="_Toc48654552"/>
      <w:bookmarkStart w:id="37" w:name="_Toc50974827"/>
      <w:bookmarkStart w:id="38" w:name="_Toc45894147"/>
      <w:bookmarkStart w:id="39" w:name="_Toc40261093"/>
      <w:bookmarkStart w:id="40" w:name="_Toc29461471"/>
      <w:bookmarkStart w:id="41" w:name="_Toc45287596"/>
      <w:bookmarkStart w:id="42" w:name="_Toc38031388"/>
      <w:bookmarkStart w:id="43" w:name="_Toc13669061"/>
      <w:bookmarkStart w:id="44" w:name="_Toc44657748"/>
      <w:bookmarkStart w:id="45" w:name="_Toc45890225"/>
      <w:bookmarkStart w:id="46" w:name="_Toc27143804"/>
      <w:bookmarkStart w:id="47" w:name="_Toc53476338"/>
      <w:bookmarkStart w:id="48" w:name="_Toc60988596"/>
      <w:bookmarkStart w:id="49" w:name="_Toc27143887"/>
      <w:bookmarkStart w:id="50" w:name="_Toc11071110"/>
      <w:bookmarkStart w:id="51" w:name="_Toc108511853"/>
      <w:bookmarkStart w:id="52" w:name="_Toc56083025"/>
      <w:bookmarkStart w:id="53" w:name="_Toc18930274"/>
      <w:bookmarkStart w:id="54" w:name="_Toc16256717"/>
      <w:bookmarkStart w:id="55" w:name="_Toc21530174"/>
      <w:bookmarkStart w:id="56" w:name="_Toc18930299"/>
      <w:bookmarkStart w:id="57" w:name="_Toc19527520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8" w:name="bookmark5"/>
      <w:bookmarkEnd w:id="58"/>
      <w:r>
        <w:rPr>
          <w:rFonts w:ascii="黑体" w:hAnsi="黑体" w:eastAsia="黑体" w:cs="黑体"/>
          <w:sz w:val="32"/>
          <w:szCs w:val="32"/>
        </w:rPr>
        <w:t>6月</w:t>
      </w:r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spacing w:line="540" w:lineRule="exact"/>
        <w:ind w:right="54" w:rightChars="26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个，分布在中心城区，省控点1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个，分布在各县市。</w:t>
      </w:r>
      <w:bookmarkStart w:id="59" w:name="bookmark6"/>
      <w:bookmarkEnd w:id="59"/>
      <w:r>
        <w:rPr>
          <w:rFonts w:ascii="仿宋_GB2312" w:hAnsi="Times New Roman" w:eastAsia="仿宋_GB2312" w:cs="Times New Roman"/>
          <w:sz w:val="32"/>
          <w:szCs w:val="32"/>
        </w:rPr>
        <w:t>2022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bookmarkStart w:id="60" w:name="bookmark7"/>
      <w:bookmarkEnd w:id="60"/>
      <w:r>
        <w:rPr>
          <w:rFonts w:ascii="仿宋_GB2312" w:hAnsi="Times New Roman" w:eastAsia="仿宋_GB2312" w:cs="Times New Roman"/>
          <w:sz w:val="32"/>
          <w:szCs w:val="32"/>
        </w:rPr>
        <w:t>6月</w:t>
      </w: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59264" behindDoc="0" locked="0" layoutInCell="1" allowOverlap="1">
            <wp:simplePos x="0" y="0"/>
            <wp:positionH relativeFrom="page">
              <wp:posOffset>4064000</wp:posOffset>
            </wp:positionH>
            <wp:positionV relativeFrom="page">
              <wp:posOffset>3473450</wp:posOffset>
            </wp:positionV>
            <wp:extent cx="2520950" cy="1798955"/>
            <wp:effectExtent l="0" t="0" r="1270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全市14个县市区优良天数比例均值为</w:t>
      </w:r>
      <w:bookmarkStart w:id="61" w:name="bookmark8"/>
      <w:bookmarkEnd w:id="61"/>
      <w:r>
        <w:rPr>
          <w:rFonts w:ascii="仿宋_GB2312" w:hAnsi="Times New Roman" w:eastAsia="仿宋_GB2312" w:cs="Times New Roman"/>
          <w:sz w:val="32"/>
          <w:szCs w:val="32"/>
        </w:rPr>
        <w:t xml:space="preserve">92.1 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%，较去年同期</w:t>
      </w:r>
      <w:bookmarkStart w:id="62" w:name="bookmark9"/>
      <w:bookmarkEnd w:id="62"/>
      <w:r>
        <w:rPr>
          <w:rFonts w:hint="eastAsia" w:ascii="仿宋_GB2312" w:hAnsi="Times New Roman" w:eastAsia="仿宋_GB2312" w:cs="Times New Roman"/>
          <w:sz w:val="32"/>
          <w:szCs w:val="32"/>
        </w:rPr>
        <w:t>上升9.5个百分点，14个县市区空气质量优良天数比例在</w:t>
      </w:r>
      <w:bookmarkStart w:id="63" w:name="bookmark10"/>
      <w:bookmarkEnd w:id="63"/>
      <w:r>
        <w:rPr>
          <w:rFonts w:ascii="仿宋_GB2312" w:hAnsi="Times New Roman" w:eastAsia="仿宋_GB2312" w:cs="Times New Roman"/>
          <w:sz w:val="32"/>
          <w:szCs w:val="32"/>
        </w:rPr>
        <w:t>73.3</w:t>
      </w:r>
      <w:r>
        <w:rPr>
          <w:rFonts w:hint="eastAsia" w:ascii="仿宋_GB2312" w:hAnsi="Times New Roman" w:eastAsia="仿宋_GB2312" w:cs="Times New Roman"/>
          <w:sz w:val="32"/>
          <w:szCs w:val="32"/>
        </w:rPr>
        <w:t>%至</w:t>
      </w:r>
      <w:bookmarkStart w:id="64" w:name="bookmark11"/>
      <w:bookmarkEnd w:id="64"/>
      <w:r>
        <w:rPr>
          <w:rFonts w:ascii="仿宋_GB2312" w:hAnsi="Times New Roman" w:eastAsia="仿宋_GB2312" w:cs="Times New Roman"/>
          <w:sz w:val="32"/>
          <w:szCs w:val="32"/>
        </w:rPr>
        <w:t>100.0</w:t>
      </w:r>
      <w:r>
        <w:rPr>
          <w:rFonts w:hint="eastAsia" w:ascii="仿宋_GB2312" w:hAnsi="Times New Roman" w:eastAsia="仿宋_GB2312" w:cs="Times New Roman"/>
          <w:sz w:val="32"/>
          <w:szCs w:val="32"/>
        </w:rPr>
        <w:t>%之间。</w:t>
      </w:r>
    </w:p>
    <w:p>
      <w:pPr>
        <w:spacing w:line="540" w:lineRule="exact"/>
        <w:ind w:right="54" w:rightChars="26" w:firstLine="630" w:firstLineChars="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60288" behindDoc="0" locked="0" layoutInCell="1" allowOverlap="1">
            <wp:simplePos x="0" y="0"/>
            <wp:positionH relativeFrom="page">
              <wp:posOffset>4070350</wp:posOffset>
            </wp:positionH>
            <wp:positionV relativeFrom="page">
              <wp:posOffset>5353050</wp:posOffset>
            </wp:positionV>
            <wp:extent cx="2520950" cy="1799590"/>
            <wp:effectExtent l="0" t="0" r="12700" b="101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国家考核区域的空气质量优良天数为</w:t>
      </w:r>
      <w:bookmarkStart w:id="65" w:name="bookmark12"/>
      <w:bookmarkEnd w:id="65"/>
      <w:r>
        <w:rPr>
          <w:rFonts w:ascii="仿宋_GB2312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天，优良天数比例为</w:t>
      </w:r>
      <w:bookmarkStart w:id="66" w:name="bookmark13"/>
      <w:bookmarkEnd w:id="66"/>
      <w:r>
        <w:rPr>
          <w:rFonts w:ascii="仿宋_GB2312" w:hAnsi="Times New Roman" w:eastAsia="仿宋_GB2312" w:cs="Times New Roman"/>
          <w:sz w:val="32"/>
          <w:szCs w:val="32"/>
        </w:rPr>
        <w:t>83.3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%，较去年同期</w:t>
      </w:r>
      <w:bookmarkStart w:id="67" w:name="bookmark14"/>
      <w:bookmarkEnd w:id="67"/>
      <w:r>
        <w:rPr>
          <w:rFonts w:hint="eastAsia" w:ascii="仿宋_GB2312" w:hAnsi="Times New Roman" w:eastAsia="仿宋_GB2312" w:cs="Times New Roman"/>
          <w:sz w:val="32"/>
          <w:szCs w:val="32"/>
        </w:rPr>
        <w:t>上升10.0个百分点。详见附表1。</w:t>
      </w:r>
    </w:p>
    <w:p>
      <w:pPr>
        <w:spacing w:line="540" w:lineRule="exact"/>
        <w:ind w:right="54" w:rightChars="26" w:firstLine="630" w:firstLineChars="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669925</wp:posOffset>
            </wp:positionV>
            <wp:extent cx="2514600" cy="1799590"/>
            <wp:effectExtent l="0" t="0" r="0" b="1016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按照城市环境空气质量综合指数评价，1</w:t>
      </w: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个县市区空气质量监测结果相对较好的县市区是：</w:t>
      </w:r>
      <w:bookmarkStart w:id="68" w:name="bookmark15"/>
      <w:bookmarkEnd w:id="68"/>
      <w:r>
        <w:rPr>
          <w:rFonts w:hint="eastAsia" w:ascii="仿宋_GB2312" w:hAnsi="Times New Roman" w:eastAsia="仿宋_GB2312" w:cs="Times New Roman"/>
          <w:sz w:val="32"/>
          <w:szCs w:val="32"/>
        </w:rPr>
        <w:t>五峰土家族自治县、</w:t>
      </w:r>
      <w:bookmarkStart w:id="69" w:name="bookmark16"/>
      <w:bookmarkEnd w:id="69"/>
      <w:r>
        <w:rPr>
          <w:rFonts w:hint="eastAsia" w:ascii="仿宋_GB2312" w:hAnsi="Times New Roman" w:eastAsia="仿宋_GB2312" w:cs="Times New Roman"/>
          <w:sz w:val="32"/>
          <w:szCs w:val="32"/>
        </w:rPr>
        <w:t>兴山县和</w:t>
      </w:r>
      <w:bookmarkStart w:id="70" w:name="bookmark17"/>
      <w:bookmarkEnd w:id="70"/>
      <w:r>
        <w:rPr>
          <w:rFonts w:hint="eastAsia" w:ascii="仿宋_GB2312" w:hAnsi="Times New Roman" w:eastAsia="仿宋_GB2312" w:cs="Times New Roman"/>
          <w:sz w:val="32"/>
          <w:szCs w:val="32"/>
        </w:rPr>
        <w:t>长阳土家族自治县；相对较差的县市区是：</w:t>
      </w:r>
      <w:bookmarkStart w:id="71" w:name="bookmark18"/>
      <w:bookmarkEnd w:id="71"/>
      <w:r>
        <w:rPr>
          <w:rFonts w:hint="eastAsia" w:ascii="仿宋_GB2312" w:hAnsi="Times New Roman" w:eastAsia="仿宋_GB2312" w:cs="Times New Roman"/>
          <w:sz w:val="32"/>
          <w:szCs w:val="32"/>
        </w:rPr>
        <w:t>点军区、</w:t>
      </w:r>
      <w:bookmarkStart w:id="72" w:name="bookmark19"/>
      <w:bookmarkEnd w:id="72"/>
      <w:r>
        <w:rPr>
          <w:rFonts w:hint="eastAsia" w:ascii="仿宋_GB2312" w:hAnsi="Times New Roman" w:eastAsia="仿宋_GB2312" w:cs="Times New Roman"/>
          <w:sz w:val="32"/>
          <w:szCs w:val="32"/>
        </w:rPr>
        <w:t>伍家岗区和</w:t>
      </w:r>
      <w:bookmarkStart w:id="73" w:name="bookmark20"/>
      <w:bookmarkEnd w:id="73"/>
      <w:r>
        <w:rPr>
          <w:rFonts w:hint="eastAsia" w:ascii="仿宋_GB2312" w:hAnsi="Times New Roman" w:eastAsia="仿宋_GB2312" w:cs="Times New Roman"/>
          <w:sz w:val="32"/>
          <w:szCs w:val="32"/>
        </w:rPr>
        <w:t>猇亭区。详见附表2。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全市14个县市区，</w:t>
      </w:r>
      <w:bookmarkStart w:id="74" w:name="bookmark21"/>
      <w:bookmarkEnd w:id="74"/>
      <w:r>
        <w:rPr>
          <w:rFonts w:hint="eastAsia" w:ascii="仿宋_GB2312" w:hAnsi="Times New Roman" w:eastAsia="仿宋_GB2312" w:cs="仿宋_GB2312"/>
          <w:sz w:val="32"/>
          <w:szCs w:val="32"/>
        </w:rPr>
        <w:t>O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月浓度除夷陵区、高新区、点军区、猇亭区、西陵区和伍家岗区外其他县市区均达到年均二级标准限值；其它主要污染物浓度均达到年均二级标准及以上。宜昌市各县市区主要污染物浓度详见附表3。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75" w:name="_Toc18930300"/>
      <w:bookmarkStart w:id="76" w:name="_Toc18930275"/>
      <w:bookmarkStart w:id="77" w:name="_Toc16256718"/>
      <w:bookmarkStart w:id="78" w:name="_Toc11071111"/>
      <w:bookmarkStart w:id="79" w:name="_Toc13669062"/>
      <w:bookmarkStart w:id="80" w:name="_Toc26883114"/>
      <w:bookmarkStart w:id="81" w:name="_Toc19527521"/>
      <w:bookmarkStart w:id="82" w:name="_Toc21530175"/>
      <w:bookmarkStart w:id="83" w:name="_Toc24027376"/>
      <w:bookmarkStart w:id="84" w:name="_Toc50974828"/>
      <w:bookmarkStart w:id="85" w:name="_Toc43888018"/>
      <w:bookmarkStart w:id="86" w:name="_Toc27143888"/>
      <w:bookmarkStart w:id="87" w:name="_Toc29461472"/>
      <w:bookmarkStart w:id="88" w:name="_Toc27143823"/>
      <w:bookmarkStart w:id="89" w:name="_Toc38031389"/>
      <w:bookmarkStart w:id="90" w:name="_Toc40261094"/>
      <w:bookmarkStart w:id="91" w:name="_Toc44514960"/>
      <w:bookmarkStart w:id="92" w:name="_Toc43889218"/>
      <w:bookmarkStart w:id="93" w:name="_Toc44657749"/>
      <w:bookmarkStart w:id="94" w:name="_Toc45287597"/>
      <w:bookmarkStart w:id="95" w:name="_Toc45894148"/>
      <w:bookmarkStart w:id="96" w:name="_Toc45890226"/>
      <w:bookmarkStart w:id="97" w:name="_Toc48654553"/>
      <w:bookmarkStart w:id="98" w:name="_Toc27143805"/>
      <w:bookmarkStart w:id="99" w:name="_Toc56083026"/>
      <w:bookmarkStart w:id="100" w:name="_Toc53476339"/>
      <w:bookmarkStart w:id="101" w:name="_Toc60988597"/>
      <w:bookmarkStart w:id="102" w:name="_Toc108511854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5"/>
      <w:bookmarkEnd w:id="76"/>
      <w:bookmarkEnd w:id="77"/>
      <w:bookmarkEnd w:id="78"/>
      <w:bookmarkEnd w:id="79"/>
      <w:bookmarkStart w:id="103" w:name="bookmark30"/>
      <w:bookmarkEnd w:id="103"/>
      <w:bookmarkStart w:id="104" w:name="_Toc13669064"/>
      <w:bookmarkStart w:id="105" w:name="_Toc16256720"/>
      <w:bookmarkStart w:id="106" w:name="_Toc18930302"/>
      <w:bookmarkStart w:id="107" w:name="_Toc18930277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8" w:name="bookmark31"/>
      <w:bookmarkEnd w:id="108"/>
      <w:r>
        <w:rPr>
          <w:rFonts w:ascii="黑体" w:hAnsi="黑体" w:eastAsia="黑体" w:cs="黑体"/>
          <w:sz w:val="32"/>
          <w:szCs w:val="32"/>
        </w:rPr>
        <w:t>6月</w:t>
      </w:r>
      <w:bookmarkEnd w:id="80"/>
      <w:bookmarkEnd w:id="81"/>
      <w:bookmarkEnd w:id="82"/>
      <w:bookmarkEnd w:id="83"/>
      <w:bookmarkEnd w:id="104"/>
      <w:bookmarkEnd w:id="105"/>
      <w:bookmarkEnd w:id="106"/>
      <w:bookmarkEnd w:id="107"/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09" w:name="bookmark32"/>
      <w:bookmarkEnd w:id="109"/>
      <w:bookmarkStart w:id="110" w:name="_Toc27143824"/>
      <w:bookmarkStart w:id="111" w:name="_Toc27143806"/>
      <w:r>
        <w:rPr>
          <w:rFonts w:hint="eastAsia" w:ascii="仿宋_GB2312" w:hAnsi="Times New Roman" w:eastAsia="仿宋_GB2312" w:cs="仿宋_GB2312"/>
          <w:sz w:val="32"/>
          <w:szCs w:val="32"/>
        </w:rPr>
        <w:t>国家考核区域的空气质量优良天数为</w:t>
      </w:r>
      <w:bookmarkStart w:id="112" w:name="bookmark33"/>
      <w:bookmarkEnd w:id="112"/>
      <w:r>
        <w:rPr>
          <w:rFonts w:ascii="仿宋_GB2312" w:hAnsi="Times New Roman" w:eastAsia="仿宋_GB2312" w:cs="仿宋_GB2312"/>
          <w:sz w:val="32"/>
          <w:szCs w:val="32"/>
        </w:rPr>
        <w:t>148</w:t>
      </w:r>
      <w:r>
        <w:rPr>
          <w:rFonts w:hint="eastAsia" w:ascii="仿宋_GB2312" w:hAnsi="Times New Roman" w:eastAsia="仿宋_GB2312" w:cs="仿宋_GB2312"/>
          <w:sz w:val="32"/>
          <w:szCs w:val="32"/>
        </w:rPr>
        <w:t>天，优良天数比例为</w:t>
      </w:r>
      <w:bookmarkStart w:id="113" w:name="bookmark34"/>
      <w:bookmarkEnd w:id="113"/>
      <w:r>
        <w:rPr>
          <w:rFonts w:ascii="仿宋_GB2312" w:hAnsi="Times New Roman" w:eastAsia="仿宋_GB2312" w:cs="仿宋_GB2312"/>
          <w:sz w:val="32"/>
          <w:szCs w:val="32"/>
        </w:rPr>
        <w:t>81.8</w:t>
      </w:r>
      <w:r>
        <w:rPr>
          <w:rFonts w:hint="eastAsia" w:ascii="仿宋_GB2312" w:hAnsi="Times New Roman" w:eastAsia="仿宋_GB2312" w:cs="仿宋_GB2312"/>
          <w:sz w:val="32"/>
          <w:szCs w:val="32"/>
        </w:rPr>
        <w:t>%，较去年同期</w:t>
      </w:r>
      <w:bookmarkStart w:id="114" w:name="bookmark35"/>
      <w:bookmarkEnd w:id="114"/>
      <w:r>
        <w:rPr>
          <w:rFonts w:hint="eastAsia" w:ascii="仿宋_GB2312" w:hAnsi="Times New Roman" w:eastAsia="仿宋_GB2312" w:cs="仿宋_GB2312"/>
          <w:sz w:val="32"/>
          <w:szCs w:val="32"/>
        </w:rPr>
        <w:t>上升1.1个百分点。详见附表1。</w:t>
      </w:r>
      <w:bookmarkEnd w:id="110"/>
      <w:bookmarkEnd w:id="111"/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15" w:name="bookmark36"/>
      <w:bookmarkEnd w:id="115"/>
      <w:r>
        <w:rPr>
          <w:rFonts w:hint="eastAsia" w:ascii="仿宋_GB2312" w:hAnsi="Times New Roman" w:eastAsia="仿宋_GB2312" w:cs="仿宋_GB2312"/>
          <w:sz w:val="32"/>
          <w:szCs w:val="32"/>
        </w:rPr>
        <w:t>国家考核区域PM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平均浓度值为</w:t>
      </w:r>
      <w:bookmarkStart w:id="116" w:name="bookmark37"/>
      <w:bookmarkEnd w:id="116"/>
      <w:r>
        <w:rPr>
          <w:rFonts w:ascii="仿宋_GB2312" w:hAnsi="Times New Roman" w:eastAsia="仿宋_GB2312" w:cs="仿宋_GB2312"/>
          <w:sz w:val="32"/>
          <w:szCs w:val="32"/>
        </w:rPr>
        <w:t>64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17" w:name="bookmark38"/>
      <w:bookmarkEnd w:id="117"/>
      <w:r>
        <w:rPr>
          <w:rFonts w:hint="eastAsia" w:ascii="仿宋_GB2312" w:hAnsi="Times New Roman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为70μg/m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18" w:name="bookmark80"/>
      <w:bookmarkEnd w:id="118"/>
      <w:r>
        <w:rPr>
          <w:rFonts w:hint="eastAsia" w:ascii="仿宋_GB2312" w:hAnsi="Times New Roman" w:eastAsia="仿宋_GB2312" w:cs="仿宋_GB2312"/>
          <w:sz w:val="32"/>
          <w:szCs w:val="32"/>
        </w:rPr>
        <w:t>与</w:t>
      </w:r>
      <w:bookmarkStart w:id="119" w:name="bookmark39"/>
      <w:bookmarkEnd w:id="119"/>
      <w:r>
        <w:rPr>
          <w:rFonts w:ascii="仿宋_GB2312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20" w:name="bookmark40"/>
      <w:bookmarkEnd w:id="120"/>
      <w:r>
        <w:rPr>
          <w:rFonts w:ascii="仿宋_GB2312" w:hAnsi="Times New Roman" w:eastAsia="仿宋_GB2312" w:cs="仿宋_GB2312"/>
          <w:sz w:val="32"/>
          <w:szCs w:val="32"/>
        </w:rPr>
        <w:t>67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21" w:name="bookmark41"/>
      <w:bookmarkEnd w:id="121"/>
      <w:r>
        <w:rPr>
          <w:rFonts w:hint="eastAsia" w:ascii="仿宋_GB2312" w:hAnsi="Times New Roman" w:eastAsia="仿宋_GB2312" w:cs="仿宋_GB2312"/>
          <w:sz w:val="32"/>
          <w:szCs w:val="32"/>
        </w:rPr>
        <w:t>下降4.5 %。详见附表4。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22" w:name="bookmark42"/>
      <w:bookmarkEnd w:id="122"/>
      <w:r>
        <w:rPr>
          <w:rFonts w:hint="eastAsia" w:ascii="仿宋_GB2312" w:hAnsi="Times New Roman" w:eastAsia="仿宋_GB2312" w:cs="仿宋_GB2312"/>
          <w:sz w:val="32"/>
          <w:szCs w:val="32"/>
        </w:rPr>
        <w:t>国家考核区域PM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平均浓度值为</w:t>
      </w:r>
      <w:bookmarkStart w:id="123" w:name="bookmark43"/>
      <w:bookmarkEnd w:id="123"/>
      <w:r>
        <w:rPr>
          <w:rFonts w:ascii="仿宋_GB2312" w:hAnsi="Times New Roman" w:eastAsia="仿宋_GB2312" w:cs="仿宋_GB2312"/>
          <w:sz w:val="32"/>
          <w:szCs w:val="32"/>
        </w:rPr>
        <w:t>43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24" w:name="bookmark44"/>
      <w:bookmarkEnd w:id="124"/>
      <w:r>
        <w:rPr>
          <w:rFonts w:hint="eastAsia" w:ascii="仿宋_GB2312" w:hAnsi="Times New Roman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为3</w:t>
      </w: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μg/m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25" w:name="bookmark45"/>
      <w:bookmarkEnd w:id="125"/>
      <w:r>
        <w:rPr>
          <w:rFonts w:hint="eastAsia" w:ascii="仿宋_GB2312" w:hAnsi="Times New Roman" w:eastAsia="仿宋_GB2312" w:cs="仿宋_GB2312"/>
          <w:sz w:val="32"/>
          <w:szCs w:val="32"/>
        </w:rPr>
        <w:t>超标倍数为0.2，与</w:t>
      </w:r>
      <w:bookmarkStart w:id="126" w:name="bookmark46"/>
      <w:bookmarkEnd w:id="126"/>
      <w:r>
        <w:rPr>
          <w:rFonts w:ascii="仿宋_GB2312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27" w:name="bookmark47"/>
      <w:bookmarkEnd w:id="127"/>
      <w:r>
        <w:rPr>
          <w:rFonts w:ascii="仿宋_GB2312" w:hAnsi="Times New Roman" w:eastAsia="仿宋_GB2312" w:cs="仿宋_GB2312"/>
          <w:sz w:val="32"/>
          <w:szCs w:val="32"/>
        </w:rPr>
        <w:t>45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28" w:name="bookmark48"/>
      <w:bookmarkEnd w:id="128"/>
      <w:r>
        <w:rPr>
          <w:rFonts w:hint="eastAsia" w:ascii="仿宋_GB2312" w:hAnsi="Times New Roman" w:eastAsia="仿宋_GB2312" w:cs="仿宋_GB2312"/>
          <w:sz w:val="32"/>
          <w:szCs w:val="32"/>
        </w:rPr>
        <w:t>下降4.4 %。详见附表5。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29" w:name="bookmark49"/>
      <w:bookmarkEnd w:id="129"/>
      <w:r>
        <w:rPr>
          <w:rFonts w:hint="eastAsia" w:ascii="仿宋_GB2312" w:hAnsi="Times New Roman" w:eastAsia="仿宋_GB2312" w:cs="仿宋_GB2312"/>
          <w:sz w:val="32"/>
          <w:szCs w:val="32"/>
        </w:rPr>
        <w:t>国家考核区域O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日最大8小时均值第90百分位数为</w:t>
      </w:r>
      <w:bookmarkStart w:id="130" w:name="bookmark50"/>
      <w:bookmarkEnd w:id="130"/>
      <w:r>
        <w:rPr>
          <w:rFonts w:ascii="仿宋_GB2312" w:hAnsi="Times New Roman" w:eastAsia="仿宋_GB2312" w:cs="仿宋_GB2312"/>
          <w:sz w:val="32"/>
          <w:szCs w:val="32"/>
        </w:rPr>
        <w:t>152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31" w:name="bookmark51"/>
      <w:bookmarkEnd w:id="131"/>
      <w:r>
        <w:rPr>
          <w:rFonts w:hint="eastAsia" w:ascii="仿宋_GB2312" w:hAnsi="Times New Roman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为160μg/m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32" w:name="bookmark81"/>
      <w:bookmarkEnd w:id="132"/>
      <w:r>
        <w:rPr>
          <w:rFonts w:hint="eastAsia" w:ascii="仿宋_GB2312" w:hAnsi="Times New Roman" w:eastAsia="仿宋_GB2312" w:cs="仿宋_GB2312"/>
          <w:sz w:val="32"/>
          <w:szCs w:val="32"/>
        </w:rPr>
        <w:t>与</w:t>
      </w:r>
      <w:bookmarkStart w:id="133" w:name="bookmark52"/>
      <w:bookmarkEnd w:id="133"/>
      <w:r>
        <w:rPr>
          <w:rFonts w:ascii="仿宋_GB2312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34" w:name="bookmark53"/>
      <w:bookmarkEnd w:id="134"/>
      <w:r>
        <w:rPr>
          <w:rFonts w:ascii="仿宋_GB2312" w:hAnsi="Times New Roman" w:eastAsia="仿宋_GB2312" w:cs="仿宋_GB2312"/>
          <w:sz w:val="32"/>
          <w:szCs w:val="32"/>
        </w:rPr>
        <w:t>132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35" w:name="bookmark54"/>
      <w:bookmarkEnd w:id="135"/>
      <w:r>
        <w:rPr>
          <w:rFonts w:hint="eastAsia" w:ascii="仿宋_GB2312" w:hAnsi="Times New Roman" w:eastAsia="仿宋_GB2312" w:cs="仿宋_GB2312"/>
          <w:sz w:val="32"/>
          <w:szCs w:val="32"/>
        </w:rPr>
        <w:t>上升15.2 %。详见附表6。</w:t>
      </w:r>
    </w:p>
    <w:p>
      <w:pPr>
        <w:spacing w:line="540" w:lineRule="exact"/>
        <w:ind w:firstLine="42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36" w:name="bookmark55"/>
      <w:bookmarkEnd w:id="136"/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61312" behindDoc="0" locked="0" layoutInCell="1" allowOverlap="1">
            <wp:simplePos x="0" y="0"/>
            <wp:positionH relativeFrom="page">
              <wp:posOffset>2101850</wp:posOffset>
            </wp:positionH>
            <wp:positionV relativeFrom="page">
              <wp:posOffset>7321550</wp:posOffset>
            </wp:positionV>
            <wp:extent cx="3937000" cy="1912620"/>
            <wp:effectExtent l="0" t="0" r="6350" b="1143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Times New Roman" w:eastAsia="仿宋_GB2312" w:cs="仿宋_GB2312"/>
          <w:sz w:val="32"/>
          <w:szCs w:val="32"/>
        </w:rPr>
        <w:t>全市各县市区</w:t>
      </w:r>
      <w:r>
        <w:rPr>
          <w:rFonts w:hint="eastAsia" w:ascii="仿宋_GB2312" w:hAnsi="Times New Roman" w:eastAsia="仿宋_GB2312" w:cs="仿宋_GB2312"/>
          <w:sz w:val="32"/>
          <w:szCs w:val="32"/>
        </w:rPr>
        <w:t>空气质量</w:t>
      </w:r>
      <w:r>
        <w:rPr>
          <w:rFonts w:ascii="仿宋_GB2312" w:hAnsi="Times New Roman" w:eastAsia="仿宋_GB2312" w:cs="仿宋_GB2312"/>
          <w:sz w:val="32"/>
          <w:szCs w:val="32"/>
        </w:rPr>
        <w:t>情况见附表1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ascii="仿宋_GB2312" w:hAnsi="Times New Roman" w:eastAsia="仿宋_GB2312" w:cs="仿宋_GB2312"/>
          <w:sz w:val="32"/>
          <w:szCs w:val="32"/>
        </w:rPr>
        <w:t>全市各县市区浓度情况见附表4-6。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  <w:bookmarkStart w:id="137" w:name="_Toc492622170"/>
    </w:p>
    <w:bookmarkEnd w:id="29"/>
    <w:bookmarkEnd w:id="137"/>
    <w:p>
      <w:pPr>
        <w:spacing w:line="54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138" w:name="_Toc60988603"/>
      <w:bookmarkStart w:id="139" w:name="_Toc45894154"/>
      <w:bookmarkStart w:id="140" w:name="_Toc27143811"/>
      <w:bookmarkStart w:id="141" w:name="_Toc487200541"/>
      <w:bookmarkStart w:id="142" w:name="_Toc19527526"/>
      <w:bookmarkStart w:id="143" w:name="_Toc50974834"/>
      <w:bookmarkStart w:id="144" w:name="_Toc40261100"/>
      <w:bookmarkStart w:id="145" w:name="_Toc18930309"/>
      <w:bookmarkStart w:id="146" w:name="_Toc45890232"/>
      <w:bookmarkStart w:id="147" w:name="_Toc24027381"/>
      <w:bookmarkStart w:id="148" w:name="_Toc38031395"/>
      <w:bookmarkStart w:id="149" w:name="_Toc43888024"/>
      <w:bookmarkStart w:id="150" w:name="_Toc29461477"/>
      <w:bookmarkStart w:id="151" w:name="_Toc44514966"/>
      <w:bookmarkStart w:id="152" w:name="_Toc45287603"/>
      <w:bookmarkStart w:id="153" w:name="_Toc26883119"/>
      <w:bookmarkStart w:id="154" w:name="_Toc27143893"/>
      <w:bookmarkStart w:id="155" w:name="_Toc13669071"/>
      <w:bookmarkStart w:id="156" w:name="_Toc27143829"/>
      <w:bookmarkStart w:id="157" w:name="_Toc21530180"/>
      <w:bookmarkStart w:id="158" w:name="_Toc11071119"/>
      <w:bookmarkStart w:id="159" w:name="_Toc43889224"/>
      <w:bookmarkStart w:id="160" w:name="_Toc48654559"/>
      <w:bookmarkStart w:id="161" w:name="_Toc18930284"/>
      <w:bookmarkStart w:id="162" w:name="_Toc16256727"/>
      <w:bookmarkStart w:id="163" w:name="_Toc56083032"/>
      <w:bookmarkStart w:id="164" w:name="_Toc53476345"/>
      <w:bookmarkStart w:id="165" w:name="_Toc497806304"/>
      <w:bookmarkStart w:id="166" w:name="_Toc108511860"/>
      <w:bookmarkStart w:id="167" w:name="_Toc44657755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>
      <w:pPr>
        <w:spacing w:line="56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68" w:name="bookmark56"/>
      <w:bookmarkEnd w:id="168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69" w:name="bookmark57"/>
      <w:bookmarkEnd w:id="169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70" w:name="bookmark58"/>
      <w:bookmarkEnd w:id="170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空气质量优良天数比例情况表 </w:t>
      </w:r>
    </w:p>
    <w:tbl>
      <w:tblPr>
        <w:tblStyle w:val="2"/>
        <w:tblW w:w="15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9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6月优良天数比例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1～6月优良天数比例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98.9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97.8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92.3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92.3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91.1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87.3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-2.2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87.5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82.4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86.2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9.5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81.0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86.2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81.0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8.6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79.9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79.3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79.8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73.3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5.4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78.1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83.3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10.0 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81.8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54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92.1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9.5 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87.8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1.6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黑体" w:hAnsi="黑体" w:eastAsia="黑体" w:cs="Times New Roman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71" w:name="bookmark59"/>
      <w:bookmarkEnd w:id="171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2" w:name="bookmark60"/>
      <w:bookmarkEnd w:id="172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空气质量综合指数排名表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w w:val="99"/>
          <w:sz w:val="32"/>
          <w:szCs w:val="32"/>
        </w:rPr>
      </w:pPr>
    </w:p>
    <w:tbl>
      <w:tblPr>
        <w:tblStyle w:val="2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1.89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0.73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1.89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2.19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0.72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2.40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0.91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2.55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0.84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2.65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0.82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2.69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0.94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2.74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0.96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2.78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2.88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1.04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2.89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2.92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1.08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2.98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1.01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3.09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1.04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3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hAnsi="Times New Roman" w:eastAsia="仿宋_GB2312" w:cs="仿宋_GB2312"/>
          <w:sz w:val="24"/>
        </w:rPr>
      </w:pPr>
    </w:p>
    <w:p>
      <w:pPr>
        <w:spacing w:line="600" w:lineRule="exact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73" w:name="bookmark61"/>
      <w:bookmarkEnd w:id="173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4" w:name="bookmark62"/>
      <w:bookmarkEnd w:id="174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空气污染物平均浓度情况表</w:t>
      </w:r>
    </w:p>
    <w:p>
      <w:pPr>
        <w:spacing w:line="400" w:lineRule="exact"/>
        <w:ind w:right="108"/>
        <w:jc w:val="right"/>
        <w:rPr>
          <w:rFonts w:ascii="黑体" w:hAnsi="黑体" w:eastAsia="黑体" w:cs="Times New Roman"/>
          <w:w w:val="99"/>
          <w:sz w:val="22"/>
          <w:szCs w:val="22"/>
        </w:rPr>
      </w:pPr>
    </w:p>
    <w:tbl>
      <w:tblPr>
        <w:tblStyle w:val="2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五峰土家族自治县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117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0.7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长阳土家族自治县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115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139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134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167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167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25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173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178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168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20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151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>0.7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75" w:name="bookmark63"/>
      <w:bookmarkEnd w:id="175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6" w:name="bookmark64"/>
      <w:bookmarkEnd w:id="176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77" w:name="bookmark65"/>
      <w:bookmarkEnd w:id="177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2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9"/>
        <w:gridCol w:w="1119"/>
        <w:gridCol w:w="640"/>
        <w:gridCol w:w="1918"/>
        <w:gridCol w:w="1199"/>
        <w:gridCol w:w="640"/>
        <w:gridCol w:w="1918"/>
        <w:gridCol w:w="1199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6月可吸入颗粒物（PM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1～6月可吸入颗粒物（PM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2022年6月浓度（μg/m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2021年同期增幅(%)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2022年1～6月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</w:t>
            </w:r>
            <w:r>
              <w:rPr>
                <w:rFonts w:ascii="黑体" w:hAnsi="黑体" w:eastAsia="黑体" w:cs="仿宋"/>
                <w:szCs w:val="21"/>
              </w:rPr>
              <w:t>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-42.9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-28.6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-23.7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-20.0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-15.0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-15.9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-14.3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57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-14.0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-11.4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-12.5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-11.5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-10.5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-9.3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-5.3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-5.1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41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2.3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2.5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39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-4.9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64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34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-10.5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55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-11.3 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78" w:name="bookmark66"/>
      <w:bookmarkEnd w:id="178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9" w:name="bookmark67"/>
      <w:bookmarkEnd w:id="179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80" w:name="bookmark68"/>
      <w:bookmarkEnd w:id="180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2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9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6月细颗粒物（PM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1～6月细颗粒物（PM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2022年6月浓度（μg/m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2022年1～6月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-42.3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-30.4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-19.6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-29.2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-23.5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-20.0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-18.2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-17.9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-7.0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-12.5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-12.5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-13.0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19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-14.4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-5.0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81" w:name="bookmark69"/>
      <w:bookmarkEnd w:id="181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82" w:name="bookmark70"/>
      <w:bookmarkEnd w:id="182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83" w:name="bookmark71"/>
      <w:bookmarkEnd w:id="183"/>
      <w:r>
        <w:rPr>
          <w:rFonts w:ascii="黑体" w:hAnsi="黑体" w:eastAsia="黑体" w:cs="黑体"/>
          <w:w w:val="99"/>
          <w:sz w:val="32"/>
          <w:szCs w:val="32"/>
        </w:rPr>
        <w:t>6月</w:t>
      </w:r>
      <w:r>
        <w:rPr>
          <w:rFonts w:hint="eastAsia" w:ascii="黑体" w:hAnsi="黑体" w:eastAsia="黑体" w:cs="黑体"/>
          <w:w w:val="99"/>
          <w:sz w:val="32"/>
          <w:szCs w:val="32"/>
        </w:rPr>
        <w:t>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2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08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6月臭氧（O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1～6</w:t>
            </w:r>
            <w:r>
              <w:rPr>
                <w:rFonts w:hint="eastAsia" w:ascii="黑体" w:hAnsi="黑体" w:eastAsia="黑体" w:cs="仿宋"/>
                <w:szCs w:val="21"/>
              </w:rPr>
              <w:t>月</w:t>
            </w:r>
            <w:r>
              <w:rPr>
                <w:rFonts w:ascii="黑体" w:hAnsi="黑体" w:eastAsia="黑体" w:cs="仿宋"/>
                <w:szCs w:val="21"/>
              </w:rPr>
              <w:t>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2022年6月浓度（μg/m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2022年1～6月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-28.1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-28.0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-20.5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-7.0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173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178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18.3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180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168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-7.2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152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151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-9.0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138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9.5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 xml:space="preserve">为国家考核区域；全市（含国家考核区域）用实况数据评价。 </w:t>
      </w:r>
    </w:p>
    <w:p>
      <w:bookmarkStart w:id="184" w:name="_GoBack"/>
      <w:bookmarkEnd w:id="184"/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2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10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13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28802480"/>
    <w:rsid w:val="5C152D63"/>
    <w:rsid w:val="6B0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3344</Words>
  <Characters>4638</Characters>
  <Lines>0</Lines>
  <Paragraphs>0</Paragraphs>
  <TotalTime>0</TotalTime>
  <ScaleCrop>false</ScaleCrop>
  <LinksUpToDate>false</LinksUpToDate>
  <CharactersWithSpaces>5235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2022-05-27T01:43:00Z</dcterms:created>
  <dc:creator>Administrator</dc:creator>
  <cp:lastModifiedBy>꽃이 피다, 천천</cp:lastModifiedBy>
  <dcterms:modified xsi:type="dcterms:W3CDTF">2022-07-19T09:33:18Z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652F1C5E97924C2387AECA1630EF2392</vt:lpwstr>
  </property>
</Properties>
</file>