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21年度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宜昌市城区巡游出租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企业及车辆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服务质量信誉考核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等级初评结果公示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交通运输部《出租汽车服务质量信誉考核办法》及《宜昌市城区巡游出租汽车服务质量信誉考核实施细则（试行）》的规定，市道路交通综合执法支队组织开展2021年度城区巡游出租汽车服务质量信誉考核工作，现将企业及车辆年度服务质量信誉考核等级初评结果进行公示（初评结果见附件）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如对公示结果有异议，请在公示期内，以书面方式向市道路交通综合执法支队反映。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公示时间：2022年8月1日至2021年8月10日。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联系地址：市道路交通综合执法支队出租车客运大队407室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联系人：谭华     联系电话：0717-6223549。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280" w:hanging="1280" w:hangingChars="4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1.2021年度城区巡游出租汽车客运企业服务质量信誉考核等级初评结果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278" w:leftChars="456" w:hanging="320" w:hanging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2021年度城区巡游出租汽车车辆服务质量信誉考核等级初评结果</w:t>
      </w:r>
    </w:p>
    <w:p>
      <w:pPr>
        <w:ind w:firstLine="360" w:firstLineChars="100"/>
        <w:jc w:val="both"/>
        <w:rPr>
          <w:rFonts w:hint="eastAsia"/>
          <w:sz w:val="36"/>
          <w:szCs w:val="36"/>
        </w:rPr>
      </w:pPr>
    </w:p>
    <w:p>
      <w:pPr>
        <w:ind w:firstLine="360" w:firstLineChars="1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/>
          <w:sz w:val="36"/>
          <w:szCs w:val="36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宜昌市道路交通综合执法支队</w:t>
      </w:r>
    </w:p>
    <w:p>
      <w:pPr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                         2022年8月1日</w:t>
      </w:r>
      <w:bookmarkStart w:id="0" w:name="_GoBack"/>
      <w:bookmarkEnd w:id="0"/>
      <w:r>
        <w:rPr>
          <w:rFonts w:hint="eastAsia"/>
          <w:sz w:val="36"/>
          <w:szCs w:val="36"/>
        </w:rPr>
        <w:br w:type="page"/>
      </w:r>
      <w:r>
        <w:rPr>
          <w:rFonts w:hint="eastAsia"/>
          <w:sz w:val="36"/>
          <w:szCs w:val="36"/>
          <w:lang w:val="en-US" w:eastAsia="zh-CN"/>
        </w:rPr>
        <w:t xml:space="preserve">  </w:t>
      </w:r>
    </w:p>
    <w:p>
      <w:pPr>
        <w:jc w:val="both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附件1</w:t>
      </w:r>
    </w:p>
    <w:p>
      <w:pPr>
        <w:ind w:firstLine="361" w:firstLineChars="100"/>
        <w:jc w:val="both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2021年度城区</w:t>
      </w:r>
      <w:r>
        <w:rPr>
          <w:rFonts w:hint="eastAsia"/>
          <w:b/>
          <w:bCs/>
          <w:sz w:val="36"/>
          <w:szCs w:val="36"/>
        </w:rPr>
        <w:t>巡游出租汽车</w:t>
      </w:r>
      <w:r>
        <w:rPr>
          <w:rFonts w:hint="eastAsia"/>
          <w:b/>
          <w:bCs/>
          <w:sz w:val="36"/>
          <w:szCs w:val="36"/>
          <w:lang w:val="en-US" w:eastAsia="zh-CN"/>
        </w:rPr>
        <w:t>客运</w:t>
      </w:r>
      <w:r>
        <w:rPr>
          <w:rFonts w:hint="eastAsia"/>
          <w:b/>
          <w:bCs/>
          <w:sz w:val="36"/>
          <w:szCs w:val="36"/>
        </w:rPr>
        <w:t>企业服务质量</w:t>
      </w:r>
    </w:p>
    <w:p>
      <w:pPr>
        <w:ind w:firstLine="2168" w:firstLineChars="600"/>
        <w:jc w:val="both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信誉考核</w:t>
      </w:r>
      <w:r>
        <w:rPr>
          <w:rFonts w:hint="eastAsia"/>
          <w:b/>
          <w:bCs/>
          <w:sz w:val="36"/>
          <w:szCs w:val="36"/>
          <w:lang w:val="en-US" w:eastAsia="zh-CN"/>
        </w:rPr>
        <w:t>等级初评结果</w:t>
      </w:r>
    </w:p>
    <w:p>
      <w:pPr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 xml:space="preserve">         </w:t>
      </w:r>
    </w:p>
    <w:tbl>
      <w:tblPr>
        <w:tblStyle w:val="6"/>
        <w:tblpPr w:leftFromText="180" w:rightFromText="180" w:vertAnchor="text" w:horzAnchor="page" w:tblpX="1630" w:tblpY="89"/>
        <w:tblOverlap w:val="never"/>
        <w:tblW w:w="8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3652"/>
        <w:gridCol w:w="870"/>
        <w:gridCol w:w="840"/>
        <w:gridCol w:w="2295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465" w:type="dxa"/>
            <w:vAlign w:val="top"/>
          </w:tcPr>
          <w:p>
            <w:pPr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3652" w:type="dxa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ind w:firstLine="1050" w:firstLineChars="5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企业名称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AA级驾驶员比例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AAA级车辆 比例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综合得分  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考核  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65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652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宜昌市众志汽车出租有限责任公司</w:t>
            </w:r>
          </w:p>
        </w:tc>
        <w:tc>
          <w:tcPr>
            <w:tcW w:w="870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99.2%</w:t>
            </w: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947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其中加分项得47分</w:t>
            </w: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65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52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宜昌交运集团出租汽车客运有限公司</w:t>
            </w:r>
          </w:p>
        </w:tc>
        <w:tc>
          <w:tcPr>
            <w:tcW w:w="870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98.9%</w:t>
            </w: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99.6%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925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其中加分项得52分</w:t>
            </w: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65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652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宜昌市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康龙出租车</w:t>
            </w:r>
            <w:r>
              <w:rPr>
                <w:rFonts w:hint="eastAsia"/>
                <w:sz w:val="21"/>
                <w:szCs w:val="21"/>
              </w:rPr>
              <w:t>有限公司</w:t>
            </w:r>
          </w:p>
        </w:tc>
        <w:tc>
          <w:tcPr>
            <w:tcW w:w="870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98.9%</w:t>
            </w: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914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其中加分项得57分</w:t>
            </w: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65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652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宜昌市宜洋小汽车出租服务有限公司</w:t>
            </w:r>
          </w:p>
        </w:tc>
        <w:tc>
          <w:tcPr>
            <w:tcW w:w="870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97.2%</w:t>
            </w: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903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其中加分项得42分</w:t>
            </w: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465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652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宜昌市汇丰原汽车出租有限公司</w:t>
            </w:r>
          </w:p>
        </w:tc>
        <w:tc>
          <w:tcPr>
            <w:tcW w:w="870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98.3%</w:t>
            </w: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98.9%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903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其中加分项得52分</w:t>
            </w: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65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652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宜昌市盛龙出租汽车有限公司</w:t>
            </w:r>
          </w:p>
        </w:tc>
        <w:tc>
          <w:tcPr>
            <w:tcW w:w="870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98.7%</w:t>
            </w: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98.9%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861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其中加分项得50分</w:t>
            </w: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65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652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宜昌市民富出租车有限公司</w:t>
            </w:r>
          </w:p>
        </w:tc>
        <w:tc>
          <w:tcPr>
            <w:tcW w:w="870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98.8%</w:t>
            </w: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856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其中加分项得63分</w:t>
            </w: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AAA</w:t>
            </w:r>
          </w:p>
        </w:tc>
      </w:tr>
    </w:tbl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附件2   </w:t>
      </w:r>
    </w:p>
    <w:tbl>
      <w:tblPr>
        <w:tblStyle w:val="5"/>
        <w:tblW w:w="8562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771"/>
        <w:gridCol w:w="1785"/>
        <w:gridCol w:w="2220"/>
        <w:gridCol w:w="199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85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10"/>
                <w:rFonts w:hint="eastAsia"/>
                <w:b/>
                <w:bCs/>
                <w:sz w:val="36"/>
                <w:szCs w:val="36"/>
                <w:lang w:val="en-US" w:eastAsia="zh-CN" w:bidi="ar"/>
              </w:rPr>
              <w:t>2021年度</w:t>
            </w:r>
            <w:r>
              <w:rPr>
                <w:rStyle w:val="10"/>
                <w:b/>
                <w:bCs/>
                <w:sz w:val="36"/>
                <w:szCs w:val="36"/>
                <w:lang w:val="en-US" w:eastAsia="zh-CN" w:bidi="ar"/>
              </w:rPr>
              <w:t>城区巡游出租汽车车辆服务质量信誉考核</w:t>
            </w:r>
            <w:r>
              <w:rPr>
                <w:rStyle w:val="10"/>
                <w:rFonts w:hint="eastAsia"/>
                <w:b/>
                <w:bCs/>
                <w:sz w:val="36"/>
                <w:szCs w:val="36"/>
                <w:lang w:val="en-US" w:eastAsia="zh-CN" w:bidi="ar"/>
              </w:rPr>
              <w:t>等级初评</w:t>
            </w:r>
            <w:r>
              <w:rPr>
                <w:rStyle w:val="10"/>
                <w:b/>
                <w:bCs/>
                <w:sz w:val="36"/>
                <w:szCs w:val="36"/>
                <w:lang w:val="en-US" w:eastAsia="zh-CN" w:bidi="ar"/>
              </w:rPr>
              <w:t>结果</w:t>
            </w:r>
            <w:r>
              <w:rPr>
                <w:rStyle w:val="10"/>
                <w:b/>
                <w:bCs/>
                <w:lang w:val="en-US" w:eastAsia="zh-CN" w:bidi="ar"/>
              </w:rPr>
              <w:t xml:space="preserve"> </w:t>
            </w:r>
            <w:r>
              <w:rPr>
                <w:rStyle w:val="11"/>
                <w:b/>
                <w:bCs/>
                <w:lang w:val="en-US" w:eastAsia="zh-CN" w:bidi="ar"/>
              </w:rPr>
              <w:t xml:space="preserve">    </w:t>
            </w:r>
            <w:r>
              <w:rPr>
                <w:rStyle w:val="11"/>
                <w:lang w:val="en-US" w:eastAsia="zh-CN" w:bidi="ar"/>
              </w:rPr>
              <w:t xml:space="preserve">                                                                 （按考核等级排列）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考核得分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考核等级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鄂ET0512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鄂ET0535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鄂ET0541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鄂ET2460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EDT6464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鄂ET1806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鄂ET0527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鄂ET0571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鄂ET0572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鄂ET0575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鄂ET0586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鄂ET0814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鄂ET1019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鄂ET2636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鄂ET3880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鄂ET0531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鄂ET0587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鄂ET1078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鄂ET1804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鄂ET1809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鄂ET1810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鄂ET2708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鄂ET3885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鄂EDT0111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鄂EDT2493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鄂EDT5556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鄂EDT8485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鄂ET0500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鄂ET0504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鄂ET0508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鄂ET0516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鄂ET0519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鄂ET0522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鄂ET0529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鄂ET0536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鄂ET0539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鄂ET0540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鄂ET0542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鄂ET0548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鄂ET0550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鄂ET0554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鄂ET0556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鄂ET0558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鄂ET0568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鄂ET0574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鄂ET0578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鄂ET0579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鄂ET0580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鄂ET0582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鄂ET0585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鄂ET0591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鄂ET0596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鄂ET0800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鄂ET0804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鄂ET0809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鄂ET0811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鄂ET0813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鄂ET0818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鄂ET0830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鄂ET0842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鄂ET0844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鄂ET0845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鄂ET0854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鄂ET0888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鄂ET0893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鄂ET0895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鄂ET1000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鄂ET1002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鄂ET1012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鄂ET1015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鄂ET1021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鄂ET1022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鄂ET1032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鄂ET1066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鄂ET1075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鄂ET1077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鄂ET1800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鄂ET1808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鄂ET1811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鄂ET1813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鄂ET1816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鄂ET1822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鄂ET2211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鄂ET2225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鄂ET2269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鄂ET2296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鄂ET2323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鄂ET2333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鄂ET2430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鄂ET2598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鄂ET2806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鄂ET2828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鄂ET2866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鄂ET2886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鄂ET2899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鄂ET2900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鄂ET2945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鄂ET2958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鄂ET2959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鄂ET2989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鄂ET3305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鄂ET3314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鄂ET3316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鄂ET3330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鄂ET3362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鄂ET3383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鄂ET3399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鄂ET3403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鄂ET3451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鄂ET3480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鄂ET3481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鄂ET3492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鄂ET3577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鄂ET3589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鄂ET3638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鄂ET3708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鄂ET3737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鄂ET3839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鄂ET3883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鄂ET3920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鄂ET3998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鄂ET0530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鄂ET0543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鄂ET0801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鄂ET0815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鄂ET0848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鄂ET0862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鄂ET0867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鄂ET1009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鄂ET1094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鄂ET1807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鄂ET1821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鄂ET1823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鄂ET2166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鄂ET2277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鄂ET3306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鄂ET3788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鄂ET0599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鄂ET0831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鄂ET2608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鄂ET0505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鄂ET3488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鄂ET3515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鄂EDT4160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鄂EDT5200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鄂EDT9996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鄂ET0559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鄂ET0594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鄂ET0825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鄂ET0829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鄂ET0833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鄂ET0834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鄂ET0835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鄂ET0836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鄂ET0837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鄂ET0839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鄂ET0840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鄂ET1005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鄂ET1048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鄂ET2048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鄂ET2142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鄂ET2181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鄂ET2229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鄂ET2233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鄂ET2286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鄂ET2324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鄂ET2462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鄂ET2485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鄂ET2490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鄂ET2540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鄂ET2656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鄂ET2829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鄂ET2840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鄂ET2868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鄂ET2882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鄂ET2896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鄂ET3302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鄂ET3315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鄂ET3318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鄂ET3420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鄂ET3467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鄂ET3663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鄂ET3775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鄂ET3900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鄂ET0832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鄂ET1014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鄂ET2369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鄂ET2450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鄂ET3427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鄂ET2545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鄂ET0884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鄂ET0820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鄂ET0880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鄂ET3616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鄂EDT0465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鄂EDT8858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鄂ET0509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鄂ET0526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鄂ET0588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鄂ET0810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鄂ET0872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鄂ET0873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鄂ET0875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鄂ET0877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鄂ET1001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鄂ET1007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鄂ET1016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鄂ET1041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鄂ET1044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鄂ET1049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鄂ET1051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鄂ET1064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鄂ET1095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鄂ET1098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鄂ET2024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鄂ET2035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鄂ET2068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鄂ET2084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鄂ET2121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鄂ET2173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鄂ET2402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鄂ET2403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鄂ET2480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鄂ET2668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鄂ET2811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鄂ET2818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鄂ET2883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鄂ET3300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鄂ET3301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鄂ET3303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鄂ET3304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鄂ET3307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鄂ET3308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鄂ET3310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鄂ET3311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鄂ET3312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鄂ET3313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鄂ET3465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鄂ET3540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鄂ET3639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鄂ET3645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鄂ET3661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鄂ET3700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鄂ET0131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鄂ET2047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鄂ET3660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鄂ET3945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鄂ET0011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鄂ET0255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鄂ET0876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鄂ET2040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鄂ET0823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鄂ET0538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鄂ET0870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鄂ET1039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鄂ET2212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鄂ET0553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鄂ET0557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鄂ET0562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鄂ET0563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鄂ET0807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鄂ET0826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鄂ET0827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鄂ET0843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鄂ET0853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鄂ET0864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鄂ET0890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鄂ET1205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鄂ET1378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鄂ET2001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鄂ET2003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鄂ET2022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鄂ET2033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鄂ET2039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鄂ET2041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鄂ET2042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鄂ET2169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鄂ET3309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鄂ET3588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鄂ET3633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鄂ET3659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鄂ET3938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鄂EDT3339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鄂ET0502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鄂ET1431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鄂ET2021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鄂ET2032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鄂ET0868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鄂ET2016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鄂ET2007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鄂EDT5856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鄂EDT6668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鄂EDT9186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鄂EDT9938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鄂ET2005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鄂ET2008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鄂ET2009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鄂ET2013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鄂ET2015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鄂ET2018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鄂ET2019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鄂ET2044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鄂ET2377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鄂ET2388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鄂ET2968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鄂ET1559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鄂ET2559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鄂ET3004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鄂ET2006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鄂ET2012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鄂ET2983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鄂ET3460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鄂ET2622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鄂ET1011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鄂ET1038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鄂ET1043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鄂ET3462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鄂ET2898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鄂ET2855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鄂EDT4888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鄂ED10715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鄂ED11802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鄂ED25679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鄂ED10668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鄂ED12299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鄂ED10722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鄂ED19328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鄂ED10939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鄂ED15828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鄂ED17938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鄂ED22685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鄂ED27935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鄂ED29717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鄂ED26938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鄂ED21668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鄂ED16826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鄂ED22758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鄂ED29536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鄂ED19668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鄂ED21885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鄂ED27225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鄂ED15161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鄂ED26678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鄂ED25716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鄂ED12609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鄂ED25717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鄂ED29339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鄂ET2929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鄂ET0613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鄂ET1112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鄂ET3766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鄂ET3636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鄂ED18298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鄂ED11727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鄂ED18337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鄂ET1605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鄂ET1801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鄂EDT9777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鄂ET0560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鄂ET0791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鄂ET1025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鄂ET1026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鄂ET1802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鄂ET1803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鄂ET1805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鄂ET2208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鄂ET2889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鄂ET3128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鄂ET3298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鄂ET3396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鄂ET0321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鄂ET0525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鄂ET1023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鄂ET2220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鄂ET2605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鄂ET2808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鄂ET0976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鄂ET1024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鄂ET1760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鄂ET0450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</w:tbl>
    <w:p>
      <w:pPr>
        <w:rPr>
          <w:rFonts w:hint="default" w:eastAsiaTheme="minorEastAsia"/>
          <w:sz w:val="30"/>
          <w:szCs w:val="30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ljNDcxMTk4ZmFlYTA0NDQzYWRmZGNjOWU1NTVhOGEifQ=="/>
  </w:docVars>
  <w:rsids>
    <w:rsidRoot w:val="00C13B1E"/>
    <w:rsid w:val="000A51AB"/>
    <w:rsid w:val="000D2533"/>
    <w:rsid w:val="00102791"/>
    <w:rsid w:val="00111CF2"/>
    <w:rsid w:val="00126C48"/>
    <w:rsid w:val="00182E38"/>
    <w:rsid w:val="001B035C"/>
    <w:rsid w:val="001C2925"/>
    <w:rsid w:val="001C543A"/>
    <w:rsid w:val="00237313"/>
    <w:rsid w:val="00297E03"/>
    <w:rsid w:val="002D48A3"/>
    <w:rsid w:val="002E141C"/>
    <w:rsid w:val="0032027B"/>
    <w:rsid w:val="005B5059"/>
    <w:rsid w:val="005E405C"/>
    <w:rsid w:val="00637523"/>
    <w:rsid w:val="006528B2"/>
    <w:rsid w:val="006F4662"/>
    <w:rsid w:val="00711C7C"/>
    <w:rsid w:val="00A14396"/>
    <w:rsid w:val="00AB0014"/>
    <w:rsid w:val="00C13B1E"/>
    <w:rsid w:val="00CA2E9B"/>
    <w:rsid w:val="00CB6B21"/>
    <w:rsid w:val="00D61E47"/>
    <w:rsid w:val="00D84581"/>
    <w:rsid w:val="00DC5EA1"/>
    <w:rsid w:val="00DD22A6"/>
    <w:rsid w:val="00E50813"/>
    <w:rsid w:val="00E50CB9"/>
    <w:rsid w:val="00F04F3F"/>
    <w:rsid w:val="00F71C44"/>
    <w:rsid w:val="00F72DEF"/>
    <w:rsid w:val="00FC6F5C"/>
    <w:rsid w:val="016D3F1F"/>
    <w:rsid w:val="0222053D"/>
    <w:rsid w:val="03463804"/>
    <w:rsid w:val="03B444CE"/>
    <w:rsid w:val="04BE3593"/>
    <w:rsid w:val="08C9571E"/>
    <w:rsid w:val="08EC5E1E"/>
    <w:rsid w:val="0FDF5F1B"/>
    <w:rsid w:val="10010397"/>
    <w:rsid w:val="13AD35D8"/>
    <w:rsid w:val="16DD6BE0"/>
    <w:rsid w:val="19D44723"/>
    <w:rsid w:val="1A5A3F27"/>
    <w:rsid w:val="1A7D7E1C"/>
    <w:rsid w:val="1ADE55E8"/>
    <w:rsid w:val="1EAD5D71"/>
    <w:rsid w:val="268F6715"/>
    <w:rsid w:val="26CC4875"/>
    <w:rsid w:val="2C533D3F"/>
    <w:rsid w:val="2EA734E9"/>
    <w:rsid w:val="31210A98"/>
    <w:rsid w:val="32004D0C"/>
    <w:rsid w:val="38B14748"/>
    <w:rsid w:val="3ACA40D6"/>
    <w:rsid w:val="3C905B7F"/>
    <w:rsid w:val="3CA11563"/>
    <w:rsid w:val="3CA57FB9"/>
    <w:rsid w:val="412727C2"/>
    <w:rsid w:val="44034098"/>
    <w:rsid w:val="44BD78F5"/>
    <w:rsid w:val="45AC475E"/>
    <w:rsid w:val="46485D7F"/>
    <w:rsid w:val="4A605FF7"/>
    <w:rsid w:val="4A851609"/>
    <w:rsid w:val="4BDA1B40"/>
    <w:rsid w:val="504833E6"/>
    <w:rsid w:val="504F1CDE"/>
    <w:rsid w:val="51B63FFE"/>
    <w:rsid w:val="52786F25"/>
    <w:rsid w:val="5585671C"/>
    <w:rsid w:val="56953823"/>
    <w:rsid w:val="5E500741"/>
    <w:rsid w:val="5E88124F"/>
    <w:rsid w:val="609F5C85"/>
    <w:rsid w:val="611748C7"/>
    <w:rsid w:val="615F18BC"/>
    <w:rsid w:val="67093627"/>
    <w:rsid w:val="6BDD2E9F"/>
    <w:rsid w:val="6D825DB4"/>
    <w:rsid w:val="738A5DAD"/>
    <w:rsid w:val="740A09BE"/>
    <w:rsid w:val="74737927"/>
    <w:rsid w:val="7775379A"/>
    <w:rsid w:val="7A531EE6"/>
    <w:rsid w:val="7A894A46"/>
    <w:rsid w:val="7BB60CE4"/>
    <w:rsid w:val="7C1172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0">
    <w:name w:val="font21"/>
    <w:basedOn w:val="7"/>
    <w:qFormat/>
    <w:uiPriority w:val="0"/>
    <w:rPr>
      <w:rFonts w:hint="eastAsia" w:ascii="微软雅黑" w:hAnsi="微软雅黑" w:eastAsia="微软雅黑" w:cs="微软雅黑"/>
      <w:color w:val="000000"/>
      <w:sz w:val="44"/>
      <w:szCs w:val="44"/>
      <w:u w:val="none"/>
    </w:rPr>
  </w:style>
  <w:style w:type="character" w:customStyle="1" w:styleId="11">
    <w:name w:val="font31"/>
    <w:basedOn w:val="7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2">
    <w:name w:val="font01"/>
    <w:basedOn w:val="7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"/>
    <w:basedOn w:val="7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81</Pages>
  <Words>16126</Words>
  <Characters>35439</Characters>
  <Lines>5</Lines>
  <Paragraphs>1</Paragraphs>
  <TotalTime>0</TotalTime>
  <ScaleCrop>false</ScaleCrop>
  <LinksUpToDate>false</LinksUpToDate>
  <CharactersWithSpaces>35531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崔巍</cp:lastModifiedBy>
  <cp:lastPrinted>2020-04-16T06:26:00Z</cp:lastPrinted>
  <dcterms:modified xsi:type="dcterms:W3CDTF">2022-08-01T09:03:05Z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3EE3CD8212684B55BF8428DC0F6E7EDB</vt:lpwstr>
  </property>
</Properties>
</file>