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黑体" w:hAnsi="黑体" w:eastAsia="黑体" w:cs="楷体"/>
          <w:kern w:val="0"/>
          <w:sz w:val="56"/>
          <w:szCs w:val="56"/>
          <w:lang w:val="en-US" w:eastAsia="zh-CN"/>
        </w:rPr>
      </w:pPr>
      <w:bookmarkStart w:id="0" w:name="_Toc326585949"/>
      <w:bookmarkStart w:id="1" w:name="_Toc109115533"/>
      <w:r>
        <w:rPr>
          <w:rFonts w:hint="eastAsia" w:ascii="黑体" w:hAnsi="黑体" w:eastAsia="黑体" w:cs="楷体"/>
          <w:kern w:val="0"/>
          <w:sz w:val="56"/>
          <w:szCs w:val="56"/>
          <w:lang w:val="en-US" w:eastAsia="zh-CN"/>
        </w:rPr>
        <w:t>宜昌三峡大老岭自然保护区基础设施建设及维修工程等项目</w:t>
      </w:r>
    </w:p>
    <w:p>
      <w:pPr>
        <w:autoSpaceDE w:val="0"/>
        <w:autoSpaceDN w:val="0"/>
        <w:adjustRightInd w:val="0"/>
        <w:spacing w:line="360" w:lineRule="auto"/>
        <w:jc w:val="center"/>
        <w:rPr>
          <w:rFonts w:hint="default" w:ascii="黑体" w:hAnsi="黑体" w:eastAsia="黑体" w:cs="楷体"/>
          <w:kern w:val="0"/>
          <w:sz w:val="56"/>
          <w:szCs w:val="56"/>
          <w:lang w:val="en-US" w:eastAsia="zh-CN"/>
        </w:rPr>
      </w:pPr>
      <w:r>
        <w:rPr>
          <w:rFonts w:hint="eastAsia" w:ascii="黑体" w:hAnsi="黑体" w:eastAsia="黑体" w:cs="楷体"/>
          <w:kern w:val="0"/>
          <w:sz w:val="56"/>
          <w:szCs w:val="56"/>
          <w:lang w:val="en-US" w:eastAsia="zh-CN"/>
        </w:rPr>
        <w:t>检测服务采购</w:t>
      </w:r>
    </w:p>
    <w:p>
      <w:pPr>
        <w:jc w:val="center"/>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autoSpaceDE w:val="0"/>
        <w:autoSpaceDN w:val="0"/>
        <w:adjustRightInd w:val="0"/>
        <w:spacing w:line="360" w:lineRule="auto"/>
        <w:jc w:val="center"/>
        <w:rPr>
          <w:rFonts w:ascii="黑体" w:hAnsi="黑体" w:eastAsia="黑体" w:cs="楷体"/>
          <w:kern w:val="0"/>
          <w:sz w:val="110"/>
          <w:szCs w:val="110"/>
        </w:rPr>
      </w:pPr>
      <w:r>
        <w:rPr>
          <w:rFonts w:hint="eastAsia" w:ascii="黑体" w:hAnsi="黑体" w:eastAsia="黑体" w:cs="楷体"/>
          <w:kern w:val="0"/>
          <w:sz w:val="72"/>
          <w:szCs w:val="72"/>
        </w:rPr>
        <w:t>竞争性谈判文件</w:t>
      </w:r>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ascii="黑体" w:hAnsi="黑体" w:eastAsia="黑体"/>
          <w:sz w:val="30"/>
          <w:szCs w:val="30"/>
        </w:rPr>
      </w:pPr>
      <w:r>
        <w:rPr>
          <w:rFonts w:hint="eastAsia" w:ascii="黑体" w:hAnsi="黑体" w:eastAsia="黑体"/>
          <w:sz w:val="32"/>
          <w:szCs w:val="32"/>
        </w:rPr>
        <w:t>采购人：</w:t>
      </w:r>
      <w:r>
        <w:rPr>
          <w:rFonts w:hint="eastAsia" w:ascii="黑体" w:hAnsi="黑体" w:eastAsia="黑体"/>
          <w:sz w:val="30"/>
          <w:szCs w:val="30"/>
        </w:rPr>
        <w:t>宜昌三峡大老岭自然保护区管理局</w:t>
      </w:r>
    </w:p>
    <w:p>
      <w:pPr>
        <w:spacing w:line="360" w:lineRule="auto"/>
        <w:jc w:val="center"/>
      </w:pPr>
      <w:r>
        <w:rPr>
          <w:rFonts w:hint="eastAsia" w:ascii="黑体" w:hAnsi="黑体" w:eastAsia="黑体"/>
          <w:sz w:val="32"/>
          <w:szCs w:val="32"/>
          <w:lang w:val="en-US" w:eastAsia="zh-CN"/>
        </w:rPr>
        <w:t>2022</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bookmarkStart w:id="2" w:name="_Toc23441"/>
      <w:bookmarkStart w:id="3" w:name="_Toc5626"/>
      <w:bookmarkStart w:id="4" w:name="_Toc2155"/>
      <w:bookmarkStart w:id="5" w:name="_Toc6366"/>
      <w:bookmarkStart w:id="6" w:name="_Toc27399"/>
      <w:bookmarkStart w:id="7" w:name="_Toc30389"/>
      <w:bookmarkStart w:id="8" w:name="_Toc4940"/>
      <w:bookmarkStart w:id="9" w:name="_Toc11910"/>
    </w:p>
    <w:p>
      <w:pPr>
        <w:jc w:val="center"/>
        <w:rPr>
          <w:rFonts w:ascii="黑体" w:hAnsi="黑体" w:eastAsia="黑体"/>
          <w:sz w:val="44"/>
          <w:szCs w:val="44"/>
        </w:rPr>
      </w:pPr>
      <w:bookmarkStart w:id="10" w:name="_Toc21271"/>
      <w:bookmarkStart w:id="11" w:name="_Toc1464"/>
      <w:bookmarkStart w:id="12" w:name="_Toc14487"/>
      <w:bookmarkStart w:id="13" w:name="_Toc23743"/>
      <w:r>
        <w:br w:type="page"/>
      </w:r>
      <w:r>
        <w:rPr>
          <w:rFonts w:hint="eastAsia" w:ascii="黑体" w:hAnsi="黑体" w:eastAsia="黑体"/>
          <w:sz w:val="44"/>
          <w:szCs w:val="44"/>
        </w:rPr>
        <w:t>目  录</w:t>
      </w:r>
    </w:p>
    <w:p>
      <w:pPr>
        <w:pStyle w:val="11"/>
        <w:tabs>
          <w:tab w:val="right" w:leader="dot" w:pos="8811"/>
          <w:tab w:val="clear" w:pos="9545"/>
        </w:tabs>
      </w:pPr>
      <w:r>
        <w:rPr>
          <w:bCs w:val="0"/>
          <w:caps w:val="0"/>
        </w:rPr>
        <w:fldChar w:fldCharType="begin"/>
      </w:r>
      <w:r>
        <w:rPr>
          <w:bCs w:val="0"/>
          <w:caps w:val="0"/>
        </w:rPr>
        <w:instrText xml:space="preserve"> TOC \o "1-2" \h \z \u </w:instrText>
      </w:r>
      <w:r>
        <w:rPr>
          <w:bCs w:val="0"/>
          <w:caps w:val="0"/>
        </w:rPr>
        <w:fldChar w:fldCharType="separate"/>
      </w:r>
      <w:r>
        <w:rPr>
          <w:bCs w:val="0"/>
          <w:caps w:val="0"/>
        </w:rPr>
        <w:fldChar w:fldCharType="begin"/>
      </w:r>
      <w:r>
        <w:rPr>
          <w:bCs w:val="0"/>
          <w:caps w:val="0"/>
        </w:rPr>
        <w:instrText xml:space="preserve"> HYPERLINK \l _Toc1967 </w:instrText>
      </w:r>
      <w:r>
        <w:rPr>
          <w:bCs w:val="0"/>
          <w:caps w:val="0"/>
        </w:rPr>
        <w:fldChar w:fldCharType="separate"/>
      </w:r>
      <w:r>
        <w:rPr>
          <w:rFonts w:hint="eastAsia"/>
        </w:rPr>
        <w:t>第一章</w:t>
      </w:r>
      <w:r>
        <w:rPr>
          <w:rFonts w:hint="eastAsia"/>
          <w:lang w:val="en-US" w:eastAsia="zh-CN"/>
        </w:rPr>
        <w:t xml:space="preserve">  </w:t>
      </w:r>
      <w:r>
        <w:rPr>
          <w:rFonts w:hint="eastAsia"/>
        </w:rPr>
        <w:t>竞争性谈判邀请函</w:t>
      </w:r>
      <w:r>
        <w:tab/>
      </w:r>
      <w:r>
        <w:fldChar w:fldCharType="begin"/>
      </w:r>
      <w:r>
        <w:instrText xml:space="preserve"> PAGEREF _Toc1967 \h </w:instrText>
      </w:r>
      <w:r>
        <w:fldChar w:fldCharType="separate"/>
      </w:r>
      <w:r>
        <w:t>3</w:t>
      </w:r>
      <w:r>
        <w:fldChar w:fldCharType="end"/>
      </w:r>
      <w:r>
        <w:rPr>
          <w:bCs w:val="0"/>
          <w:caps w:val="0"/>
        </w:rPr>
        <w:fldChar w:fldCharType="end"/>
      </w:r>
    </w:p>
    <w:p>
      <w:pPr>
        <w:pStyle w:val="11"/>
        <w:tabs>
          <w:tab w:val="right" w:leader="dot" w:pos="8811"/>
          <w:tab w:val="clear" w:pos="9545"/>
        </w:tabs>
      </w:pPr>
      <w:r>
        <w:rPr>
          <w:rFonts w:ascii="楷体_GB2312"/>
          <w:bCs/>
          <w:caps/>
          <w:snapToGrid w:val="0"/>
          <w:szCs w:val="28"/>
        </w:rPr>
        <w:fldChar w:fldCharType="begin"/>
      </w:r>
      <w:r>
        <w:rPr>
          <w:rFonts w:ascii="楷体_GB2312"/>
          <w:bCs/>
          <w:caps/>
          <w:snapToGrid w:val="0"/>
          <w:szCs w:val="28"/>
        </w:rPr>
        <w:instrText xml:space="preserve"> HYPERLINK \l _Toc16761 </w:instrText>
      </w:r>
      <w:r>
        <w:rPr>
          <w:rFonts w:ascii="楷体_GB2312"/>
          <w:bCs/>
          <w:caps/>
          <w:snapToGrid w:val="0"/>
          <w:szCs w:val="28"/>
        </w:rPr>
        <w:fldChar w:fldCharType="separate"/>
      </w:r>
      <w:r>
        <w:rPr>
          <w:rFonts w:hint="eastAsia"/>
        </w:rPr>
        <w:t>第二章谈判须知</w:t>
      </w:r>
      <w:r>
        <w:tab/>
      </w:r>
      <w:r>
        <w:fldChar w:fldCharType="begin"/>
      </w:r>
      <w:r>
        <w:instrText xml:space="preserve"> PAGEREF _Toc16761 \h </w:instrText>
      </w:r>
      <w:r>
        <w:fldChar w:fldCharType="separate"/>
      </w:r>
      <w:r>
        <w:t>6</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_Toc24779 </w:instrText>
      </w:r>
      <w:r>
        <w:rPr>
          <w:rFonts w:ascii="楷体_GB2312"/>
          <w:bCs/>
          <w:caps/>
          <w:snapToGrid w:val="0"/>
          <w:szCs w:val="28"/>
        </w:rPr>
        <w:fldChar w:fldCharType="separate"/>
      </w:r>
      <w:r>
        <w:rPr>
          <w:rFonts w:hint="eastAsia"/>
        </w:rPr>
        <w:t>一、总则</w:t>
      </w:r>
      <w:r>
        <w:tab/>
      </w:r>
      <w:r>
        <w:fldChar w:fldCharType="begin"/>
      </w:r>
      <w:r>
        <w:instrText xml:space="preserve"> PAGEREF _Toc24779 \h </w:instrText>
      </w:r>
      <w:r>
        <w:fldChar w:fldCharType="separate"/>
      </w:r>
      <w:r>
        <w:t>6</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_Toc18419 </w:instrText>
      </w:r>
      <w:r>
        <w:rPr>
          <w:rFonts w:ascii="楷体_GB2312"/>
          <w:bCs/>
          <w:caps/>
          <w:snapToGrid w:val="0"/>
          <w:szCs w:val="28"/>
        </w:rPr>
        <w:fldChar w:fldCharType="separate"/>
      </w:r>
      <w:r>
        <w:rPr>
          <w:rFonts w:hint="eastAsia"/>
        </w:rPr>
        <w:t>二、竞争性谈判响应文件的编制</w:t>
      </w:r>
      <w:r>
        <w:tab/>
      </w:r>
      <w:r>
        <w:fldChar w:fldCharType="begin"/>
      </w:r>
      <w:r>
        <w:instrText xml:space="preserve"> PAGEREF _Toc18419 \h </w:instrText>
      </w:r>
      <w:r>
        <w:fldChar w:fldCharType="separate"/>
      </w:r>
      <w:r>
        <w:t>6</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_Toc404 </w:instrText>
      </w:r>
      <w:r>
        <w:rPr>
          <w:rFonts w:ascii="楷体_GB2312"/>
          <w:bCs/>
          <w:caps/>
          <w:snapToGrid w:val="0"/>
          <w:szCs w:val="28"/>
        </w:rPr>
        <w:fldChar w:fldCharType="separate"/>
      </w:r>
      <w:r>
        <w:rPr>
          <w:rFonts w:hint="eastAsia"/>
        </w:rPr>
        <w:t>三、谈判报价要求</w:t>
      </w:r>
      <w:r>
        <w:tab/>
      </w:r>
      <w:r>
        <w:fldChar w:fldCharType="begin"/>
      </w:r>
      <w:r>
        <w:instrText xml:space="preserve"> PAGEREF _Toc404 \h </w:instrText>
      </w:r>
      <w:r>
        <w:fldChar w:fldCharType="separate"/>
      </w:r>
      <w:r>
        <w:t>8</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_Toc3093 </w:instrText>
      </w:r>
      <w:r>
        <w:rPr>
          <w:rFonts w:ascii="楷体_GB2312"/>
          <w:bCs/>
          <w:caps/>
          <w:snapToGrid w:val="0"/>
          <w:szCs w:val="28"/>
        </w:rPr>
        <w:fldChar w:fldCharType="separate"/>
      </w:r>
      <w:r>
        <w:rPr>
          <w:rFonts w:hint="eastAsia"/>
        </w:rPr>
        <w:t>四、竞争性谈判响应文件的份数、封装和递交</w:t>
      </w:r>
      <w:r>
        <w:tab/>
      </w:r>
      <w:r>
        <w:fldChar w:fldCharType="begin"/>
      </w:r>
      <w:r>
        <w:instrText xml:space="preserve"> PAGEREF _Toc3093 \h </w:instrText>
      </w:r>
      <w:r>
        <w:fldChar w:fldCharType="separate"/>
      </w:r>
      <w:r>
        <w:t>8</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_Toc30805 </w:instrText>
      </w:r>
      <w:r>
        <w:rPr>
          <w:rFonts w:ascii="楷体_GB2312"/>
          <w:bCs/>
          <w:caps/>
          <w:snapToGrid w:val="0"/>
          <w:szCs w:val="28"/>
        </w:rPr>
        <w:fldChar w:fldCharType="separate"/>
      </w:r>
      <w:r>
        <w:rPr>
          <w:rFonts w:hint="eastAsia"/>
        </w:rPr>
        <w:t>五、谈判的步骤</w:t>
      </w:r>
      <w:r>
        <w:tab/>
      </w:r>
      <w:r>
        <w:fldChar w:fldCharType="begin"/>
      </w:r>
      <w:r>
        <w:instrText xml:space="preserve"> PAGEREF _Toc30805 \h </w:instrText>
      </w:r>
      <w:r>
        <w:fldChar w:fldCharType="separate"/>
      </w:r>
      <w:r>
        <w:t>9</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_Toc14968 </w:instrText>
      </w:r>
      <w:r>
        <w:rPr>
          <w:rFonts w:ascii="楷体_GB2312"/>
          <w:bCs/>
          <w:caps/>
          <w:snapToGrid w:val="0"/>
          <w:szCs w:val="28"/>
        </w:rPr>
        <w:fldChar w:fldCharType="separate"/>
      </w:r>
      <w:r>
        <w:rPr>
          <w:rFonts w:hint="eastAsia"/>
        </w:rPr>
        <w:t>六、确定成交供应商</w:t>
      </w:r>
      <w:r>
        <w:tab/>
      </w:r>
      <w:r>
        <w:fldChar w:fldCharType="begin"/>
      </w:r>
      <w:r>
        <w:instrText xml:space="preserve"> PAGEREF _Toc14968 \h </w:instrText>
      </w:r>
      <w:r>
        <w:fldChar w:fldCharType="separate"/>
      </w:r>
      <w:r>
        <w:t>10</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_Toc8411 </w:instrText>
      </w:r>
      <w:r>
        <w:rPr>
          <w:rFonts w:ascii="楷体_GB2312"/>
          <w:bCs/>
          <w:caps/>
          <w:snapToGrid w:val="0"/>
          <w:szCs w:val="28"/>
        </w:rPr>
        <w:fldChar w:fldCharType="separate"/>
      </w:r>
      <w:r>
        <w:rPr>
          <w:rFonts w:hint="eastAsia"/>
        </w:rPr>
        <w:t>七、签订合同</w:t>
      </w:r>
      <w:r>
        <w:tab/>
      </w:r>
      <w:r>
        <w:fldChar w:fldCharType="begin"/>
      </w:r>
      <w:r>
        <w:instrText xml:space="preserve"> PAGEREF _Toc8411 \h </w:instrText>
      </w:r>
      <w:r>
        <w:fldChar w:fldCharType="separate"/>
      </w:r>
      <w:r>
        <w:t>10</w:t>
      </w:r>
      <w:r>
        <w:fldChar w:fldCharType="end"/>
      </w:r>
      <w:r>
        <w:rPr>
          <w:rFonts w:ascii="楷体_GB2312"/>
          <w:bCs/>
          <w:caps/>
          <w:snapToGrid w:val="0"/>
          <w:szCs w:val="28"/>
        </w:rPr>
        <w:fldChar w:fldCharType="end"/>
      </w:r>
    </w:p>
    <w:p>
      <w:pPr>
        <w:pStyle w:val="12"/>
        <w:tabs>
          <w:tab w:val="right" w:leader="dot" w:pos="8811"/>
        </w:tabs>
      </w:pPr>
      <w:r>
        <w:rPr>
          <w:rFonts w:ascii="楷体_GB2312"/>
          <w:bCs/>
          <w:caps/>
          <w:snapToGrid w:val="0"/>
          <w:szCs w:val="28"/>
        </w:rPr>
        <w:fldChar w:fldCharType="begin"/>
      </w:r>
      <w:r>
        <w:rPr>
          <w:rFonts w:ascii="楷体_GB2312"/>
          <w:bCs/>
          <w:caps/>
          <w:snapToGrid w:val="0"/>
          <w:szCs w:val="28"/>
        </w:rPr>
        <w:instrText xml:space="preserve"> HYPERLINK \l _Toc25343 </w:instrText>
      </w:r>
      <w:r>
        <w:rPr>
          <w:rFonts w:ascii="楷体_GB2312"/>
          <w:bCs/>
          <w:caps/>
          <w:snapToGrid w:val="0"/>
          <w:szCs w:val="28"/>
        </w:rPr>
        <w:fldChar w:fldCharType="separate"/>
      </w:r>
      <w:r>
        <w:rPr>
          <w:rFonts w:hint="eastAsia"/>
        </w:rPr>
        <w:t>八、适用法律</w:t>
      </w:r>
      <w:r>
        <w:tab/>
      </w:r>
      <w:r>
        <w:fldChar w:fldCharType="begin"/>
      </w:r>
      <w:r>
        <w:instrText xml:space="preserve"> PAGEREF _Toc25343 \h </w:instrText>
      </w:r>
      <w:r>
        <w:fldChar w:fldCharType="separate"/>
      </w:r>
      <w:r>
        <w:t>10</w:t>
      </w:r>
      <w:r>
        <w:fldChar w:fldCharType="end"/>
      </w:r>
      <w:r>
        <w:rPr>
          <w:rFonts w:ascii="楷体_GB2312"/>
          <w:bCs/>
          <w:caps/>
          <w:snapToGrid w:val="0"/>
          <w:szCs w:val="28"/>
        </w:rPr>
        <w:fldChar w:fldCharType="end"/>
      </w:r>
    </w:p>
    <w:p>
      <w:pPr>
        <w:pStyle w:val="11"/>
        <w:tabs>
          <w:tab w:val="right" w:leader="dot" w:pos="8811"/>
          <w:tab w:val="clear" w:pos="9545"/>
        </w:tabs>
      </w:pPr>
      <w:r>
        <w:rPr>
          <w:rFonts w:ascii="楷体_GB2312"/>
          <w:bCs/>
          <w:caps/>
          <w:snapToGrid w:val="0"/>
          <w:szCs w:val="28"/>
        </w:rPr>
        <w:fldChar w:fldCharType="begin"/>
      </w:r>
      <w:r>
        <w:rPr>
          <w:rFonts w:ascii="楷体_GB2312"/>
          <w:bCs/>
          <w:caps/>
          <w:snapToGrid w:val="0"/>
          <w:szCs w:val="28"/>
        </w:rPr>
        <w:instrText xml:space="preserve"> HYPERLINK \l _Toc2457 </w:instrText>
      </w:r>
      <w:r>
        <w:rPr>
          <w:rFonts w:ascii="楷体_GB2312"/>
          <w:bCs/>
          <w:caps/>
          <w:snapToGrid w:val="0"/>
          <w:szCs w:val="28"/>
        </w:rPr>
        <w:fldChar w:fldCharType="separate"/>
      </w:r>
      <w:r>
        <w:rPr>
          <w:rFonts w:hint="eastAsia"/>
        </w:rPr>
        <w:t>第三章采购项目概况及要求</w:t>
      </w:r>
      <w:r>
        <w:tab/>
      </w:r>
      <w:r>
        <w:fldChar w:fldCharType="begin"/>
      </w:r>
      <w:r>
        <w:instrText xml:space="preserve"> PAGEREF _Toc2457 \h </w:instrText>
      </w:r>
      <w:r>
        <w:fldChar w:fldCharType="separate"/>
      </w:r>
      <w:r>
        <w:t>11</w:t>
      </w:r>
      <w:r>
        <w:fldChar w:fldCharType="end"/>
      </w:r>
      <w:r>
        <w:rPr>
          <w:rFonts w:ascii="楷体_GB2312"/>
          <w:bCs/>
          <w:caps/>
          <w:snapToGrid w:val="0"/>
          <w:szCs w:val="28"/>
        </w:rPr>
        <w:fldChar w:fldCharType="end"/>
      </w:r>
    </w:p>
    <w:p>
      <w:pPr>
        <w:pStyle w:val="11"/>
        <w:tabs>
          <w:tab w:val="right" w:leader="dot" w:pos="8811"/>
          <w:tab w:val="clear" w:pos="9545"/>
        </w:tabs>
      </w:pPr>
      <w:r>
        <w:rPr>
          <w:rFonts w:ascii="楷体_GB2312"/>
          <w:bCs/>
          <w:caps/>
          <w:snapToGrid w:val="0"/>
          <w:szCs w:val="28"/>
        </w:rPr>
        <w:fldChar w:fldCharType="begin"/>
      </w:r>
      <w:r>
        <w:rPr>
          <w:rFonts w:ascii="楷体_GB2312"/>
          <w:bCs/>
          <w:caps/>
          <w:snapToGrid w:val="0"/>
          <w:szCs w:val="28"/>
        </w:rPr>
        <w:instrText xml:space="preserve"> HYPERLINK \l _Toc10221 </w:instrText>
      </w:r>
      <w:r>
        <w:rPr>
          <w:rFonts w:ascii="楷体_GB2312"/>
          <w:bCs/>
          <w:caps/>
          <w:snapToGrid w:val="0"/>
          <w:szCs w:val="28"/>
        </w:rPr>
        <w:fldChar w:fldCharType="separate"/>
      </w:r>
      <w:r>
        <w:rPr>
          <w:rFonts w:hint="eastAsia"/>
          <w:bCs/>
        </w:rPr>
        <w:t>第四章</w:t>
      </w:r>
      <w:r>
        <w:rPr>
          <w:rFonts w:hint="eastAsia"/>
          <w:bCs/>
          <w:lang w:val="en-US" w:eastAsia="zh-CN"/>
        </w:rPr>
        <w:t xml:space="preserve"> </w:t>
      </w:r>
      <w:r>
        <w:rPr>
          <w:rFonts w:hint="eastAsia"/>
          <w:bCs/>
        </w:rPr>
        <w:t>合同格式及合同条款（参考格式）</w:t>
      </w:r>
      <w:r>
        <w:tab/>
      </w:r>
      <w:r>
        <w:fldChar w:fldCharType="begin"/>
      </w:r>
      <w:r>
        <w:instrText xml:space="preserve"> PAGEREF _Toc10221 \h </w:instrText>
      </w:r>
      <w:r>
        <w:fldChar w:fldCharType="separate"/>
      </w:r>
      <w:r>
        <w:t>12</w:t>
      </w:r>
      <w:r>
        <w:fldChar w:fldCharType="end"/>
      </w:r>
      <w:r>
        <w:rPr>
          <w:rFonts w:ascii="楷体_GB2312"/>
          <w:bCs/>
          <w:caps/>
          <w:snapToGrid w:val="0"/>
          <w:szCs w:val="28"/>
        </w:rPr>
        <w:fldChar w:fldCharType="end"/>
      </w:r>
    </w:p>
    <w:p>
      <w:pPr>
        <w:pStyle w:val="11"/>
        <w:tabs>
          <w:tab w:val="right" w:leader="dot" w:pos="8811"/>
          <w:tab w:val="clear" w:pos="9545"/>
        </w:tabs>
      </w:pPr>
      <w:r>
        <w:rPr>
          <w:rFonts w:ascii="楷体_GB2312"/>
          <w:bCs/>
          <w:caps/>
          <w:snapToGrid w:val="0"/>
          <w:szCs w:val="28"/>
        </w:rPr>
        <w:fldChar w:fldCharType="begin"/>
      </w:r>
      <w:r>
        <w:rPr>
          <w:rFonts w:ascii="楷体_GB2312"/>
          <w:bCs/>
          <w:caps/>
          <w:snapToGrid w:val="0"/>
          <w:szCs w:val="28"/>
        </w:rPr>
        <w:instrText xml:space="preserve"> HYPERLINK \l _Toc19193 </w:instrText>
      </w:r>
      <w:r>
        <w:rPr>
          <w:rFonts w:ascii="楷体_GB2312"/>
          <w:bCs/>
          <w:caps/>
          <w:snapToGrid w:val="0"/>
          <w:szCs w:val="28"/>
        </w:rPr>
        <w:fldChar w:fldCharType="separate"/>
      </w:r>
      <w:r>
        <w:rPr>
          <w:rFonts w:hint="eastAsia"/>
        </w:rPr>
        <w:t>第五章竞争性谈判文件</w:t>
      </w:r>
      <w:r>
        <w:rPr>
          <w:rFonts w:hint="eastAsia" w:eastAsia="宋体"/>
          <w:lang w:eastAsia="zh-CN"/>
        </w:rPr>
        <w:t>参考</w:t>
      </w:r>
      <w:r>
        <w:rPr>
          <w:rFonts w:hint="eastAsia"/>
        </w:rPr>
        <w:t>格式</w:t>
      </w:r>
      <w:r>
        <w:tab/>
      </w:r>
      <w:r>
        <w:fldChar w:fldCharType="begin"/>
      </w:r>
      <w:r>
        <w:instrText xml:space="preserve"> PAGEREF _Toc19193 \h </w:instrText>
      </w:r>
      <w:r>
        <w:fldChar w:fldCharType="separate"/>
      </w:r>
      <w:r>
        <w:t>15</w:t>
      </w:r>
      <w:r>
        <w:fldChar w:fldCharType="end"/>
      </w:r>
      <w:r>
        <w:rPr>
          <w:rFonts w:ascii="楷体_GB2312"/>
          <w:bCs/>
          <w:caps/>
          <w:snapToGrid w:val="0"/>
          <w:szCs w:val="28"/>
        </w:rPr>
        <w:fldChar w:fldCharType="end"/>
      </w:r>
    </w:p>
    <w:p>
      <w:r>
        <w:rPr>
          <w:rFonts w:ascii="楷体_GB2312"/>
          <w:bCs/>
          <w:caps/>
          <w:snapToGrid w:val="0"/>
          <w:szCs w:val="28"/>
        </w:rPr>
        <w:fldChar w:fldCharType="end"/>
      </w:r>
    </w:p>
    <w:p>
      <w:pPr>
        <w:pStyle w:val="4"/>
        <w:spacing w:line="360" w:lineRule="auto"/>
      </w:pPr>
      <w:r>
        <w:br w:type="page"/>
      </w:r>
      <w:bookmarkStart w:id="14" w:name="_Toc1967"/>
      <w:r>
        <w:rPr>
          <w:rFonts w:hint="eastAsia"/>
        </w:rPr>
        <w:t>第一章</w:t>
      </w:r>
      <w:r>
        <w:rPr>
          <w:rFonts w:hint="eastAsia"/>
          <w:lang w:val="en-US" w:eastAsia="zh-CN"/>
        </w:rPr>
        <w:t xml:space="preserve">  </w:t>
      </w:r>
      <w:r>
        <w:rPr>
          <w:rFonts w:hint="eastAsia"/>
        </w:rPr>
        <w:t>竞争性谈判邀请函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20" w:lineRule="exact"/>
        <w:ind w:firstLine="420" w:firstLineChars="200"/>
        <w:jc w:val="left"/>
        <w:rPr>
          <w:rFonts w:asciiTheme="minorEastAsia" w:hAnsiTheme="minorEastAsia" w:cstheme="minorEastAsia"/>
          <w:kern w:val="0"/>
          <w:szCs w:val="21"/>
        </w:rPr>
      </w:pPr>
      <w:bookmarkStart w:id="15" w:name="_Toc10580"/>
      <w:bookmarkStart w:id="16" w:name="_Toc9414"/>
      <w:bookmarkStart w:id="17" w:name="_Toc15814"/>
      <w:bookmarkStart w:id="18" w:name="_Toc25290"/>
      <w:bookmarkStart w:id="19" w:name="_Toc32066"/>
      <w:bookmarkStart w:id="20" w:name="_Toc21545"/>
      <w:r>
        <w:rPr>
          <w:rFonts w:hint="eastAsia" w:asciiTheme="minorEastAsia" w:hAnsiTheme="minorEastAsia" w:cstheme="minorEastAsia"/>
          <w:kern w:val="0"/>
          <w:szCs w:val="21"/>
          <w:lang w:eastAsia="zh-CN"/>
        </w:rPr>
        <w:t>依据《中华人民共和国政府采购法》</w:t>
      </w:r>
      <w:r>
        <w:rPr>
          <w:rFonts w:hint="eastAsia" w:asciiTheme="minorEastAsia" w:hAnsiTheme="minorEastAsia" w:cstheme="minorEastAsia"/>
          <w:kern w:val="0"/>
          <w:szCs w:val="21"/>
        </w:rPr>
        <w:t>，宜昌三峡大老岭自然保护区管理局拟就宜昌三峡大老岭自然保护区基础设施建设及维修工程</w:t>
      </w:r>
      <w:r>
        <w:rPr>
          <w:rFonts w:hint="eastAsia" w:asciiTheme="minorEastAsia" w:hAnsiTheme="minorEastAsia" w:cstheme="minorEastAsia"/>
          <w:kern w:val="0"/>
          <w:szCs w:val="21"/>
          <w:lang w:eastAsia="zh-CN"/>
        </w:rPr>
        <w:t>等项目</w:t>
      </w:r>
      <w:r>
        <w:rPr>
          <w:rFonts w:hint="eastAsia" w:asciiTheme="minorEastAsia" w:hAnsiTheme="minorEastAsia" w:cstheme="minorEastAsia"/>
          <w:kern w:val="0"/>
          <w:szCs w:val="21"/>
          <w:lang w:val="en-US" w:eastAsia="zh-CN"/>
        </w:rPr>
        <w:t>检测服务采购</w:t>
      </w:r>
      <w:r>
        <w:rPr>
          <w:rFonts w:hint="eastAsia" w:asciiTheme="minorEastAsia" w:hAnsiTheme="minorEastAsia" w:cstheme="minorEastAsia"/>
          <w:kern w:val="0"/>
          <w:szCs w:val="21"/>
          <w:lang w:eastAsia="zh-CN"/>
        </w:rPr>
        <w:t>等内容</w:t>
      </w:r>
      <w:r>
        <w:rPr>
          <w:rFonts w:hint="eastAsia" w:asciiTheme="minorEastAsia" w:hAnsiTheme="minorEastAsia" w:cstheme="minorEastAsia"/>
          <w:kern w:val="0"/>
          <w:szCs w:val="21"/>
        </w:rPr>
        <w:t>采取竞争性谈判方式选择技术服务单位</w:t>
      </w:r>
      <w:r>
        <w:rPr>
          <w:rFonts w:hint="eastAsia" w:asciiTheme="minorEastAsia" w:hAnsiTheme="minorEastAsia" w:cstheme="minorEastAsia"/>
          <w:kern w:val="0"/>
          <w:szCs w:val="21"/>
          <w:lang w:eastAsia="zh-CN"/>
        </w:rPr>
        <w:t>，欢迎符合条件的供应商参加</w:t>
      </w:r>
      <w:r>
        <w:rPr>
          <w:rFonts w:hint="eastAsia" w:asciiTheme="minorEastAsia" w:hAnsiTheme="minorEastAsia" w:cstheme="minorEastAsia"/>
          <w:kern w:val="0"/>
          <w:szCs w:val="21"/>
        </w:rPr>
        <w:t>，现将有关事项公告如下：</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rPr>
        <w:t>一、项目采购名称：</w:t>
      </w:r>
      <w:r>
        <w:rPr>
          <w:rFonts w:hint="eastAsia" w:asciiTheme="minorEastAsia" w:hAnsiTheme="minorEastAsia" w:cstheme="minorEastAsia"/>
          <w:kern w:val="0"/>
          <w:szCs w:val="21"/>
          <w:lang w:val="en-US" w:eastAsia="zh-CN"/>
        </w:rPr>
        <w:t>宜昌三峡大老岭自然保护区基础设施建设及维修工程等项目检测服务采购</w:t>
      </w:r>
    </w:p>
    <w:p>
      <w:pPr>
        <w:spacing w:line="520" w:lineRule="exact"/>
        <w:ind w:firstLine="420" w:firstLineChars="200"/>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二、采购项目预算：</w:t>
      </w:r>
      <w:r>
        <w:rPr>
          <w:rFonts w:hint="eastAsia" w:asciiTheme="minorEastAsia" w:hAnsiTheme="minorEastAsia" w:cstheme="minorEastAsia"/>
          <w:color w:val="auto"/>
          <w:kern w:val="0"/>
          <w:szCs w:val="21"/>
          <w:lang w:val="en-US" w:eastAsia="zh-CN"/>
        </w:rPr>
        <w:t>共计</w:t>
      </w:r>
      <w:r>
        <w:rPr>
          <w:rFonts w:hint="eastAsia" w:asciiTheme="minorEastAsia" w:hAnsiTheme="minorEastAsia" w:cstheme="minorEastAsia"/>
          <w:color w:val="auto"/>
          <w:kern w:val="0"/>
          <w:szCs w:val="21"/>
        </w:rPr>
        <w:t>人民币</w:t>
      </w:r>
      <w:r>
        <w:rPr>
          <w:rFonts w:hint="eastAsia" w:asciiTheme="minorEastAsia" w:hAnsiTheme="minorEastAsia" w:cstheme="minorEastAsia"/>
          <w:color w:val="auto"/>
          <w:kern w:val="0"/>
          <w:szCs w:val="21"/>
          <w:lang w:val="en-US" w:eastAsia="zh-CN"/>
        </w:rPr>
        <w:t>50000.00元</w:t>
      </w:r>
      <w:r>
        <w:rPr>
          <w:rFonts w:hint="eastAsia" w:asciiTheme="minorEastAsia" w:hAnsiTheme="minorEastAsia" w:cstheme="minorEastAsia"/>
          <w:color w:val="auto"/>
          <w:kern w:val="0"/>
          <w:szCs w:val="21"/>
        </w:rPr>
        <w:t>(大写：</w:t>
      </w:r>
      <w:r>
        <w:rPr>
          <w:rFonts w:hint="eastAsia" w:asciiTheme="minorEastAsia" w:hAnsiTheme="minorEastAsia" w:cstheme="minorEastAsia"/>
          <w:color w:val="auto"/>
          <w:kern w:val="0"/>
          <w:szCs w:val="21"/>
          <w:u w:val="single"/>
          <w:lang w:val="en-US" w:eastAsia="zh-CN"/>
        </w:rPr>
        <w:t>伍万元</w:t>
      </w:r>
      <w:r>
        <w:rPr>
          <w:rFonts w:hint="eastAsia" w:asciiTheme="minorEastAsia" w:hAnsiTheme="minorEastAsia" w:cstheme="minorEastAsia"/>
          <w:color w:val="auto"/>
          <w:kern w:val="0"/>
          <w:szCs w:val="21"/>
          <w:u w:val="single"/>
        </w:rPr>
        <w:t>整</w:t>
      </w:r>
      <w:r>
        <w:rPr>
          <w:rFonts w:hint="eastAsia" w:asciiTheme="minorEastAsia" w:hAnsiTheme="minorEastAsia" w:cstheme="minorEastAsia"/>
          <w:color w:val="auto"/>
          <w:kern w:val="0"/>
          <w:szCs w:val="21"/>
        </w:rPr>
        <w:t>)</w:t>
      </w:r>
    </w:p>
    <w:p>
      <w:pPr>
        <w:spacing w:line="520" w:lineRule="exact"/>
        <w:ind w:firstLine="420" w:firstLineChars="200"/>
        <w:rPr>
          <w:rFonts w:hint="eastAsia" w:asciiTheme="minorEastAsia" w:hAnsiTheme="minorEastAsia" w:cstheme="minorEastAsia"/>
          <w:kern w:val="0"/>
          <w:szCs w:val="21"/>
          <w:lang w:eastAsia="zh-CN"/>
        </w:rPr>
      </w:pPr>
      <w:r>
        <w:rPr>
          <w:rFonts w:hint="eastAsia" w:asciiTheme="minorEastAsia" w:hAnsiTheme="minorEastAsia" w:cstheme="minorEastAsia"/>
          <w:kern w:val="0"/>
          <w:szCs w:val="21"/>
          <w:lang w:val="en-US" w:eastAsia="zh-CN"/>
        </w:rPr>
        <w:t>标段一：宜昌三峡大老岭自然保护区基础设施建设及维修工程检测服务采购，预算服务费：共计40000元</w:t>
      </w:r>
      <w:r>
        <w:rPr>
          <w:rFonts w:hint="eastAsia" w:asciiTheme="minorEastAsia" w:hAnsiTheme="minorEastAsia" w:cstheme="minorEastAsia"/>
          <w:kern w:val="0"/>
          <w:szCs w:val="21"/>
        </w:rPr>
        <w:t>(大写：</w:t>
      </w:r>
      <w:r>
        <w:rPr>
          <w:rFonts w:hint="eastAsia" w:asciiTheme="minorEastAsia" w:hAnsiTheme="minorEastAsia" w:cstheme="minorEastAsia"/>
          <w:kern w:val="0"/>
          <w:szCs w:val="21"/>
          <w:lang w:eastAsia="zh-CN"/>
        </w:rPr>
        <w:t>肆万</w:t>
      </w:r>
      <w:r>
        <w:rPr>
          <w:rFonts w:hint="eastAsia" w:asciiTheme="minorEastAsia" w:hAnsiTheme="minorEastAsia" w:cstheme="minorEastAsia"/>
          <w:kern w:val="0"/>
          <w:szCs w:val="21"/>
          <w:lang w:val="en-US" w:eastAsia="zh-CN"/>
        </w:rPr>
        <w:t>元</w:t>
      </w:r>
      <w:r>
        <w:rPr>
          <w:rFonts w:hint="eastAsia" w:asciiTheme="minorEastAsia" w:hAnsiTheme="minorEastAsia" w:cstheme="minorEastAsia"/>
          <w:kern w:val="0"/>
          <w:szCs w:val="21"/>
        </w:rPr>
        <w:t>整)</w:t>
      </w:r>
      <w:r>
        <w:rPr>
          <w:rFonts w:hint="eastAsia" w:asciiTheme="minorEastAsia" w:hAnsiTheme="minorEastAsia" w:cstheme="minorEastAsia"/>
          <w:kern w:val="0"/>
          <w:szCs w:val="21"/>
          <w:lang w:eastAsia="zh-CN"/>
        </w:rPr>
        <w:t>。</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eastAsia="zh-CN"/>
        </w:rPr>
        <w:t>标段二：</w:t>
      </w:r>
      <w:r>
        <w:rPr>
          <w:rFonts w:hint="eastAsia" w:asciiTheme="minorEastAsia" w:hAnsiTheme="minorEastAsia" w:cstheme="minorEastAsia"/>
          <w:kern w:val="0"/>
          <w:szCs w:val="21"/>
        </w:rPr>
        <w:t>宜昌三峡</w:t>
      </w:r>
      <w:r>
        <w:rPr>
          <w:rFonts w:hint="eastAsia" w:asciiTheme="minorEastAsia" w:hAnsiTheme="minorEastAsia" w:cstheme="minorEastAsia"/>
          <w:kern w:val="0"/>
          <w:szCs w:val="21"/>
          <w:lang w:val="en-US" w:eastAsia="zh-CN"/>
        </w:rPr>
        <w:t>大老岭保护区移民安置区美丽家园建设项目公路检测服务采购</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预算服务费：共计10000.00元</w:t>
      </w:r>
      <w:r>
        <w:rPr>
          <w:rFonts w:hint="eastAsia" w:asciiTheme="minorEastAsia" w:hAnsiTheme="minorEastAsia" w:cstheme="minorEastAsia"/>
          <w:kern w:val="0"/>
          <w:szCs w:val="21"/>
        </w:rPr>
        <w:t>(大写：</w:t>
      </w:r>
      <w:r>
        <w:rPr>
          <w:rFonts w:hint="eastAsia" w:asciiTheme="minorEastAsia" w:hAnsiTheme="minorEastAsia" w:cstheme="minorEastAsia"/>
          <w:kern w:val="0"/>
          <w:szCs w:val="21"/>
          <w:lang w:eastAsia="zh-CN"/>
        </w:rPr>
        <w:t>壹万</w:t>
      </w:r>
      <w:r>
        <w:rPr>
          <w:rFonts w:hint="eastAsia" w:asciiTheme="minorEastAsia" w:hAnsiTheme="minorEastAsia" w:cstheme="minorEastAsia"/>
          <w:kern w:val="0"/>
          <w:szCs w:val="21"/>
          <w:lang w:val="en-US" w:eastAsia="zh-CN"/>
        </w:rPr>
        <w:t>元</w:t>
      </w:r>
      <w:r>
        <w:rPr>
          <w:rFonts w:hint="eastAsia" w:asciiTheme="minorEastAsia" w:hAnsiTheme="minorEastAsia" w:cstheme="minorEastAsia"/>
          <w:kern w:val="0"/>
          <w:szCs w:val="21"/>
        </w:rPr>
        <w:t>整)。</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三、</w:t>
      </w:r>
      <w:r>
        <w:rPr>
          <w:rFonts w:hint="eastAsia" w:asciiTheme="minorEastAsia" w:hAnsiTheme="minorEastAsia" w:cstheme="minorEastAsia"/>
          <w:kern w:val="0"/>
          <w:szCs w:val="21"/>
          <w:lang w:eastAsia="zh-CN"/>
        </w:rPr>
        <w:t>项目概况与招标范围</w:t>
      </w:r>
      <w:r>
        <w:rPr>
          <w:rFonts w:hint="eastAsia" w:asciiTheme="minorEastAsia" w:hAnsiTheme="minorEastAsia" w:cstheme="minorEastAsia"/>
          <w:kern w:val="0"/>
          <w:szCs w:val="21"/>
        </w:rPr>
        <w:t>：</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eastAsia="zh-CN"/>
        </w:rPr>
        <w:t>（一）</w:t>
      </w:r>
      <w:r>
        <w:rPr>
          <w:rFonts w:hint="eastAsia" w:asciiTheme="minorEastAsia" w:hAnsiTheme="minorEastAsia" w:cstheme="minorEastAsia"/>
          <w:kern w:val="0"/>
          <w:szCs w:val="21"/>
          <w:lang w:val="en-US" w:eastAsia="zh-CN"/>
        </w:rPr>
        <w:t>项目情况及需求</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项目一：宜昌三峡大老岭自然保护区基础设施建设及维修工程检测服务采购</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采购需求：对本项目公路工程（含路基、路面、交通安全设施工程、主动网等）进行抽检、检测（其中隐蔽工程或在交工验收时难以检测的项目在建设过程中进行检测），对工程外观进行检查并做好外观检查记录，并按照交通部“公路工程竣工档案目录”要求进行内业资料审查（包括对施工单位及监理单位的内业资料进行规范性、完整性审查，对抽检项目进行详细检查），并出具工程项目交（竣）工检测报告。（详见第三章采购需求）。</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项目二：</w:t>
      </w:r>
      <w:r>
        <w:rPr>
          <w:rFonts w:hint="eastAsia" w:asciiTheme="minorEastAsia" w:hAnsiTheme="minorEastAsia" w:cstheme="minorEastAsia"/>
          <w:kern w:val="0"/>
          <w:szCs w:val="21"/>
        </w:rPr>
        <w:t>宜昌三峡</w:t>
      </w:r>
      <w:r>
        <w:rPr>
          <w:rFonts w:hint="eastAsia" w:asciiTheme="minorEastAsia" w:hAnsiTheme="minorEastAsia" w:cstheme="minorEastAsia"/>
          <w:kern w:val="0"/>
          <w:szCs w:val="21"/>
          <w:lang w:val="en-US" w:eastAsia="zh-CN"/>
        </w:rPr>
        <w:t>大老岭保护区移民安置区美丽家园建设项目公路检测服务采购</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采购需求：对本项目公路工程（含路基、路面、交通安全设施工程等）进行抽检、检测（其中隐蔽工程或在交工验收时难以检测的项目在建设过程中进行检测），对工程外观进行检查并做好外观检查记录，并按照交通部“公路工程竣工档案目录”要求进行内业资料审查（包括对施工单位及监理单位的内业资料进行规范性、完整性审查，对抽检项目进行详细检查），并出具工程项目交（竣）工检测报告。（详见第三章采购需求）。</w:t>
      </w:r>
    </w:p>
    <w:p>
      <w:pPr>
        <w:numPr>
          <w:ilvl w:val="0"/>
          <w:numId w:val="0"/>
        </w:numPr>
        <w:spacing w:line="520" w:lineRule="exact"/>
        <w:ind w:firstLine="420" w:firstLineChars="200"/>
        <w:rPr>
          <w:rFonts w:hint="eastAsia"/>
          <w:lang w:val="en-US" w:eastAsia="zh-CN"/>
        </w:rPr>
      </w:pPr>
      <w:r>
        <w:rPr>
          <w:rFonts w:hint="eastAsia" w:asciiTheme="minorEastAsia" w:hAnsiTheme="minorEastAsia" w:cstheme="minorEastAsia"/>
          <w:kern w:val="0"/>
          <w:szCs w:val="21"/>
          <w:lang w:val="en-US" w:eastAsia="zh-CN"/>
        </w:rPr>
        <w:t>（二）合同履行期限：同施工合同工期。</w:t>
      </w:r>
    </w:p>
    <w:p>
      <w:pPr>
        <w:numPr>
          <w:ilvl w:val="0"/>
          <w:numId w:val="0"/>
        </w:numPr>
        <w:spacing w:line="520" w:lineRule="exact"/>
        <w:ind w:firstLine="420" w:firstLineChars="200"/>
        <w:rPr>
          <w:rFonts w:hint="eastAsia"/>
          <w:lang w:val="en-US" w:eastAsia="zh-CN"/>
        </w:rPr>
      </w:pPr>
      <w:r>
        <w:rPr>
          <w:rFonts w:hint="eastAsia"/>
          <w:lang w:val="en-US" w:eastAsia="zh-CN"/>
        </w:rPr>
        <w:t>（三）本项目不接受联合体。</w:t>
      </w:r>
    </w:p>
    <w:p>
      <w:pPr>
        <w:numPr>
          <w:ilvl w:val="0"/>
          <w:numId w:val="1"/>
        </w:numPr>
        <w:spacing w:line="520" w:lineRule="exact"/>
        <w:ind w:firstLine="420" w:firstLineChars="200"/>
        <w:rPr>
          <w:rFonts w:hint="eastAsia"/>
          <w:lang w:val="en-US" w:eastAsia="zh-CN"/>
        </w:rPr>
      </w:pPr>
      <w:r>
        <w:rPr>
          <w:rFonts w:hint="eastAsia"/>
          <w:lang w:val="en-US" w:eastAsia="zh-CN"/>
        </w:rPr>
        <w:t>本项目（是/否）专门面向中小微企业：是</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四</w:t>
      </w:r>
      <w:r>
        <w:rPr>
          <w:rFonts w:hint="eastAsia" w:asciiTheme="minorEastAsia" w:hAnsiTheme="minorEastAsia" w:cstheme="minorEastAsia"/>
          <w:kern w:val="0"/>
          <w:szCs w:val="21"/>
        </w:rPr>
        <w:t>、谈判供应商资格条件</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1、符合《中华人民共和国政府采购法》第二十二条规定的供应商。</w:t>
      </w:r>
    </w:p>
    <w:p>
      <w:p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rPr>
        <w:t>2、专用资质条件：</w:t>
      </w:r>
      <w:r>
        <w:rPr>
          <w:rFonts w:hint="eastAsia" w:asciiTheme="minorEastAsia" w:hAnsiTheme="minorEastAsia" w:cstheme="minorEastAsia"/>
          <w:kern w:val="0"/>
          <w:szCs w:val="21"/>
          <w:lang w:val="en-US" w:eastAsia="zh-CN"/>
        </w:rPr>
        <w:t>供应商须具备交通运输部颁发的公路工程试验检测综合乙级及以上资质证书，并同时具备省级及以上技术监督部门颁发的计量认证证书（CMA）。</w:t>
      </w:r>
    </w:p>
    <w:p>
      <w:pPr>
        <w:numPr>
          <w:ilvl w:val="0"/>
          <w:numId w:val="0"/>
        </w:numPr>
        <w:spacing w:line="520" w:lineRule="exact"/>
        <w:ind w:firstLine="420" w:firstLineChars="200"/>
        <w:rPr>
          <w:rFonts w:hint="eastAsia"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3、</w:t>
      </w:r>
      <w:r>
        <w:rPr>
          <w:rFonts w:hint="eastAsia" w:asciiTheme="minorEastAsia" w:hAnsiTheme="minorEastAsia" w:cstheme="minorEastAsia"/>
          <w:kern w:val="0"/>
          <w:szCs w:val="21"/>
        </w:rPr>
        <w:t>信誉要求：</w:t>
      </w:r>
      <w:r>
        <w:rPr>
          <w:rFonts w:hint="eastAsia" w:asciiTheme="minorEastAsia" w:hAnsiTheme="minorEastAsia" w:cstheme="minorEastAsia"/>
          <w:kern w:val="0"/>
          <w:szCs w:val="21"/>
          <w:lang w:val="en-US" w:eastAsia="zh-CN"/>
        </w:rPr>
        <w:t>响应文件递交截止时间当天，“信用中国”网站(www.creditchina.gov.cn)、中国政府采购网(www.ccgp.gov.cn)查询，供应商未被列入信用记录失信被执行人、重大税收违法案件当事人名单、政府采购严重违法失信行为记录名单；</w:t>
      </w:r>
    </w:p>
    <w:p>
      <w:pPr>
        <w:pStyle w:val="2"/>
        <w:jc w:val="both"/>
        <w:rPr>
          <w:rFonts w:hint="default" w:eastAsia="微软雅黑" w:asciiTheme="minorEastAsia" w:hAnsiTheme="minorEastAsia" w:cstheme="minorEastAsia"/>
          <w:b w:val="0"/>
          <w:kern w:val="0"/>
          <w:sz w:val="22"/>
          <w:szCs w:val="21"/>
          <w:lang w:val="en-US" w:eastAsia="zh-CN" w:bidi="ar-SA"/>
        </w:rPr>
      </w:pPr>
      <w:r>
        <w:rPr>
          <w:rFonts w:hint="eastAsia" w:asciiTheme="minorEastAsia" w:hAnsiTheme="minorEastAsia" w:cstheme="minorEastAsia"/>
          <w:kern w:val="0"/>
          <w:szCs w:val="21"/>
          <w:lang w:val="en-US" w:eastAsia="zh-CN"/>
        </w:rPr>
        <w:t xml:space="preserve"> </w:t>
      </w:r>
      <w:r>
        <w:rPr>
          <w:rFonts w:hint="eastAsia" w:asciiTheme="minorEastAsia" w:hAnsiTheme="minorEastAsia" w:eastAsiaTheme="minorEastAsia" w:cstheme="minorEastAsia"/>
          <w:b w:val="0"/>
          <w:kern w:val="0"/>
          <w:sz w:val="21"/>
          <w:szCs w:val="21"/>
          <w:lang w:val="en-US" w:eastAsia="zh-CN" w:bidi="ar-SA"/>
        </w:rPr>
        <w:t xml:space="preserve">   4、为本项目提供施工或者项目管理、监理等服务的供应商，不得再参加该本项目的其他采购活动。</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五</w:t>
      </w:r>
      <w:r>
        <w:rPr>
          <w:rFonts w:hint="eastAsia" w:asciiTheme="minorEastAsia" w:hAnsiTheme="minorEastAsia" w:cstheme="minorEastAsia"/>
          <w:kern w:val="0"/>
          <w:szCs w:val="21"/>
        </w:rPr>
        <w:t>、谈判文件的获取</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1、谈判文件获取时间：20</w:t>
      </w:r>
      <w:r>
        <w:rPr>
          <w:rFonts w:hint="eastAsia" w:asciiTheme="minorEastAsia" w:hAnsiTheme="minorEastAsia" w:cstheme="minorEastAsia"/>
          <w:kern w:val="0"/>
          <w:szCs w:val="21"/>
          <w:lang w:val="en-US" w:eastAsia="zh-CN"/>
        </w:rPr>
        <w:t>22</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9</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2</w:t>
      </w:r>
      <w:r>
        <w:rPr>
          <w:rFonts w:hint="eastAsia" w:asciiTheme="minorEastAsia" w:hAnsiTheme="minorEastAsia" w:cstheme="minorEastAsia"/>
          <w:kern w:val="0"/>
          <w:szCs w:val="21"/>
        </w:rPr>
        <w:t>日至</w:t>
      </w:r>
      <w:r>
        <w:rPr>
          <w:rFonts w:hint="eastAsia" w:asciiTheme="minorEastAsia" w:hAnsiTheme="minorEastAsia" w:cstheme="minorEastAsia"/>
          <w:kern w:val="0"/>
          <w:szCs w:val="21"/>
          <w:lang w:val="en-US" w:eastAsia="zh-CN"/>
        </w:rPr>
        <w:t>7</w:t>
      </w:r>
      <w:r>
        <w:rPr>
          <w:rFonts w:hint="eastAsia" w:asciiTheme="minorEastAsia" w:hAnsiTheme="minorEastAsia" w:cstheme="minorEastAsia"/>
          <w:kern w:val="0"/>
          <w:szCs w:val="21"/>
        </w:rPr>
        <w:t>日17:30止。</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2、谈判文件获取方式：直接在宜昌市</w:t>
      </w:r>
      <w:r>
        <w:rPr>
          <w:rFonts w:hint="eastAsia" w:asciiTheme="minorEastAsia" w:hAnsiTheme="minorEastAsia" w:cstheme="minorEastAsia"/>
          <w:kern w:val="0"/>
          <w:szCs w:val="21"/>
          <w:lang w:eastAsia="zh-CN"/>
        </w:rPr>
        <w:t>林业和园林</w:t>
      </w:r>
      <w:r>
        <w:rPr>
          <w:rFonts w:hint="eastAsia" w:asciiTheme="minorEastAsia" w:hAnsiTheme="minorEastAsia" w:cstheme="minorEastAsia"/>
          <w:kern w:val="0"/>
          <w:szCs w:val="21"/>
        </w:rPr>
        <w:t>局网站下载（</w:t>
      </w: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HYPERLINK "http://lyj.yichang.gov.cn/"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http://lyj.yichang.gov.cn/</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w:t>
      </w:r>
    </w:p>
    <w:p>
      <w:pPr>
        <w:pStyle w:val="2"/>
        <w:jc w:val="both"/>
        <w:rPr>
          <w:rFonts w:hint="default" w:eastAsia="微软雅黑" w:asciiTheme="minorEastAsia" w:hAnsiTheme="minorEastAsia" w:cstheme="minorEastAsia"/>
          <w:b w:val="0"/>
          <w:kern w:val="0"/>
          <w:sz w:val="22"/>
          <w:szCs w:val="21"/>
          <w:lang w:val="en-US" w:eastAsia="zh-CN" w:bidi="ar-SA"/>
        </w:rPr>
      </w:pPr>
      <w:r>
        <w:rPr>
          <w:rFonts w:hint="eastAsia" w:asciiTheme="minorEastAsia" w:hAnsiTheme="minorEastAsia" w:cstheme="minorEastAsia"/>
          <w:kern w:val="0"/>
          <w:szCs w:val="21"/>
          <w:lang w:val="en-US" w:eastAsia="zh-CN"/>
        </w:rPr>
        <w:t xml:space="preserve"> </w:t>
      </w:r>
      <w:r>
        <w:rPr>
          <w:rFonts w:hint="eastAsia" w:eastAsia="微软雅黑" w:asciiTheme="minorEastAsia" w:hAnsiTheme="minorEastAsia" w:cstheme="minorEastAsia"/>
          <w:b w:val="0"/>
          <w:kern w:val="0"/>
          <w:sz w:val="22"/>
          <w:szCs w:val="21"/>
          <w:lang w:val="en-US" w:eastAsia="zh-CN" w:bidi="ar-SA"/>
        </w:rPr>
        <w:t xml:space="preserve">   3</w:t>
      </w:r>
      <w:r>
        <w:rPr>
          <w:rFonts w:hint="eastAsia" w:asciiTheme="minorEastAsia" w:hAnsiTheme="minorEastAsia" w:eastAsiaTheme="minorEastAsia" w:cstheme="minorEastAsia"/>
          <w:b w:val="0"/>
          <w:kern w:val="0"/>
          <w:sz w:val="21"/>
          <w:szCs w:val="21"/>
          <w:lang w:val="en-US" w:eastAsia="zh-CN" w:bidi="ar-SA"/>
        </w:rPr>
        <w:t>、售价0元。</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en-US" w:eastAsia="zh-CN"/>
        </w:rPr>
        <w:t>六、谈判响</w:t>
      </w:r>
      <w:r>
        <w:rPr>
          <w:rFonts w:hint="eastAsia" w:asciiTheme="minorEastAsia" w:hAnsiTheme="minorEastAsia" w:cstheme="minorEastAsia"/>
          <w:kern w:val="0"/>
          <w:szCs w:val="21"/>
        </w:rPr>
        <w:t>应文件递交截止时间及地点</w:t>
      </w:r>
    </w:p>
    <w:p>
      <w:pPr>
        <w:spacing w:line="520" w:lineRule="exact"/>
        <w:ind w:firstLine="420" w:firstLineChars="200"/>
        <w:rPr>
          <w:rFonts w:hint="eastAsia" w:asciiTheme="minorEastAsia" w:hAnsiTheme="minorEastAsia" w:cstheme="minorEastAsia"/>
          <w:kern w:val="0"/>
          <w:szCs w:val="21"/>
        </w:rPr>
      </w:pPr>
      <w:r>
        <w:rPr>
          <w:rFonts w:hint="eastAsia" w:asciiTheme="minorEastAsia" w:hAnsiTheme="minorEastAsia" w:cstheme="minorEastAsia"/>
          <w:kern w:val="0"/>
          <w:szCs w:val="21"/>
        </w:rPr>
        <w:t>1、截止时间</w:t>
      </w:r>
      <w:r>
        <w:rPr>
          <w:rFonts w:hint="eastAsia" w:asciiTheme="minorEastAsia" w:hAnsiTheme="minorEastAsia" w:cstheme="minorEastAsia"/>
          <w:color w:val="FF0000"/>
          <w:kern w:val="0"/>
          <w:szCs w:val="21"/>
        </w:rPr>
        <w:t>：</w:t>
      </w:r>
      <w:r>
        <w:rPr>
          <w:rFonts w:hint="eastAsia" w:asciiTheme="minorEastAsia" w:hAnsiTheme="minorEastAsia" w:cstheme="minorEastAsia"/>
          <w:kern w:val="0"/>
          <w:szCs w:val="21"/>
        </w:rPr>
        <w:t>20</w:t>
      </w:r>
      <w:r>
        <w:rPr>
          <w:rFonts w:hint="eastAsia" w:asciiTheme="minorEastAsia" w:hAnsiTheme="minorEastAsia" w:cstheme="minorEastAsia"/>
          <w:kern w:val="0"/>
          <w:szCs w:val="21"/>
          <w:lang w:val="en-US" w:eastAsia="zh-CN"/>
        </w:rPr>
        <w:t>22</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9</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8日14</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3</w:t>
      </w:r>
      <w:r>
        <w:rPr>
          <w:rFonts w:hint="eastAsia" w:asciiTheme="minorEastAsia" w:hAnsiTheme="minorEastAsia" w:cstheme="minorEastAsia"/>
          <w:kern w:val="0"/>
          <w:szCs w:val="21"/>
        </w:rPr>
        <w:t>0。</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2、递交地点：宜昌三峡大老岭自然保护区管理局</w:t>
      </w:r>
      <w:r>
        <w:rPr>
          <w:rFonts w:hint="eastAsia" w:asciiTheme="minorEastAsia" w:hAnsiTheme="minorEastAsia" w:cstheme="minorEastAsia"/>
          <w:kern w:val="0"/>
          <w:szCs w:val="21"/>
          <w:lang w:eastAsia="zh-CN"/>
        </w:rPr>
        <w:t>宜昌办事处</w:t>
      </w:r>
      <w:r>
        <w:rPr>
          <w:rFonts w:hint="eastAsia" w:asciiTheme="minorEastAsia" w:hAnsiTheme="minorEastAsia" w:cstheme="minorEastAsia"/>
          <w:kern w:val="0"/>
          <w:szCs w:val="21"/>
        </w:rPr>
        <w:t>(宜昌市西陵区</w:t>
      </w:r>
      <w:r>
        <w:rPr>
          <w:rFonts w:hint="eastAsia" w:asciiTheme="minorEastAsia" w:hAnsiTheme="minorEastAsia" w:cstheme="minorEastAsia"/>
          <w:kern w:val="0"/>
          <w:szCs w:val="21"/>
          <w:lang w:val="en-US" w:eastAsia="zh-CN"/>
        </w:rPr>
        <w:t>西陵二路13</w:t>
      </w:r>
      <w:r>
        <w:rPr>
          <w:rFonts w:hint="eastAsia" w:asciiTheme="minorEastAsia" w:hAnsiTheme="minorEastAsia" w:cstheme="minorEastAsia"/>
          <w:kern w:val="0"/>
          <w:szCs w:val="21"/>
        </w:rPr>
        <w:t>号)。</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eastAsia="zh-CN"/>
        </w:rPr>
        <w:t>七</w:t>
      </w:r>
      <w:r>
        <w:rPr>
          <w:rFonts w:hint="eastAsia" w:asciiTheme="minorEastAsia" w:hAnsiTheme="minorEastAsia" w:cstheme="minorEastAsia"/>
          <w:kern w:val="0"/>
          <w:szCs w:val="21"/>
        </w:rPr>
        <w:t>、谈判会</w:t>
      </w:r>
    </w:p>
    <w:p>
      <w:pPr>
        <w:spacing w:line="52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本项目谈判响应文件递交截止时间即为谈判开始时间，谈判地点为宜昌三峡大老岭自然保护区管理局</w:t>
      </w:r>
      <w:r>
        <w:rPr>
          <w:rFonts w:hint="eastAsia" w:asciiTheme="minorEastAsia" w:hAnsiTheme="minorEastAsia" w:cstheme="minorEastAsia"/>
          <w:kern w:val="0"/>
          <w:szCs w:val="21"/>
          <w:lang w:eastAsia="zh-CN"/>
        </w:rPr>
        <w:t>办事处</w:t>
      </w:r>
      <w:r>
        <w:rPr>
          <w:rFonts w:hint="eastAsia" w:asciiTheme="minorEastAsia" w:hAnsiTheme="minorEastAsia" w:cstheme="minorEastAsia"/>
          <w:kern w:val="0"/>
          <w:szCs w:val="21"/>
          <w:lang w:val="en-US" w:eastAsia="zh-CN"/>
        </w:rPr>
        <w:t>五</w:t>
      </w:r>
      <w:r>
        <w:rPr>
          <w:rFonts w:hint="eastAsia" w:asciiTheme="minorEastAsia" w:hAnsiTheme="minorEastAsia" w:cstheme="minorEastAsia"/>
          <w:kern w:val="0"/>
          <w:szCs w:val="21"/>
        </w:rPr>
        <w:t>楼会议室(宜昌市西陵区</w:t>
      </w:r>
      <w:r>
        <w:rPr>
          <w:rFonts w:hint="eastAsia" w:asciiTheme="minorEastAsia" w:hAnsiTheme="minorEastAsia" w:cstheme="minorEastAsia"/>
          <w:kern w:val="0"/>
          <w:szCs w:val="21"/>
          <w:lang w:val="en-US" w:eastAsia="zh-CN"/>
        </w:rPr>
        <w:t>西陵二路13</w:t>
      </w:r>
      <w:r>
        <w:rPr>
          <w:rFonts w:hint="eastAsia" w:asciiTheme="minorEastAsia" w:hAnsiTheme="minorEastAsia" w:cstheme="minorEastAsia"/>
          <w:kern w:val="0"/>
          <w:szCs w:val="21"/>
        </w:rPr>
        <w:t>号)。谈判供应商的法定代表人或委托代理人应按规定时间携带身份证明文件（法定代表人身份证明文件或法定代表人授权委托书）、第二代身份证原件准时参加并签到，否则视为自动弃权。</w:t>
      </w:r>
    </w:p>
    <w:p>
      <w:pPr>
        <w:spacing w:line="520" w:lineRule="exact"/>
        <w:rPr>
          <w:rFonts w:asciiTheme="minorEastAsia" w:hAnsiTheme="minorEastAsia" w:cstheme="minorEastAsia"/>
          <w:kern w:val="0"/>
          <w:szCs w:val="21"/>
        </w:rPr>
      </w:pPr>
      <w:r>
        <w:rPr>
          <w:rFonts w:hint="eastAsia" w:asciiTheme="minorEastAsia" w:hAnsiTheme="minorEastAsia" w:cstheme="minorEastAsia"/>
          <w:kern w:val="0"/>
          <w:szCs w:val="21"/>
        </w:rPr>
        <w:t xml:space="preserve">    采购单位：宜昌三峡大老岭自然保护区管理局</w:t>
      </w:r>
    </w:p>
    <w:p>
      <w:pPr>
        <w:spacing w:line="520" w:lineRule="exact"/>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cstheme="minorEastAsia"/>
          <w:kern w:val="0"/>
          <w:szCs w:val="21"/>
        </w:rPr>
        <w:t>联系人：</w:t>
      </w:r>
      <w:r>
        <w:rPr>
          <w:rFonts w:hint="eastAsia" w:asciiTheme="minorEastAsia" w:hAnsiTheme="minorEastAsia" w:cstheme="minorEastAsia"/>
          <w:kern w:val="0"/>
          <w:szCs w:val="21"/>
          <w:lang w:val="en-US" w:eastAsia="zh-CN"/>
        </w:rPr>
        <w:t>饶国栋</w:t>
      </w:r>
    </w:p>
    <w:p>
      <w:pPr>
        <w:spacing w:line="520" w:lineRule="exact"/>
        <w:ind w:firstLine="420" w:firstLineChars="200"/>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rPr>
        <w:t>联系电话：0717-622</w:t>
      </w:r>
      <w:r>
        <w:rPr>
          <w:rFonts w:hint="eastAsia" w:asciiTheme="minorEastAsia" w:hAnsiTheme="minorEastAsia" w:cstheme="minorEastAsia"/>
          <w:kern w:val="0"/>
          <w:szCs w:val="21"/>
          <w:lang w:val="en-US" w:eastAsia="zh-CN"/>
        </w:rPr>
        <w:t>3838</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15971661629；</w:t>
      </w:r>
    </w:p>
    <w:p>
      <w:pPr>
        <w:rPr>
          <w:rFonts w:asciiTheme="minorEastAsia" w:hAnsiTheme="minorEastAsia" w:cstheme="minorEastAsia"/>
          <w:szCs w:val="21"/>
        </w:rPr>
      </w:pPr>
    </w:p>
    <w:p>
      <w:pPr>
        <w:spacing w:line="360" w:lineRule="auto"/>
        <w:ind w:firstLine="643" w:firstLineChars="200"/>
        <w:jc w:val="center"/>
        <w:rPr>
          <w:rStyle w:val="17"/>
        </w:rPr>
      </w:pPr>
      <w:r>
        <w:rPr>
          <w:rStyle w:val="17"/>
        </w:rPr>
        <w:br w:type="page"/>
      </w:r>
      <w:bookmarkStart w:id="21" w:name="_Toc16761"/>
      <w:r>
        <w:rPr>
          <w:rStyle w:val="17"/>
          <w:rFonts w:hint="eastAsia"/>
        </w:rPr>
        <w:t>第二章</w:t>
      </w:r>
      <w:r>
        <w:rPr>
          <w:rStyle w:val="17"/>
          <w:rFonts w:hint="eastAsia"/>
          <w:lang w:val="en-US"/>
        </w:rPr>
        <w:t xml:space="preserve"> </w:t>
      </w:r>
      <w:r>
        <w:rPr>
          <w:rStyle w:val="17"/>
          <w:rFonts w:hint="eastAsia"/>
        </w:rPr>
        <w:t>谈判须知</w:t>
      </w:r>
      <w:bookmarkEnd w:id="0"/>
      <w:bookmarkEnd w:id="1"/>
      <w:bookmarkStart w:id="22" w:name="_Toc326585951"/>
      <w:bookmarkStart w:id="23" w:name="_Toc109115535"/>
    </w:p>
    <w:bookmarkEnd w:id="15"/>
    <w:bookmarkEnd w:id="16"/>
    <w:bookmarkEnd w:id="17"/>
    <w:bookmarkEnd w:id="18"/>
    <w:bookmarkEnd w:id="19"/>
    <w:bookmarkEnd w:id="20"/>
    <w:bookmarkEnd w:id="21"/>
    <w:p>
      <w:pPr>
        <w:pStyle w:val="5"/>
        <w:ind w:firstLine="482"/>
      </w:pPr>
      <w:bookmarkStart w:id="24" w:name="_Toc427933717"/>
      <w:bookmarkStart w:id="25" w:name="_Toc24779"/>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1.1本竞争性谈判文件适用于本公告中所述的服务类政府采购项目。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2.2“谈判供应商”是指：符合本谈判文件规定并参加本项目谈判的供应商。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2.3“执行机构”是指：宜昌三峡大老岭自然保护区管理局。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2.4“成交供应商”是指：经谈判小组评审、推荐，采购人依法确定并授予合同的谈判供应商。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2.7“谈判响应文件”是指：谈判供应商根据本文件要求，编制包含报价、技术和服务等所有内容的文件。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3.谈判供应商必须具备的基本条件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3.1符合谈判文件“竞争性谈判邀请函”所规定的供应商资格要求，有能力提供本项目服务的供应商。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谈判费用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4.1谈判供应商应自行承担所有与编写和提交竞争性谈判响应文件有关的费用，不论谈判结果如何，采购人在任何情况下无义务和责任承担此类费用。</w:t>
      </w:r>
    </w:p>
    <w:p>
      <w:pPr>
        <w:pStyle w:val="5"/>
        <w:ind w:firstLine="482"/>
      </w:pPr>
      <w:bookmarkStart w:id="26" w:name="_Toc427933718"/>
      <w:bookmarkStart w:id="27" w:name="_Toc18419"/>
      <w:r>
        <w:rPr>
          <w:rFonts w:hint="eastAsia"/>
        </w:rPr>
        <w:t>二、竞争性谈判响应文件的编制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谈判供应商提交的竞争性谈判响应文件以及谈判供应商与采购人就有关谈判的所有来往函电均应使用中文。谈判供应商提交的支持文件和印刷的文献可以使用别的语言，但其相应内容必须附有中文翻译文本，在解释竞争性谈判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5.2谈判供应商应认真阅读、并充分理解本文件的全部内容（包括所有的补充、修改内容），承诺并履行本文件中各项条款规定及要求。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5.3竞争性谈判响应文件必须按本文件的全部内容，包括所有的补充通知及附件进行编制。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5.4如因谈判供应商只填写和提供了本文件要求的部分内容和附件，而给评审造成困难，其可能导致的结果和责任由谈判供应商自行承担。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6.竞争性谈判响应文件的组成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7.竞争性谈判响应文件的编制</w:t>
      </w:r>
    </w:p>
    <w:p>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7.1谈判供应商将编制完成的谈判响应文件采用A4规格纸张进行打印并装订，对未经装订的谈判响应文件可能发生的文件散落或缺损，由此产生的后果其责任由谈判供应商承担；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7.2谈判响应文件须加盖谈判供应商单位公章，并由法定代表人或经其正式授权的代表签字。如为授权代表签字，其《法定代表人授权书》应附在谈判响应文件中。否则视为无效谈判响应文件。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9.1本项目不收取谈判保证金。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10.谈判的有效期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10.1谈判有效期为谈判之日起90个日历天。谈判供应商谈判有效期不足的将被视为无效谈判。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10.2特殊情况下，在原谈判有效期截止之前，采购人可要求谈判供应商延长谈判有效期。这种要求与答复均应以书面形式提交。谈判供应商可拒绝采购人的这种要求，其谈判保证金将不会被没收，但其谈判在原谈判有效期期满后将不再有效。同意延长谈判有效期的谈判供应商将会被要求相应地延长其谈判保证金的有效期。在这种情况下，本须知第9（条）有关谈判保证金的退还和没收的规定将在延长了的有效期内继续有效。</w:t>
      </w:r>
      <w:bookmarkStart w:id="28" w:name="_Toc427933719"/>
    </w:p>
    <w:p>
      <w:pPr>
        <w:pStyle w:val="5"/>
        <w:ind w:firstLine="482"/>
      </w:pPr>
      <w:bookmarkStart w:id="29" w:name="_Toc404"/>
      <w:r>
        <w:rPr>
          <w:rFonts w:hint="eastAsia"/>
        </w:rPr>
        <w:t>三、谈判报价要求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11.1谈判供应商所提供的技术服务以人民币报价。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11.2谈判总报价应包括供应商为完成本项目所发生的一切费用。价格中应包含所有应缴纳的税费及其他附带服务的费用。供应商估算错误或漏项的风险一律由供应商承担。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11.3对于本文件中未列明，而谈判供应商认为必需的费用也需列入总报价。在合同实施时，采购人将不予支付成交供应商没有列入的项目费用，并认为此项目的费用已包括在总报价中。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11.4谈判供应商要详细填写“报价表”中的内容，由法人代表或授权代表签字确认，并加盖单位公章。</w:t>
      </w:r>
    </w:p>
    <w:p>
      <w:pPr>
        <w:pStyle w:val="2"/>
      </w:pPr>
    </w:p>
    <w:p>
      <w:pPr>
        <w:pStyle w:val="5"/>
        <w:ind w:firstLine="482"/>
      </w:pPr>
      <w:bookmarkStart w:id="31" w:name="_Toc3093"/>
      <w:r>
        <w:rPr>
          <w:rFonts w:hint="eastAsia"/>
        </w:rPr>
        <w:t>四、竞争性谈判响应文件的份数、封装和递交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12.谈判响应文件的份数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12.1谈判供应商应编制竞争性谈判响应文件正本一份。若未按规定的方式编制和份数提交谈判响应文件的，后果自行承担。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13.谈判响应文件的密封、标记和装订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13.1谈判响应文件的密封和标记。纸质谈判响应文件须密封，并注明采购项目名称、包号、谈判供应商名称，封口处加盖谈判供应商印章。如果未按要求密封和标记，采购人对误投或提前启封概不负责。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14.谈判响应文件的递交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14.1谈判供应商应在规定的谈判时间前递交纸质谈判响应文件。逾期送达的，或者未送达指定地点，以及未按指定方式送达的谈判响应文件，后果自行承担。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15.迟交的竞争性谈判响应文件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15.1采购人将拒绝并原封退回在其规定的递交竞争性谈判响应文件截止时间之后收到的任何竞争性谈判响应文件。</w:t>
      </w:r>
    </w:p>
    <w:p>
      <w:pPr>
        <w:pStyle w:val="5"/>
        <w:ind w:firstLine="482"/>
      </w:pPr>
      <w:bookmarkStart w:id="32" w:name="_Toc427933721"/>
      <w:bookmarkStart w:id="33" w:name="_Toc30805"/>
      <w:r>
        <w:rPr>
          <w:rFonts w:hint="eastAsia"/>
        </w:rPr>
        <w:t>五、谈判的步骤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成立谈判小组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16.1谈判小组由采购人组建，总数为3人或以上的单数组成。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谈判响应文件的审核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17.1谈判小组对谈判供应商递交的竞争性谈判响应文件进行资格和符合性检查，以确定其谈判供应商是否具备参加竞争性谈判采购的资格。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17.2谈判小组具体审查谈判供应商是否具备有效履行合同义务的能力和条件，全部要求的谈判供应商才可能通过资格审查：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17.3竞争性谈判响应文件凡具有下列情形之一者，均视为没有响应谈判文件要求的无效文件：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（1）未按照谈判文件规定要求编制、密封、装订、签署、盖章的；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（3）不符合法律、法规和谈判文件中规定的其他实质性要求的。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17.4竞争性谈判响应文件被确认为无效文件后，该谈判供应商即失去参加本次竞争性谈判采购的资格。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谈判小组按已确定的谈判顺序，与单一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谈判过程中，若需修正谈判文件或优化采购方案，采购人将通知所有谈判供应商，并给所有谈判供应商提供较充分的修正时间。谈判供应商根据谈判文件修改，对原响应文件进行修正。修正文件与响应文件同具法律效力。文件修正后，按照规定的时间继续进行谈判。</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18.3</w:t>
      </w:r>
      <w:r>
        <w:rPr>
          <w:rFonts w:hint="eastAsia" w:ascii="宋体" w:hAnsi="宋体" w:cs="宋体"/>
          <w:kern w:val="0"/>
          <w:sz w:val="24"/>
        </w:rPr>
        <w:t>谈判小组发现供应商报价低于成本价的，有可能影响</w:t>
      </w:r>
      <w:r>
        <w:rPr>
          <w:rFonts w:hint="eastAsia" w:ascii="宋体" w:hAnsi="宋体" w:cs="宋体"/>
          <w:kern w:val="0"/>
          <w:sz w:val="24"/>
          <w:lang w:eastAsia="zh-CN"/>
        </w:rPr>
        <w:t>服务</w:t>
      </w:r>
      <w:r>
        <w:rPr>
          <w:rFonts w:hint="eastAsia" w:ascii="宋体" w:hAnsi="宋体" w:cs="宋体"/>
          <w:kern w:val="0"/>
          <w:sz w:val="24"/>
        </w:rPr>
        <w:t>质量或者不能诚信履约的，谈判小组应对满足评审条件的报价进行分析，并根据分析情况和评审需要可向供应商提出质询。谈判小组的询问应以书面形式进行，并书面告知供应商进行澄清、说明或补正的主要内容及相关要求以及答复时限。供应商对询问的答复、澄清、解释均采用书面形式，由供应商的法定代表人或其授权的代理人签字有效，且应详细说明不低于企业成本的实际情况和相关理由。供应商不能证明其报价合理性的，谈判小组应当将其作为无效报价处理。</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谈判小组对报价及供应商的答复进行分析论证，并按照下列原则判断供应商报价是否低于工程成本。</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（1）供应商对谈判小组提出的质询能提供以下其中一项报告和证明材料，充分说明大幅低于采购预算为合理的，并经过谈判小组确认，可视为有效；</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1）提供近三年完成的类似</w:t>
      </w:r>
      <w:r>
        <w:rPr>
          <w:rFonts w:hint="eastAsia" w:ascii="宋体" w:hAnsi="宋体" w:cs="宋体"/>
          <w:kern w:val="0"/>
          <w:sz w:val="24"/>
          <w:lang w:eastAsia="zh-CN"/>
        </w:rPr>
        <w:t>服务</w:t>
      </w:r>
      <w:r>
        <w:rPr>
          <w:rFonts w:hint="eastAsia" w:ascii="宋体" w:hAnsi="宋体" w:cs="宋体"/>
          <w:kern w:val="0"/>
          <w:sz w:val="24"/>
        </w:rPr>
        <w:t>（结构特征</w:t>
      </w:r>
      <w:r>
        <w:rPr>
          <w:rFonts w:hint="eastAsia" w:ascii="宋体" w:hAnsi="宋体" w:cs="宋体"/>
          <w:kern w:val="0"/>
          <w:sz w:val="24"/>
          <w:lang w:eastAsia="zh-CN"/>
        </w:rPr>
        <w:t>或</w:t>
      </w:r>
      <w:r>
        <w:rPr>
          <w:rFonts w:hint="eastAsia" w:ascii="宋体" w:hAnsi="宋体" w:cs="宋体"/>
          <w:kern w:val="0"/>
          <w:sz w:val="24"/>
        </w:rPr>
        <w:t>规模相似）的报价，以及工程造价咨询机构出具的竣工结算报告，表明供应商已按谈判报价及合同约定圆满完成了工程施工，并未发生供应商原因而增加的费用；</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2）提供企业由于使用经市级以上行业管理部门确认的新技术、新工艺或先进管理办法，从而降低工程成本的相关材料；</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3）提供</w:t>
      </w:r>
      <w:r>
        <w:rPr>
          <w:rFonts w:hint="eastAsia" w:ascii="宋体" w:hAnsi="宋体" w:cs="宋体"/>
          <w:kern w:val="0"/>
          <w:sz w:val="24"/>
          <w:lang w:eastAsia="zh-CN"/>
        </w:rPr>
        <w:t>服务</w:t>
      </w:r>
      <w:r>
        <w:rPr>
          <w:rFonts w:hint="eastAsia" w:ascii="宋体" w:hAnsi="宋体" w:cs="宋体"/>
          <w:kern w:val="0"/>
          <w:sz w:val="24"/>
        </w:rPr>
        <w:t>采购合同、发票等可信的证据，以证明其</w:t>
      </w:r>
      <w:r>
        <w:rPr>
          <w:rFonts w:hint="eastAsia" w:ascii="宋体" w:hAnsi="宋体" w:cs="宋体"/>
          <w:kern w:val="0"/>
          <w:sz w:val="24"/>
          <w:lang w:eastAsia="zh-CN"/>
        </w:rPr>
        <w:t>服务</w:t>
      </w:r>
      <w:r>
        <w:rPr>
          <w:rFonts w:hint="eastAsia" w:ascii="宋体" w:hAnsi="宋体" w:cs="宋体"/>
          <w:kern w:val="0"/>
          <w:sz w:val="24"/>
        </w:rPr>
        <w:t>低于规定的；</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4）提供其他有关降低企业工程成本的分析报告和证据材料；</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供应商对谈判小组提出的质询不能说明理由，仅用简单承诺实施、自愿不计成本、不提供证明资料等不能充分说明报价不低于成本的，谈判小组应认定其理由不能成立，并认定该供应商的报价低于工程成本；</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（3）谈判小组经过对报价（包括其低价说明）的分析论证，认为其谈判报价不可行的，应认定该谈判报价低于工程成本；</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（4）供应商拒绝或未按要求完成谈判小组提出的质询，谈判小组应认定其报价低于工程成本。</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（5）谈判小组认定的供应商最终谈判报价低于工程成本，可以认为是恶意低价参与谈判，视为无效报价，作为废标处理。</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）谈判小组否决不合格供应商后，因有效标不足三个使得谈判明显缺乏竞争的，谈判小组可以否决全部谈判。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w:t>
      </w:r>
      <w:r>
        <w:rPr>
          <w:rFonts w:hint="eastAsia" w:ascii="宋体" w:hAnsi="宋体" w:cs="宋体"/>
          <w:kern w:val="0"/>
          <w:sz w:val="24"/>
          <w:lang w:val="en-US" w:eastAsia="zh-CN"/>
        </w:rPr>
        <w:t>5</w:t>
      </w:r>
      <w:r>
        <w:rPr>
          <w:rFonts w:hint="eastAsia" w:ascii="宋体" w:hAnsi="宋体" w:cs="宋体"/>
          <w:kern w:val="0"/>
          <w:sz w:val="24"/>
        </w:rPr>
        <w:t>谈判小组按谈判情况和最后报价情况综合评价比较，推荐成交候选供应商名单，形成谈判报告。</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18.</w:t>
      </w:r>
      <w:r>
        <w:rPr>
          <w:rFonts w:hint="eastAsia" w:ascii="宋体" w:hAnsi="宋体" w:cs="宋体"/>
          <w:kern w:val="0"/>
          <w:sz w:val="24"/>
          <w:lang w:val="en-US" w:eastAsia="zh-CN"/>
        </w:rPr>
        <w:t>6</w:t>
      </w:r>
      <w:r>
        <w:rPr>
          <w:rFonts w:hint="eastAsia" w:ascii="宋体" w:hAnsi="宋体" w:cs="宋体"/>
          <w:kern w:val="0"/>
          <w:sz w:val="24"/>
        </w:rPr>
        <w:t>谈判供应商的报价均超过了采购预算，采购人不能支付的，谈判活动终止。</w:t>
      </w:r>
    </w:p>
    <w:p>
      <w:pPr>
        <w:pStyle w:val="13"/>
        <w:rPr>
          <w:rFonts w:hint="eastAsia"/>
        </w:rPr>
      </w:pPr>
    </w:p>
    <w:p>
      <w:pPr>
        <w:pStyle w:val="5"/>
        <w:ind w:firstLine="482"/>
      </w:pPr>
      <w:bookmarkStart w:id="34" w:name="_Toc427933722"/>
      <w:bookmarkStart w:id="35" w:name="_Toc14968"/>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19.1谈判小组根据符合采购需求、质量和服务均能满足竞争性谈判文件实质性响应要求且报价最低的原则推荐成交候选供应商。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19.2最低报价不是成交的唯一标准。但是，在符合采购需求、质量和服务均能满足竞争性谈判文件实质性响应要求的情况下，报价是确定成交的关键因素。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19.3谈判小组向采购人推荐3名成交候选供应商。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19.4采购人收到谈判小组推荐的成交候选供应商名单后3个工作日内，根据符合采购需求、质量和服务均能满足竞争性谈判文件实质性响应要求且报价最低的原则确定成交供应商，并出具书面确认函。</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autoSpaceDE w:val="0"/>
        <w:autoSpaceDN w:val="0"/>
        <w:adjustRightInd w:val="0"/>
        <w:spacing w:line="360" w:lineRule="auto"/>
        <w:ind w:firstLine="480" w:firstLineChars="200"/>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19.6成交公示期为1个工作日。</w:t>
      </w:r>
    </w:p>
    <w:p>
      <w:pPr>
        <w:pStyle w:val="5"/>
        <w:ind w:firstLine="482"/>
      </w:pPr>
      <w:bookmarkStart w:id="36" w:name="_Toc427933723"/>
      <w:bookmarkStart w:id="37" w:name="_Toc8411"/>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5"/>
        <w:ind w:firstLine="482"/>
      </w:pPr>
      <w:bookmarkStart w:id="38" w:name="_Toc427933724"/>
      <w:bookmarkStart w:id="39" w:name="_Toc25343"/>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4"/>
      </w:pPr>
      <w:bookmarkStart w:id="40" w:name="_Toc30562"/>
      <w:bookmarkStart w:id="41" w:name="_Toc10071"/>
      <w:bookmarkStart w:id="42" w:name="_Toc29991"/>
      <w:bookmarkStart w:id="43" w:name="_Toc17128"/>
      <w:bookmarkStart w:id="44" w:name="_Toc8410"/>
      <w:bookmarkStart w:id="45" w:name="_Toc18629"/>
      <w:bookmarkStart w:id="46" w:name="_Toc427933725"/>
      <w:bookmarkStart w:id="47" w:name="_Toc12908"/>
      <w:bookmarkStart w:id="48" w:name="_Toc7425"/>
      <w:bookmarkStart w:id="49" w:name="_Toc3208"/>
      <w:bookmarkStart w:id="50" w:name="_Toc16083"/>
      <w:bookmarkStart w:id="51" w:name="_Toc30954"/>
      <w:bookmarkStart w:id="52" w:name="_Toc27990"/>
      <w:r>
        <w:br w:type="page"/>
      </w:r>
      <w:bookmarkStart w:id="53" w:name="_Toc2457"/>
      <w:r>
        <w:rPr>
          <w:rFonts w:hint="eastAsia"/>
        </w:rPr>
        <w:t>第三章</w:t>
      </w:r>
      <w:r>
        <w:rPr>
          <w:rFonts w:hint="eastAsia"/>
          <w:lang w:val="en-US" w:eastAsia="zh-CN"/>
        </w:rPr>
        <w:t xml:space="preserve"> </w:t>
      </w:r>
      <w:r>
        <w:rPr>
          <w:rFonts w:hint="eastAsia"/>
        </w:rPr>
        <w:t>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2"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hint="eastAsia" w:ascii="宋体" w:hAnsi="宋体"/>
          <w:sz w:val="24"/>
          <w:lang w:val="en-US" w:eastAsia="zh-CN"/>
        </w:rPr>
      </w:pPr>
      <w:r>
        <w:rPr>
          <w:rFonts w:hint="eastAsia" w:ascii="宋体" w:hAnsi="宋体"/>
          <w:sz w:val="24"/>
        </w:rPr>
        <w:t>1、采购内容：</w:t>
      </w:r>
      <w:r>
        <w:rPr>
          <w:rFonts w:hint="eastAsia" w:ascii="宋体" w:hAnsi="宋体"/>
          <w:sz w:val="24"/>
          <w:lang w:val="en-US" w:eastAsia="zh-CN"/>
        </w:rPr>
        <w:t>检测服务采购</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（一）项目情况及要求：见竞争性谈判邀请函</w:t>
      </w:r>
    </w:p>
    <w:p>
      <w:pPr>
        <w:numPr>
          <w:ilvl w:val="0"/>
          <w:numId w:val="2"/>
        </w:numPr>
        <w:spacing w:line="360" w:lineRule="auto"/>
        <w:ind w:left="-60" w:leftChars="0" w:firstLine="480" w:firstLineChars="0"/>
        <w:rPr>
          <w:rFonts w:hint="eastAsia" w:ascii="宋体" w:hAnsi="宋体"/>
          <w:sz w:val="24"/>
        </w:rPr>
      </w:pPr>
      <w:r>
        <w:rPr>
          <w:rFonts w:hint="eastAsia" w:ascii="宋体" w:hAnsi="宋体"/>
          <w:sz w:val="24"/>
        </w:rPr>
        <w:t>招标范围：</w:t>
      </w:r>
      <w:r>
        <w:rPr>
          <w:rFonts w:hint="eastAsia" w:ascii="宋体" w:hAnsi="宋体"/>
          <w:sz w:val="24"/>
          <w:lang w:val="en-US" w:eastAsia="zh-CN"/>
        </w:rPr>
        <w:t>对本项目公路工程（含路基、路面、交通安全设施工程、主动网等）进行抽检、检测（其中隐蔽工程或在交工验收时难以检测的项目在建设过程中进行检测），对工程外观进行检查并做好外观检查记录，并按照交通部“公路工程竣工档案目录”要求进行内业资料审查（包括对施工单位及监理单位的内业资料进行规范性、完整性审查，对抽检项目进行详细检查），并出具工程项目交（竣）工检测报告。</w:t>
      </w:r>
    </w:p>
    <w:p>
      <w:pPr>
        <w:numPr>
          <w:ilvl w:val="0"/>
          <w:numId w:val="2"/>
        </w:numPr>
        <w:spacing w:line="360" w:lineRule="auto"/>
        <w:ind w:left="-60" w:leftChars="0" w:firstLine="480" w:firstLineChars="0"/>
        <w:rPr>
          <w:rFonts w:ascii="宋体" w:hAnsi="宋体"/>
          <w:sz w:val="24"/>
        </w:rPr>
      </w:pPr>
      <w:r>
        <w:rPr>
          <w:rFonts w:hint="eastAsia" w:ascii="宋体" w:hAnsi="宋体"/>
          <w:sz w:val="24"/>
        </w:rPr>
        <w:t>本项目采购预算价：</w:t>
      </w:r>
      <w:r>
        <w:rPr>
          <w:rFonts w:hint="eastAsia" w:ascii="宋体" w:hAnsi="宋体"/>
          <w:sz w:val="24"/>
          <w:lang w:val="en-US" w:eastAsia="zh-CN"/>
        </w:rPr>
        <w:t>共计</w:t>
      </w:r>
      <w:r>
        <w:rPr>
          <w:rFonts w:hint="eastAsia" w:ascii="宋体" w:hAnsi="宋体"/>
          <w:sz w:val="24"/>
        </w:rPr>
        <w:t>人民币</w:t>
      </w:r>
      <w:r>
        <w:rPr>
          <w:rFonts w:hint="eastAsia" w:ascii="宋体" w:hAnsi="宋体"/>
          <w:sz w:val="24"/>
          <w:lang w:val="en-US" w:eastAsia="zh-CN"/>
        </w:rPr>
        <w:t>50000.00元</w:t>
      </w:r>
      <w:r>
        <w:rPr>
          <w:rFonts w:hint="eastAsia" w:ascii="宋体" w:hAnsi="宋体"/>
          <w:sz w:val="24"/>
        </w:rPr>
        <w:t>(大写：</w:t>
      </w:r>
      <w:r>
        <w:rPr>
          <w:rFonts w:hint="eastAsia" w:ascii="宋体" w:hAnsi="宋体"/>
          <w:sz w:val="24"/>
          <w:lang w:val="en-US" w:eastAsia="zh-CN"/>
        </w:rPr>
        <w:t>伍万元</w:t>
      </w:r>
      <w:r>
        <w:rPr>
          <w:rFonts w:hint="eastAsia" w:ascii="宋体" w:hAnsi="宋体"/>
          <w:sz w:val="24"/>
        </w:rPr>
        <w:t>整)供应商报价</w:t>
      </w:r>
      <w:r>
        <w:rPr>
          <w:rFonts w:hint="eastAsia" w:ascii="宋体" w:hAnsi="宋体"/>
          <w:sz w:val="24"/>
          <w:lang w:val="en-US" w:eastAsia="zh-CN"/>
        </w:rPr>
        <w:t>总价</w:t>
      </w:r>
      <w:r>
        <w:rPr>
          <w:rFonts w:hint="eastAsia" w:ascii="宋体" w:hAnsi="宋体"/>
          <w:sz w:val="24"/>
        </w:rPr>
        <w:t>不得超过该预算价。</w:t>
      </w:r>
    </w:p>
    <w:p>
      <w:pPr>
        <w:numPr>
          <w:ilvl w:val="0"/>
          <w:numId w:val="0"/>
        </w:numPr>
        <w:spacing w:line="360" w:lineRule="auto"/>
        <w:ind w:firstLine="480" w:firstLineChars="200"/>
        <w:rPr>
          <w:rFonts w:hint="eastAsia" w:ascii="宋体" w:hAnsi="宋体"/>
          <w:sz w:val="24"/>
        </w:rPr>
      </w:pPr>
      <w:r>
        <w:rPr>
          <w:rFonts w:hint="eastAsia" w:ascii="宋体" w:hAnsi="宋体"/>
          <w:sz w:val="24"/>
          <w:lang w:val="en-US" w:eastAsia="zh-CN"/>
        </w:rPr>
        <w:t>标段一：宜昌三峡大老岭自然保护区基础设施建设及维修工程检测服务采购，预算服务费：共计40000元</w:t>
      </w:r>
      <w:r>
        <w:rPr>
          <w:rFonts w:hint="eastAsia" w:ascii="宋体" w:hAnsi="宋体"/>
          <w:sz w:val="24"/>
        </w:rPr>
        <w:t>(大写：</w:t>
      </w:r>
      <w:r>
        <w:rPr>
          <w:rFonts w:hint="eastAsia" w:ascii="宋体" w:hAnsi="宋体"/>
          <w:sz w:val="24"/>
          <w:lang w:val="en-US" w:eastAsia="zh-CN"/>
        </w:rPr>
        <w:t>肆万元</w:t>
      </w:r>
      <w:r>
        <w:rPr>
          <w:rFonts w:hint="eastAsia" w:ascii="宋体" w:hAnsi="宋体"/>
          <w:sz w:val="24"/>
        </w:rPr>
        <w:t>整)供应商</w:t>
      </w:r>
      <w:r>
        <w:rPr>
          <w:rFonts w:hint="eastAsia" w:ascii="宋体" w:hAnsi="宋体"/>
          <w:sz w:val="24"/>
          <w:lang w:val="en-US" w:eastAsia="zh-CN"/>
        </w:rPr>
        <w:t>分项</w:t>
      </w:r>
      <w:r>
        <w:rPr>
          <w:rFonts w:hint="eastAsia" w:ascii="宋体" w:hAnsi="宋体"/>
          <w:sz w:val="24"/>
        </w:rPr>
        <w:t>报价不得超过该预算价。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eastAsia="zh-CN"/>
        </w:rPr>
        <w:t>标段二：</w:t>
      </w:r>
      <w:r>
        <w:rPr>
          <w:rFonts w:hint="eastAsia" w:ascii="宋体" w:hAnsi="宋体"/>
          <w:sz w:val="24"/>
        </w:rPr>
        <w:t>宜昌三峡</w:t>
      </w:r>
      <w:r>
        <w:rPr>
          <w:rFonts w:hint="eastAsia" w:ascii="宋体" w:hAnsi="宋体"/>
          <w:sz w:val="24"/>
          <w:lang w:val="en-US" w:eastAsia="zh-CN"/>
        </w:rPr>
        <w:t>大老岭保护区移民安置区美丽家园建设项目公路检测服务采购</w:t>
      </w:r>
      <w:r>
        <w:rPr>
          <w:rFonts w:hint="eastAsia" w:ascii="宋体" w:hAnsi="宋体"/>
          <w:sz w:val="24"/>
          <w:lang w:eastAsia="zh-CN"/>
        </w:rPr>
        <w:t>，</w:t>
      </w:r>
      <w:r>
        <w:rPr>
          <w:rFonts w:hint="eastAsia" w:ascii="宋体" w:hAnsi="宋体"/>
          <w:sz w:val="24"/>
          <w:lang w:val="en-US" w:eastAsia="zh-CN"/>
        </w:rPr>
        <w:t>预算服务费：共计10000.00元</w:t>
      </w:r>
      <w:r>
        <w:rPr>
          <w:rFonts w:hint="eastAsia" w:ascii="宋体" w:hAnsi="宋体"/>
          <w:sz w:val="24"/>
        </w:rPr>
        <w:t>(大写：</w:t>
      </w:r>
      <w:r>
        <w:rPr>
          <w:rFonts w:hint="eastAsia" w:ascii="宋体" w:hAnsi="宋体"/>
          <w:sz w:val="24"/>
          <w:lang w:val="en-US" w:eastAsia="zh-CN"/>
        </w:rPr>
        <w:t>壹万</w:t>
      </w:r>
      <w:r>
        <w:rPr>
          <w:rFonts w:hint="eastAsia" w:ascii="宋体" w:hAnsi="宋体"/>
          <w:sz w:val="24"/>
        </w:rPr>
        <w:t>整)供应商</w:t>
      </w:r>
      <w:r>
        <w:rPr>
          <w:rFonts w:hint="eastAsia" w:ascii="宋体" w:hAnsi="宋体"/>
          <w:sz w:val="24"/>
          <w:lang w:val="en-US" w:eastAsia="zh-CN"/>
        </w:rPr>
        <w:t>分项</w:t>
      </w:r>
      <w:r>
        <w:rPr>
          <w:rFonts w:hint="eastAsia" w:ascii="宋体" w:hAnsi="宋体"/>
          <w:sz w:val="24"/>
        </w:rPr>
        <w:t>报价不得超过该预算价。</w:t>
      </w:r>
    </w:p>
    <w:bookmarkEnd w:id="22"/>
    <w:bookmarkEnd w:id="23"/>
    <w:p>
      <w:pPr>
        <w:numPr>
          <w:ilvl w:val="0"/>
          <w:numId w:val="2"/>
        </w:numPr>
        <w:spacing w:line="360" w:lineRule="auto"/>
        <w:ind w:left="-60" w:leftChars="0" w:firstLine="480" w:firstLineChars="0"/>
        <w:rPr>
          <w:rFonts w:hint="eastAsia" w:ascii="宋体" w:hAnsi="宋体"/>
          <w:sz w:val="24"/>
          <w:lang w:val="en-US" w:eastAsia="zh-CN"/>
        </w:rPr>
      </w:pPr>
      <w:bookmarkStart w:id="54" w:name="_Toc427933726"/>
      <w:bookmarkStart w:id="55" w:name="_Toc109115551"/>
      <w:r>
        <w:rPr>
          <w:rFonts w:hint="eastAsia" w:ascii="宋体" w:hAnsi="宋体"/>
          <w:sz w:val="24"/>
        </w:rPr>
        <w:t>服务期：</w:t>
      </w:r>
      <w:r>
        <w:rPr>
          <w:rFonts w:hint="eastAsia" w:ascii="宋体" w:hAnsi="宋体"/>
          <w:sz w:val="24"/>
          <w:lang w:val="en-US" w:eastAsia="zh-CN"/>
        </w:rPr>
        <w:t>同施工合同工期。</w:t>
      </w:r>
    </w:p>
    <w:p>
      <w:pPr>
        <w:numPr>
          <w:ilvl w:val="0"/>
          <w:numId w:val="3"/>
        </w:numPr>
        <w:spacing w:line="360" w:lineRule="auto"/>
        <w:ind w:firstLine="482" w:firstLineChars="200"/>
        <w:rPr>
          <w:rFonts w:hint="eastAsia" w:ascii="宋体" w:hAnsi="宋体"/>
          <w:b/>
          <w:bCs/>
          <w:sz w:val="24"/>
        </w:rPr>
      </w:pPr>
      <w:r>
        <w:rPr>
          <w:rFonts w:hint="eastAsia" w:ascii="宋体" w:hAnsi="宋体"/>
          <w:b/>
          <w:bCs/>
          <w:sz w:val="24"/>
        </w:rPr>
        <w:t>验收标准：</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符合《公路工程竣（交）工验收办法》（交通部2004年第3号令）、《公路工程竣（交）工验收办法实施细则》（交公路发[2010]65号）、《湖北省公路工程质量鉴定实施细则（试行）》（鄂交质监[2005]68号）等有关试验检测规范。</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若颁布新的国家标准和技术规范，以新颁布的国家标准和技术规范为准。</w:t>
      </w:r>
    </w:p>
    <w:p>
      <w:pPr>
        <w:spacing w:line="360" w:lineRule="auto"/>
        <w:ind w:firstLine="482" w:firstLineChars="200"/>
        <w:rPr>
          <w:rFonts w:ascii="宋体" w:hAnsi="宋体"/>
          <w:b/>
          <w:bCs/>
          <w:sz w:val="24"/>
        </w:rPr>
      </w:pPr>
      <w:r>
        <w:rPr>
          <w:rFonts w:hint="eastAsia" w:ascii="宋体" w:hAnsi="宋体"/>
          <w:b/>
          <w:bCs/>
          <w:sz w:val="24"/>
        </w:rPr>
        <w:t>三、付款方式</w:t>
      </w:r>
    </w:p>
    <w:p>
      <w:pPr>
        <w:adjustRightInd w:val="0"/>
        <w:snapToGrid w:val="0"/>
        <w:spacing w:line="360" w:lineRule="auto"/>
        <w:ind w:firstLine="480" w:firstLineChars="200"/>
        <w:rPr>
          <w:rFonts w:ascii="宋体" w:hAnsi="宋体"/>
          <w:sz w:val="24"/>
        </w:rPr>
      </w:pPr>
      <w:r>
        <w:rPr>
          <w:rFonts w:hint="eastAsia" w:ascii="宋体" w:hAnsi="宋体"/>
          <w:sz w:val="24"/>
        </w:rPr>
        <w:t>合同签订生效后，供应商及时组织服务，</w:t>
      </w:r>
      <w:r>
        <w:rPr>
          <w:rFonts w:hint="eastAsia" w:ascii="宋体" w:hAnsi="宋体"/>
          <w:sz w:val="24"/>
          <w:lang w:eastAsia="zh-CN"/>
        </w:rPr>
        <w:t>需通过行业主管部门验收，</w:t>
      </w:r>
      <w:r>
        <w:rPr>
          <w:rFonts w:hint="eastAsia" w:ascii="宋体" w:hAnsi="宋体"/>
          <w:sz w:val="24"/>
        </w:rPr>
        <w:t>经验收合格后，供应商提交完整资料后采购人在30个工作日内</w:t>
      </w:r>
      <w:r>
        <w:rPr>
          <w:rFonts w:hint="eastAsia" w:ascii="宋体" w:hAnsi="宋体"/>
          <w:sz w:val="24"/>
          <w:lang w:eastAsia="zh-CN"/>
        </w:rPr>
        <w:t>一次性</w:t>
      </w:r>
      <w:r>
        <w:rPr>
          <w:rFonts w:hint="eastAsia" w:ascii="宋体" w:hAnsi="宋体"/>
          <w:sz w:val="24"/>
        </w:rPr>
        <w:t>付清</w:t>
      </w:r>
      <w:r>
        <w:rPr>
          <w:rFonts w:hint="eastAsia" w:ascii="宋体" w:hAnsi="宋体"/>
          <w:sz w:val="24"/>
          <w:lang w:eastAsia="zh-CN"/>
        </w:rPr>
        <w:t>全部</w:t>
      </w:r>
      <w:r>
        <w:rPr>
          <w:rFonts w:hint="eastAsia" w:ascii="宋体" w:hAnsi="宋体"/>
          <w:sz w:val="24"/>
        </w:rPr>
        <w:t>货款。</w:t>
      </w:r>
    </w:p>
    <w:p>
      <w:pPr>
        <w:pStyle w:val="4"/>
        <w:rPr>
          <w:rFonts w:ascii="宋体" w:hAnsi="宋体"/>
          <w:sz w:val="24"/>
          <w:highlight w:val="red"/>
        </w:rPr>
      </w:pPr>
      <w:r>
        <w:rPr>
          <w:rFonts w:ascii="宋体" w:hAnsi="宋体"/>
          <w:color w:val="C00000"/>
          <w:sz w:val="24"/>
        </w:rPr>
        <w:br w:type="page"/>
      </w:r>
    </w:p>
    <w:bookmarkEnd w:id="54"/>
    <w:p>
      <w:pPr>
        <w:pStyle w:val="24"/>
        <w:spacing w:beforeLines="0" w:afterLines="0"/>
        <w:jc w:val="center"/>
        <w:rPr>
          <w:rFonts w:hint="default"/>
          <w:sz w:val="44"/>
          <w:szCs w:val="24"/>
        </w:rPr>
      </w:pPr>
      <w:bookmarkStart w:id="56" w:name="_Toc115"/>
      <w:bookmarkStart w:id="57" w:name="_Toc10221"/>
      <w:r>
        <w:rPr>
          <w:rStyle w:val="17"/>
          <w:rFonts w:hint="eastAsia"/>
          <w:b/>
          <w:bCs/>
        </w:rPr>
        <w:t>第四章</w:t>
      </w:r>
      <w:r>
        <w:rPr>
          <w:rStyle w:val="17"/>
          <w:rFonts w:hint="eastAsia"/>
          <w:b/>
          <w:bCs/>
          <w:lang w:val="en-US" w:eastAsia="zh-CN"/>
        </w:rPr>
        <w:t xml:space="preserve"> </w:t>
      </w:r>
      <w:r>
        <w:rPr>
          <w:rStyle w:val="17"/>
          <w:rFonts w:hint="eastAsia"/>
          <w:b/>
          <w:bCs/>
        </w:rPr>
        <w:t>合同格式及合同条款（参考格式）</w:t>
      </w:r>
      <w:bookmarkEnd w:id="56"/>
      <w:bookmarkEnd w:id="57"/>
    </w:p>
    <w:p>
      <w:pPr>
        <w:pStyle w:val="18"/>
        <w:spacing w:beforeLines="0" w:afterLines="0" w:line="440" w:lineRule="exact"/>
        <w:ind w:firstLine="560"/>
        <w:jc w:val="left"/>
        <w:rPr>
          <w:rFonts w:hint="default" w:ascii="宋体" w:hAnsi="宋体"/>
          <w:color w:val="000000"/>
          <w:sz w:val="28"/>
          <w:szCs w:val="24"/>
        </w:rPr>
      </w:pPr>
      <w:r>
        <w:rPr>
          <w:rFonts w:hint="default" w:ascii="宋体" w:hAnsi="宋体"/>
          <w:color w:val="000000"/>
          <w:sz w:val="28"/>
          <w:szCs w:val="24"/>
        </w:rPr>
        <w:t>（根据《</w:t>
      </w:r>
      <w:r>
        <w:rPr>
          <w:rFonts w:hint="eastAsia" w:ascii="宋体" w:hAnsi="宋体"/>
          <w:color w:val="000000"/>
          <w:sz w:val="28"/>
          <w:szCs w:val="24"/>
          <w:lang w:eastAsia="zh-CN"/>
        </w:rPr>
        <w:t>中华人民共和国</w:t>
      </w:r>
      <w:r>
        <w:rPr>
          <w:rFonts w:hint="default" w:ascii="宋体" w:hAnsi="宋体"/>
          <w:color w:val="000000"/>
          <w:sz w:val="28"/>
          <w:szCs w:val="24"/>
        </w:rPr>
        <w:t>政府采购法》和《</w:t>
      </w:r>
      <w:r>
        <w:rPr>
          <w:rFonts w:hint="eastAsia" w:ascii="宋体" w:hAnsi="宋体"/>
          <w:color w:val="000000"/>
          <w:sz w:val="28"/>
          <w:szCs w:val="24"/>
          <w:lang w:eastAsia="zh-CN"/>
        </w:rPr>
        <w:t>中华人民共和国</w:t>
      </w:r>
      <w:r>
        <w:rPr>
          <w:rFonts w:hint="default" w:ascii="宋体" w:hAnsi="宋体"/>
          <w:color w:val="000000"/>
          <w:sz w:val="28"/>
          <w:szCs w:val="24"/>
        </w:rPr>
        <w:t>民法典》。采购人和供应商之间的权利和义务，应当按照平等的原则以合同方式约定。此合同书仅作为签订正式合同时的参考，正式合同书应包括本参考格式之内容。）</w:t>
      </w:r>
    </w:p>
    <w:p>
      <w:pPr>
        <w:pStyle w:val="18"/>
        <w:spacing w:beforeLines="0" w:afterLines="0" w:line="440" w:lineRule="exact"/>
        <w:ind w:firstLine="560"/>
        <w:jc w:val="left"/>
        <w:rPr>
          <w:rFonts w:hint="default" w:ascii="宋体" w:hAnsi="宋体"/>
          <w:color w:val="000000"/>
          <w:sz w:val="28"/>
          <w:szCs w:val="24"/>
        </w:rPr>
      </w:pPr>
    </w:p>
    <w:p>
      <w:pPr>
        <w:keepNext w:val="0"/>
        <w:keepLines w:val="0"/>
        <w:widowControl/>
        <w:suppressLineNumbers w:val="0"/>
        <w:jc w:val="center"/>
        <w:rPr>
          <w:rFonts w:hint="eastAsia" w:ascii="宋体" w:hAnsi="宋体" w:eastAsia="宋体" w:cs="Times New Roman"/>
          <w:b/>
          <w:kern w:val="2"/>
          <w:sz w:val="30"/>
          <w:szCs w:val="30"/>
          <w:highlight w:val="none"/>
          <w:lang w:val="en-US" w:eastAsia="zh-CN" w:bidi="ar-SA"/>
        </w:rPr>
      </w:pPr>
      <w:r>
        <w:rPr>
          <w:rFonts w:hint="eastAsia" w:ascii="宋体" w:hAnsi="宋体" w:eastAsia="宋体" w:cs="Times New Roman"/>
          <w:b/>
          <w:kern w:val="2"/>
          <w:sz w:val="30"/>
          <w:szCs w:val="30"/>
          <w:highlight w:val="none"/>
          <w:lang w:val="en-US" w:eastAsia="zh-CN" w:bidi="ar-SA"/>
        </w:rPr>
        <w:t>合同书</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项目名称：</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合同编号：</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签订日期：</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签订合同地点：</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本合同由（采购人）（以下简称“甲方”）与（中标人）（以下简称“乙方”）签订。乙方以总金额万元人民币（用大写数字书写）向甲方提供如下服务：</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经双方协商，同意按下列条文执行：</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1.本合同甲、乙双方应遵守国家颁布的《中华人民共和国</w:t>
      </w:r>
      <w:r>
        <w:rPr>
          <w:rFonts w:hint="eastAsia" w:ascii="宋体" w:hAnsi="宋体" w:eastAsia="Times New Roman" w:cs="Times New Roman"/>
          <w:bCs/>
          <w:color w:val="000000"/>
          <w:kern w:val="2"/>
          <w:sz w:val="28"/>
          <w:szCs w:val="28"/>
          <w:highlight w:val="none"/>
          <w:lang w:val="en-US" w:eastAsia="zh-CN" w:bidi="ar-SA"/>
        </w:rPr>
        <w:t>民法典</w:t>
      </w:r>
      <w:r>
        <w:rPr>
          <w:rFonts w:hint="eastAsia" w:ascii="宋体" w:hAnsi="宋体" w:eastAsia="宋体" w:cs="Times New Roman"/>
          <w:bCs/>
          <w:color w:val="000000"/>
          <w:kern w:val="2"/>
          <w:sz w:val="28"/>
          <w:szCs w:val="28"/>
          <w:highlight w:val="none"/>
          <w:lang w:val="en-US" w:eastAsia="zh-CN" w:bidi="ar-SA"/>
        </w:rPr>
        <w:t>》、《中华人民共和国政府采购法》，并各自履行应负的全部责任和义务。</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2.甲方保证按合同条款规定的时间和方式付给乙方到期应付的合同款，并承担应负的责任和义务。</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3.乙方保证按合同条款规定的内容和工期（服务期限）向甲方提供合格的服务，并承担应负的责任和义务。</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4.合同文件。下列文件为本合同不可分割的部分：</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4.1采购文件（项目编号）；</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4.2中标的</w:t>
      </w:r>
      <w:r>
        <w:rPr>
          <w:rFonts w:hint="eastAsia" w:ascii="宋体" w:hAnsi="宋体" w:eastAsia="Times New Roman" w:cs="Times New Roman"/>
          <w:bCs/>
          <w:color w:val="000000"/>
          <w:kern w:val="2"/>
          <w:sz w:val="28"/>
          <w:szCs w:val="28"/>
          <w:highlight w:val="none"/>
          <w:lang w:val="en-US" w:eastAsia="zh-CN" w:bidi="ar-SA"/>
        </w:rPr>
        <w:t>响应文件</w:t>
      </w:r>
      <w:r>
        <w:rPr>
          <w:rFonts w:hint="eastAsia" w:ascii="宋体" w:hAnsi="宋体" w:eastAsia="宋体" w:cs="Times New Roman"/>
          <w:bCs/>
          <w:color w:val="000000"/>
          <w:kern w:val="2"/>
          <w:sz w:val="28"/>
          <w:szCs w:val="28"/>
          <w:highlight w:val="none"/>
          <w:lang w:val="en-US" w:eastAsia="zh-CN" w:bidi="ar-SA"/>
        </w:rPr>
        <w:t>；</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4.3合同书；</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4.4合同条款；</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4.5采购代理机构发出的中标通知书；</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4.6附件；</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4.6.1甲方在招标期间发布的所有补充通知；</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4.6.2乙方在投标期内补充的所有书面文件；</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4.6.3乙方在投标时随同</w:t>
      </w:r>
      <w:r>
        <w:rPr>
          <w:rFonts w:hint="eastAsia" w:ascii="宋体" w:hAnsi="宋体" w:eastAsia="Times New Roman" w:cs="Times New Roman"/>
          <w:bCs/>
          <w:color w:val="000000"/>
          <w:kern w:val="2"/>
          <w:sz w:val="28"/>
          <w:szCs w:val="28"/>
          <w:highlight w:val="none"/>
          <w:lang w:val="en-US" w:eastAsia="zh-CN" w:bidi="ar-SA"/>
        </w:rPr>
        <w:t>响应文件</w:t>
      </w:r>
      <w:r>
        <w:rPr>
          <w:rFonts w:hint="eastAsia" w:ascii="宋体" w:hAnsi="宋体" w:eastAsia="宋体" w:cs="Times New Roman"/>
          <w:bCs/>
          <w:color w:val="000000"/>
          <w:kern w:val="2"/>
          <w:sz w:val="28"/>
          <w:szCs w:val="28"/>
          <w:highlight w:val="none"/>
          <w:lang w:val="en-US" w:eastAsia="zh-CN" w:bidi="ar-SA"/>
        </w:rPr>
        <w:t>一起递送的资料及附图；</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4.6.4在商洽本合同时，双方澄清、确认并共同签字的补充文件、技术协议。</w:t>
      </w:r>
    </w:p>
    <w:p>
      <w:pPr>
        <w:keepNext w:val="0"/>
        <w:keepLines w:val="0"/>
        <w:widowControl/>
        <w:numPr>
          <w:ilvl w:val="0"/>
          <w:numId w:val="0"/>
        </w:numPr>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5.合同范围和条件。</w:t>
      </w:r>
    </w:p>
    <w:p>
      <w:pPr>
        <w:keepNext w:val="0"/>
        <w:keepLines w:val="0"/>
        <w:widowControl/>
        <w:numPr>
          <w:ilvl w:val="0"/>
          <w:numId w:val="0"/>
        </w:numPr>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本合同的范围和条件应与上述规定的合同文件内容相一致。</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6.服务及数量。</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本合同所提供的服务及数量详见采购文件的要求及乙方</w:t>
      </w:r>
      <w:r>
        <w:rPr>
          <w:rFonts w:hint="eastAsia" w:ascii="宋体" w:hAnsi="宋体" w:eastAsia="Times New Roman" w:cs="Times New Roman"/>
          <w:bCs/>
          <w:color w:val="000000"/>
          <w:kern w:val="2"/>
          <w:sz w:val="28"/>
          <w:szCs w:val="28"/>
          <w:highlight w:val="none"/>
          <w:lang w:val="en-US" w:eastAsia="zh-CN" w:bidi="ar-SA"/>
        </w:rPr>
        <w:t>响应文件</w:t>
      </w:r>
      <w:r>
        <w:rPr>
          <w:rFonts w:hint="eastAsia" w:ascii="宋体" w:hAnsi="宋体" w:eastAsia="宋体" w:cs="Times New Roman"/>
          <w:bCs/>
          <w:color w:val="000000"/>
          <w:kern w:val="2"/>
          <w:sz w:val="28"/>
          <w:szCs w:val="28"/>
          <w:highlight w:val="none"/>
          <w:lang w:val="en-US" w:eastAsia="zh-CN" w:bidi="ar-SA"/>
        </w:rPr>
        <w:t>中的承诺。</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7.付款条件。</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本合同的付款条件按采购文件规定执行。</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8.合同金额。</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合同总金额见合同书，分项价格在乙方的投标报价表中有明确规定。</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9.工期和服务地点。</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本合同中服务的工期、服务地点在采购文件中有明确规定。</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10.合同生效。本合同经甲、乙双方授权代表签字和加盖公章（或合同专用章）后生效。如招标申请公证的，合同需经公证机构公证后生效。</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11.合同的份数。本合同正本一式六份，甲方执三份，乙方执三份。</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12.合同的失效。本合同在合同价款全部结清后失效。</w:t>
      </w:r>
    </w:p>
    <w:p>
      <w:pPr>
        <w:pStyle w:val="18"/>
        <w:spacing w:line="440" w:lineRule="exact"/>
        <w:ind w:firstLine="560"/>
        <w:jc w:val="left"/>
        <w:rPr>
          <w:rFonts w:hint="eastAsia" w:ascii="宋体" w:hAnsi="宋体" w:eastAsia="宋体" w:cs="Times New Roman"/>
          <w:bCs/>
          <w:color w:val="000000"/>
          <w:kern w:val="2"/>
          <w:sz w:val="28"/>
          <w:szCs w:val="28"/>
          <w:highlight w:val="none"/>
          <w:lang w:val="en-US" w:eastAsia="zh-CN" w:bidi="ar-SA"/>
        </w:rPr>
      </w:pP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采购人：（盖章）                   供应商：（盖章）</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地址：                             地址：</w:t>
      </w:r>
    </w:p>
    <w:p>
      <w:pPr>
        <w:keepNext w:val="0"/>
        <w:keepLines w:val="0"/>
        <w:widowControl/>
        <w:suppressLineNumbers w:val="0"/>
        <w:ind w:firstLine="560" w:firstLineChars="200"/>
        <w:jc w:val="left"/>
        <w:rPr>
          <w:rFonts w:hint="default"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法定（授权）代表人：               法定（授权）代表人：</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联系人：                            联系人：</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联系电话：                          联系电话：</w:t>
      </w:r>
    </w:p>
    <w:p>
      <w:pPr>
        <w:keepNext w:val="0"/>
        <w:keepLines w:val="0"/>
        <w:widowControl/>
        <w:suppressLineNumbers w:val="0"/>
        <w:ind w:firstLine="1120" w:firstLineChars="400"/>
        <w:jc w:val="left"/>
        <w:rPr>
          <w:rFonts w:hint="eastAsia" w:ascii="宋体" w:hAnsi="宋体" w:eastAsia="宋体" w:cs="Times New Roman"/>
          <w:bCs/>
          <w:color w:val="000000"/>
          <w:kern w:val="2"/>
          <w:sz w:val="28"/>
          <w:szCs w:val="28"/>
          <w:highlight w:val="none"/>
          <w:lang w:val="en-US" w:eastAsia="zh-CN" w:bidi="ar-SA"/>
        </w:rPr>
      </w:pPr>
      <w:r>
        <w:rPr>
          <w:rFonts w:hint="eastAsia" w:ascii="宋体" w:hAnsi="宋体" w:eastAsia="宋体" w:cs="Times New Roman"/>
          <w:bCs/>
          <w:color w:val="000000"/>
          <w:kern w:val="2"/>
          <w:sz w:val="28"/>
          <w:szCs w:val="28"/>
          <w:highlight w:val="none"/>
          <w:lang w:val="en-US" w:eastAsia="zh-CN" w:bidi="ar-SA"/>
        </w:rPr>
        <w:t>年  月  日                          年  月  日</w:t>
      </w: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p>
    <w:p>
      <w:pPr>
        <w:keepNext w:val="0"/>
        <w:keepLines w:val="0"/>
        <w:widowControl/>
        <w:suppressLineNumbers w:val="0"/>
        <w:ind w:firstLine="560" w:firstLineChars="200"/>
        <w:jc w:val="left"/>
        <w:rPr>
          <w:rFonts w:hint="eastAsia" w:ascii="宋体" w:hAnsi="宋体" w:eastAsia="宋体" w:cs="Times New Roman"/>
          <w:bCs/>
          <w:color w:val="000000"/>
          <w:kern w:val="2"/>
          <w:sz w:val="28"/>
          <w:szCs w:val="28"/>
          <w:highlight w:val="none"/>
          <w:lang w:val="en-US" w:eastAsia="zh-CN" w:bidi="ar-SA"/>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jc w:val="center"/>
        <w:rPr>
          <w:rStyle w:val="17"/>
        </w:rPr>
      </w:pPr>
      <w:bookmarkStart w:id="58" w:name="_Toc19193"/>
      <w:r>
        <w:rPr>
          <w:rStyle w:val="17"/>
          <w:rFonts w:hint="eastAsia"/>
        </w:rPr>
        <w:t>第五章</w:t>
      </w:r>
      <w:r>
        <w:rPr>
          <w:rStyle w:val="17"/>
          <w:rFonts w:hint="eastAsia"/>
          <w:lang w:val="en-US"/>
        </w:rPr>
        <w:t xml:space="preserve"> </w:t>
      </w:r>
      <w:r>
        <w:rPr>
          <w:rStyle w:val="17"/>
          <w:rFonts w:hint="eastAsia"/>
        </w:rPr>
        <w:t>竞争性谈判文件</w:t>
      </w:r>
      <w:r>
        <w:rPr>
          <w:rStyle w:val="17"/>
          <w:rFonts w:hint="eastAsia" w:eastAsia="宋体"/>
          <w:lang w:eastAsia="zh-CN"/>
        </w:rPr>
        <w:t>参考</w:t>
      </w:r>
      <w:r>
        <w:rPr>
          <w:rStyle w:val="17"/>
          <w:rFonts w:hint="eastAsia"/>
        </w:rPr>
        <w:t>格式</w:t>
      </w:r>
    </w:p>
    <w:bookmarkEnd w:id="58"/>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竞争性谈判响应文件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w:t>
      </w:r>
      <w:r>
        <w:rPr>
          <w:rFonts w:hint="eastAsia" w:ascii="宋体" w:hAnsi="宋体" w:cs="宋体"/>
          <w:kern w:val="0"/>
          <w:sz w:val="30"/>
          <w:szCs w:val="30"/>
          <w:lang w:val="en-US" w:eastAsia="zh-CN"/>
        </w:rPr>
        <w:t xml:space="preserve"> </w:t>
      </w:r>
      <w:r>
        <w:rPr>
          <w:rFonts w:hint="eastAsia" w:ascii="宋体" w:hAnsi="宋体" w:cs="宋体"/>
          <w:kern w:val="0"/>
          <w:sz w:val="30"/>
          <w:szCs w:val="30"/>
        </w:rPr>
        <w:t>年</w:t>
      </w:r>
      <w:r>
        <w:rPr>
          <w:rFonts w:hint="eastAsia" w:ascii="宋体" w:hAnsi="宋体" w:cs="宋体"/>
          <w:kern w:val="0"/>
          <w:sz w:val="30"/>
          <w:szCs w:val="30"/>
          <w:lang w:val="en-US" w:eastAsia="zh-CN"/>
        </w:rPr>
        <w:t xml:space="preserve"> </w:t>
      </w:r>
      <w:r>
        <w:rPr>
          <w:rFonts w:hint="eastAsia" w:ascii="宋体" w:hAnsi="宋体" w:cs="宋体"/>
          <w:kern w:val="0"/>
          <w:sz w:val="30"/>
          <w:szCs w:val="30"/>
        </w:rPr>
        <w:t>月</w:t>
      </w:r>
      <w:r>
        <w:rPr>
          <w:rFonts w:hint="eastAsia" w:ascii="宋体" w:hAnsi="宋体" w:cs="宋体"/>
          <w:kern w:val="0"/>
          <w:sz w:val="30"/>
          <w:szCs w:val="30"/>
          <w:lang w:val="en-US" w:eastAsia="zh-CN"/>
        </w:rPr>
        <w:t xml:space="preserve"> </w:t>
      </w:r>
      <w:r>
        <w:rPr>
          <w:rFonts w:hint="eastAsia" w:ascii="宋体" w:hAnsi="宋体" w:cs="宋体"/>
          <w:kern w:val="0"/>
          <w:sz w:val="30"/>
          <w:szCs w:val="30"/>
        </w:rPr>
        <w:t>日</w:t>
      </w:r>
    </w:p>
    <w:p>
      <w:pPr>
        <w:pStyle w:val="5"/>
        <w:ind w:firstLine="482"/>
        <w:rPr>
          <w:rFonts w:ascii="宋体" w:cs="宋体"/>
          <w:kern w:val="0"/>
          <w:szCs w:val="28"/>
        </w:rPr>
      </w:pPr>
      <w:r>
        <w:rPr>
          <w:rFonts w:hint="eastAsia"/>
        </w:rPr>
        <w:br w:type="page"/>
      </w:r>
      <w:bookmarkStart w:id="59" w:name="_Toc427933727"/>
      <w:bookmarkStart w:id="60" w:name="_Toc427056739"/>
      <w:bookmarkStart w:id="61" w:name="_Toc26474"/>
      <w:bookmarkStart w:id="62" w:name="_Toc2666"/>
      <w:r>
        <w:rPr>
          <w:rFonts w:hint="eastAsia"/>
        </w:rPr>
        <w:t>一、</w:t>
      </w:r>
      <w:bookmarkEnd w:id="59"/>
      <w:bookmarkEnd w:id="60"/>
      <w:r>
        <w:rPr>
          <w:rFonts w:hint="eastAsia"/>
        </w:rPr>
        <w:t>文件组成</w:t>
      </w:r>
      <w:bookmarkEnd w:id="61"/>
      <w:bookmarkEnd w:id="62"/>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1）谈判响应函；（附件一）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hint="default" w:eastAsia="黑体"/>
          <w:lang w:val="en-US" w:eastAsia="zh-CN"/>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6）谈判供应商资格证明文件：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7）谈判供应商营业执照（统一社会信用证照复印件）（加盖公章）。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8）谈判供应商认为需要提供的有关资料。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5"/>
        <w:ind w:firstLine="482"/>
        <w:rPr>
          <w:rFonts w:ascii="宋体" w:cs="宋体"/>
          <w:szCs w:val="28"/>
        </w:rPr>
      </w:pPr>
      <w:r>
        <w:rPr>
          <w:rFonts w:hint="eastAsia"/>
          <w:kern w:val="0"/>
          <w:szCs w:val="28"/>
        </w:rPr>
        <w:br w:type="page"/>
      </w:r>
      <w:bookmarkStart w:id="63" w:name="_Toc23064"/>
      <w:bookmarkStart w:id="64" w:name="_Toc10825"/>
      <w:r>
        <w:rPr>
          <w:rFonts w:hint="eastAsia" w:ascii="宋体" w:cs="宋体"/>
          <w:szCs w:val="28"/>
        </w:rPr>
        <w:t>附件一</w:t>
      </w:r>
      <w:bookmarkEnd w:id="63"/>
      <w:bookmarkEnd w:id="64"/>
      <w:r>
        <w:rPr>
          <w:rFonts w:hint="eastAsia" w:ascii="宋体" w:cs="宋体"/>
          <w:szCs w:val="28"/>
        </w:rPr>
        <w:t xml:space="preserve">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谈判响应函</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依据贵方</w:t>
      </w:r>
      <w:r>
        <w:rPr>
          <w:rFonts w:hint="eastAsia" w:ascii="宋体" w:hAnsi="宋体" w:cs="宋体"/>
          <w:kern w:val="0"/>
          <w:sz w:val="24"/>
          <w:szCs w:val="28"/>
          <w:u w:val="single"/>
        </w:rPr>
        <w:t>（项目名称）</w:t>
      </w:r>
      <w:r>
        <w:rPr>
          <w:rFonts w:hint="eastAsia" w:ascii="宋体" w:hAnsi="宋体" w:cs="宋体"/>
          <w:kern w:val="0"/>
          <w:sz w:val="24"/>
          <w:szCs w:val="28"/>
        </w:rPr>
        <w:t>项目竞争性谈判邀请函，我方</w:t>
      </w:r>
      <w:r>
        <w:rPr>
          <w:rFonts w:hint="eastAsia" w:ascii="宋体" w:hAnsi="宋体" w:cs="宋体"/>
          <w:kern w:val="0"/>
          <w:sz w:val="24"/>
          <w:szCs w:val="28"/>
          <w:u w:val="single"/>
        </w:rPr>
        <w:t>（姓名和职务）</w:t>
      </w:r>
      <w:r>
        <w:rPr>
          <w:rFonts w:hint="eastAsia" w:ascii="宋体" w:hAnsi="宋体" w:cs="宋体"/>
          <w:kern w:val="0"/>
          <w:sz w:val="24"/>
          <w:szCs w:val="28"/>
        </w:rPr>
        <w:t>经正式授权并代表谈判供应商</w:t>
      </w:r>
      <w:r>
        <w:rPr>
          <w:rFonts w:hint="eastAsia" w:ascii="宋体" w:hAnsi="宋体" w:cs="宋体"/>
          <w:kern w:val="0"/>
          <w:sz w:val="24"/>
          <w:szCs w:val="28"/>
          <w:u w:val="single"/>
        </w:rPr>
        <w:t>（谈判供应商名称、地址）</w:t>
      </w:r>
      <w:r>
        <w:rPr>
          <w:rFonts w:hint="eastAsia" w:ascii="宋体" w:hAnsi="宋体" w:cs="宋体"/>
          <w:kern w:val="0"/>
          <w:sz w:val="24"/>
          <w:szCs w:val="28"/>
        </w:rPr>
        <w:t>提交竞争性谈判响应文件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报价表；</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技术服务方案；</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按竞争性谈判文件谈判须知和技术规格要求提供的有关文件；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 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在此，授权代表宣布同意如下：</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 将按竞争性谈判文件的约定履行合同责任和义务；</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 已详细审查全部竞争性谈判文件，包括</w:t>
      </w:r>
      <w:r>
        <w:rPr>
          <w:rFonts w:hint="eastAsia" w:ascii="宋体" w:hAnsi="宋体" w:cs="宋体"/>
          <w:kern w:val="0"/>
          <w:sz w:val="24"/>
          <w:szCs w:val="28"/>
          <w:u w:val="single"/>
        </w:rPr>
        <w:t>（补遗书）（如果有的话）</w:t>
      </w:r>
      <w:r>
        <w:rPr>
          <w:rFonts w:hint="eastAsia" w:ascii="宋体" w:hAnsi="宋体" w:cs="宋体"/>
          <w:kern w:val="0"/>
          <w:sz w:val="24"/>
          <w:szCs w:val="28"/>
        </w:rPr>
        <w:t>；我们完全理解并同意放弃对这方面有不明及误解的权力；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 同意提供按照贵方可能要求的与其谈判有关的一切数据或资料；</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4．本谈判有效期为自谈判日起共个</w:t>
      </w:r>
      <w:r>
        <w:rPr>
          <w:rFonts w:hint="eastAsia" w:ascii="宋体" w:hAnsi="宋体" w:cs="宋体"/>
          <w:kern w:val="0"/>
          <w:sz w:val="24"/>
          <w:szCs w:val="28"/>
          <w:u w:val="single"/>
          <w:lang w:val="en-US" w:eastAsia="zh-CN"/>
        </w:rPr>
        <w:t>90</w:t>
      </w:r>
      <w:r>
        <w:rPr>
          <w:rFonts w:hint="eastAsia" w:ascii="宋体" w:hAnsi="宋体" w:cs="宋体"/>
          <w:kern w:val="0"/>
          <w:sz w:val="24"/>
          <w:szCs w:val="28"/>
        </w:rPr>
        <w:t>日历</w:t>
      </w:r>
      <w:r>
        <w:rPr>
          <w:rFonts w:hint="eastAsia" w:ascii="宋体" w:hAnsi="宋体" w:cs="宋体"/>
          <w:kern w:val="0"/>
          <w:sz w:val="24"/>
          <w:szCs w:val="28"/>
          <w:lang w:eastAsia="zh-CN"/>
        </w:rPr>
        <w:t>天</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 xml:space="preserve">5．接受谈判文件所列须知中第9.7（条）关于没收谈判保证金的约定。 </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6. 与本谈判有关的一切正式往来信函请寄：</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电话/传真：电子函件：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日期：年月日</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谈判供应商（盖章）：</w:t>
      </w: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kern w:val="0"/>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spacing w:line="520" w:lineRule="exact"/>
        <w:ind w:firstLine="480" w:firstLineChars="200"/>
        <w:rPr>
          <w:rFonts w:hint="eastAsia" w:asciiTheme="minorEastAsia" w:hAnsiTheme="minorEastAsia" w:cstheme="minorEastAsia"/>
          <w:kern w:val="0"/>
          <w:szCs w:val="21"/>
          <w:lang w:val="en-US" w:eastAsia="zh-CN"/>
        </w:rPr>
      </w:pPr>
      <w:r>
        <w:rPr>
          <w:rFonts w:hint="eastAsia" w:ascii="宋体" w:hAnsi="宋体" w:cs="宋体"/>
          <w:kern w:val="0"/>
          <w:sz w:val="24"/>
          <w:szCs w:val="28"/>
        </w:rPr>
        <w:t>采购项目名称：</w:t>
      </w:r>
      <w:r>
        <w:rPr>
          <w:rFonts w:hint="eastAsia" w:asciiTheme="minorEastAsia" w:hAnsiTheme="minorEastAsia" w:cstheme="minorEastAsia"/>
          <w:kern w:val="0"/>
          <w:szCs w:val="21"/>
          <w:lang w:val="en-US" w:eastAsia="zh-CN"/>
        </w:rPr>
        <w:t>宜昌三峡大老岭自然保护区基础设施建设及维修工程等项目检测服务采购</w:t>
      </w:r>
    </w:p>
    <w:p>
      <w:pPr>
        <w:autoSpaceDE w:val="0"/>
        <w:autoSpaceDN w:val="0"/>
        <w:adjustRightInd w:val="0"/>
        <w:spacing w:line="360" w:lineRule="auto"/>
        <w:jc w:val="left"/>
        <w:rPr>
          <w:rFonts w:ascii="宋体" w:hAnsi="宋体" w:cs="宋体"/>
          <w:kern w:val="0"/>
          <w:sz w:val="24"/>
          <w:szCs w:val="28"/>
          <w:u w:val="single"/>
        </w:rPr>
      </w:pPr>
    </w:p>
    <w:tbl>
      <w:tblPr>
        <w:tblStyle w:val="1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标段一</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宜昌三峡大老岭自然保护区基础设施建设及维修工程检测服务采购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标段二</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rPr>
              <w:t>宜昌三峡</w:t>
            </w:r>
            <w:r>
              <w:rPr>
                <w:rFonts w:hint="eastAsia" w:ascii="宋体" w:hAnsi="宋体"/>
                <w:sz w:val="24"/>
                <w:lang w:val="en-US" w:eastAsia="zh-CN"/>
              </w:rPr>
              <w:t>大老岭保护区移民安置区美丽家园建设项目公路检测服务采购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w:t>
      </w:r>
      <w:r>
        <w:rPr>
          <w:rFonts w:hint="eastAsia" w:ascii="宋体" w:hAnsi="宋体" w:cs="宋体"/>
          <w:kern w:val="0"/>
          <w:sz w:val="24"/>
          <w:szCs w:val="28"/>
          <w:lang w:val="en-US" w:eastAsia="zh-CN"/>
        </w:rPr>
        <w:t xml:space="preserve">  </w:t>
      </w:r>
      <w:r>
        <w:rPr>
          <w:rFonts w:hint="eastAsia" w:ascii="宋体" w:hAnsi="宋体" w:cs="宋体"/>
          <w:kern w:val="0"/>
          <w:sz w:val="24"/>
          <w:szCs w:val="28"/>
        </w:rPr>
        <w:t>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w:t>
      </w:r>
      <w:r>
        <w:rPr>
          <w:rFonts w:hint="eastAsia" w:ascii="宋体" w:hAnsi="宋体" w:cs="宋体"/>
          <w:kern w:val="0"/>
          <w:sz w:val="24"/>
          <w:szCs w:val="28"/>
          <w:lang w:val="en-US" w:eastAsia="zh-CN"/>
        </w:rPr>
        <w:t xml:space="preserve">   </w:t>
      </w:r>
      <w:r>
        <w:rPr>
          <w:rFonts w:hint="eastAsia" w:ascii="宋体" w:hAnsi="宋体" w:cs="宋体"/>
          <w:kern w:val="0"/>
          <w:sz w:val="24"/>
          <w:szCs w:val="28"/>
        </w:rPr>
        <w:t>年</w:t>
      </w:r>
      <w:r>
        <w:rPr>
          <w:rFonts w:hint="eastAsia" w:ascii="宋体" w:hAnsi="宋体" w:cs="宋体"/>
          <w:kern w:val="0"/>
          <w:sz w:val="24"/>
          <w:szCs w:val="28"/>
          <w:lang w:val="en-US" w:eastAsia="zh-CN"/>
        </w:rPr>
        <w:t xml:space="preserve">   </w:t>
      </w:r>
      <w:r>
        <w:rPr>
          <w:rFonts w:hint="eastAsia" w:ascii="宋体" w:hAnsi="宋体" w:cs="宋体"/>
          <w:kern w:val="0"/>
          <w:sz w:val="24"/>
          <w:szCs w:val="28"/>
        </w:rPr>
        <w:t>月</w:t>
      </w:r>
      <w:r>
        <w:rPr>
          <w:rFonts w:hint="eastAsia" w:ascii="宋体" w:hAnsi="宋体" w:cs="宋体"/>
          <w:kern w:val="0"/>
          <w:sz w:val="24"/>
          <w:szCs w:val="28"/>
          <w:lang w:val="en-US" w:eastAsia="zh-CN"/>
        </w:rPr>
        <w:t xml:space="preserve">   </w:t>
      </w:r>
      <w:r>
        <w:rPr>
          <w:rFonts w:hint="eastAsia" w:ascii="宋体" w:hAnsi="宋体" w:cs="宋体"/>
          <w:kern w:val="0"/>
          <w:sz w:val="24"/>
          <w:szCs w:val="28"/>
        </w:rPr>
        <w:t>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szCs w:val="28"/>
        </w:rPr>
        <w:br w:type="page"/>
      </w:r>
      <w:r>
        <w:rPr>
          <w:rFonts w:hint="eastAsia" w:ascii="宋体" w:hAnsi="宋体" w:cs="宋体"/>
          <w:b/>
          <w:kern w:val="0"/>
          <w:sz w:val="32"/>
          <w:szCs w:val="32"/>
        </w:rPr>
        <w:t>报价表（第</w:t>
      </w:r>
      <w:r>
        <w:rPr>
          <w:rFonts w:hint="eastAsia" w:ascii="宋体" w:hAnsi="宋体" w:cs="宋体"/>
          <w:b/>
          <w:kern w:val="0"/>
          <w:sz w:val="32"/>
          <w:szCs w:val="32"/>
          <w:lang w:val="en-US" w:eastAsia="zh-CN"/>
        </w:rPr>
        <w:t>二</w:t>
      </w:r>
      <w:r>
        <w:rPr>
          <w:rFonts w:hint="eastAsia" w:ascii="宋体" w:hAnsi="宋体" w:cs="宋体"/>
          <w:b/>
          <w:kern w:val="0"/>
          <w:sz w:val="32"/>
          <w:szCs w:val="32"/>
        </w:rPr>
        <w:t>轮报价）</w:t>
      </w:r>
    </w:p>
    <w:p>
      <w:pPr>
        <w:spacing w:line="520" w:lineRule="exact"/>
        <w:ind w:firstLine="480" w:firstLineChars="200"/>
        <w:rPr>
          <w:rFonts w:hint="eastAsia" w:asciiTheme="minorEastAsia" w:hAnsiTheme="minorEastAsia" w:cstheme="minorEastAsia"/>
          <w:kern w:val="0"/>
          <w:szCs w:val="21"/>
          <w:lang w:val="en-US" w:eastAsia="zh-CN"/>
        </w:rPr>
      </w:pPr>
      <w:r>
        <w:rPr>
          <w:rFonts w:hint="eastAsia" w:ascii="宋体" w:hAnsi="宋体" w:cs="宋体"/>
          <w:kern w:val="0"/>
          <w:sz w:val="24"/>
          <w:szCs w:val="28"/>
        </w:rPr>
        <w:t>采购项目名称：</w:t>
      </w:r>
      <w:r>
        <w:rPr>
          <w:rFonts w:hint="eastAsia" w:asciiTheme="minorEastAsia" w:hAnsiTheme="minorEastAsia" w:cstheme="minorEastAsia"/>
          <w:kern w:val="0"/>
          <w:szCs w:val="21"/>
          <w:lang w:val="en-US" w:eastAsia="zh-CN"/>
        </w:rPr>
        <w:t>宜昌三峡大老岭自然保护区基础设施建设及维修工程等项目检测服务采购</w:t>
      </w:r>
    </w:p>
    <w:p>
      <w:pPr>
        <w:autoSpaceDE w:val="0"/>
        <w:autoSpaceDN w:val="0"/>
        <w:adjustRightInd w:val="0"/>
        <w:spacing w:line="360" w:lineRule="auto"/>
        <w:ind w:left="1680" w:hanging="1680" w:hangingChars="700"/>
        <w:jc w:val="left"/>
        <w:rPr>
          <w:rFonts w:ascii="宋体" w:hAnsi="宋体" w:cs="宋体"/>
          <w:kern w:val="0"/>
          <w:sz w:val="24"/>
          <w:szCs w:val="28"/>
          <w:u w:val="single"/>
        </w:rPr>
      </w:pPr>
    </w:p>
    <w:tbl>
      <w:tblPr>
        <w:tblStyle w:val="1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标段一</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宜昌三峡大老岭自然保护区基础设施建设及维修工程检测服务采购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标段二</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rPr>
              <w:t>宜昌三峡</w:t>
            </w:r>
            <w:r>
              <w:rPr>
                <w:rFonts w:hint="eastAsia" w:ascii="宋体" w:hAnsi="宋体"/>
                <w:sz w:val="24"/>
                <w:lang w:val="en-US" w:eastAsia="zh-CN"/>
              </w:rPr>
              <w:t>大老岭保护区移民安置区美丽家园建设项目公路检测服务采购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hint="eastAsia" w:ascii="宋体" w:hAnsi="宋体" w:cs="宋体"/>
          <w:kern w:val="0"/>
          <w:sz w:val="24"/>
          <w:szCs w:val="28"/>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hint="eastAsia" w:ascii="宋体" w:hAnsi="宋体" w:cs="宋体"/>
          <w:kern w:val="0"/>
          <w:sz w:val="24"/>
          <w:szCs w:val="28"/>
        </w:rPr>
      </w:pPr>
    </w:p>
    <w:p>
      <w:pPr>
        <w:autoSpaceDE w:val="0"/>
        <w:autoSpaceDN w:val="0"/>
        <w:adjustRightInd w:val="0"/>
        <w:spacing w:line="360" w:lineRule="auto"/>
        <w:jc w:val="left"/>
        <w:rPr>
          <w:rFonts w:hint="eastAsia" w:ascii="宋体" w:hAnsi="宋体" w:cs="宋体"/>
          <w:kern w:val="0"/>
          <w:sz w:val="24"/>
          <w:szCs w:val="28"/>
        </w:rPr>
      </w:pPr>
      <w:r>
        <w:rPr>
          <w:rFonts w:hint="eastAsia" w:ascii="宋体" w:hAnsi="宋体" w:cs="宋体"/>
          <w:kern w:val="0"/>
          <w:sz w:val="24"/>
          <w:szCs w:val="28"/>
        </w:rPr>
        <w:t>谈判供应商（盖章）：</w:t>
      </w:r>
    </w:p>
    <w:p>
      <w:pPr>
        <w:autoSpaceDE w:val="0"/>
        <w:autoSpaceDN w:val="0"/>
        <w:adjustRightInd w:val="0"/>
        <w:spacing w:line="360" w:lineRule="auto"/>
        <w:jc w:val="left"/>
        <w:rPr>
          <w:rFonts w:hint="eastAsia" w:ascii="宋体" w:hAnsi="宋体" w:cs="宋体"/>
          <w:kern w:val="0"/>
          <w:sz w:val="24"/>
          <w:szCs w:val="28"/>
        </w:rPr>
      </w:pPr>
    </w:p>
    <w:p>
      <w:pPr>
        <w:autoSpaceDE w:val="0"/>
        <w:autoSpaceDN w:val="0"/>
        <w:adjustRightInd w:val="0"/>
        <w:spacing w:line="360" w:lineRule="auto"/>
        <w:ind w:firstLine="4560" w:firstLineChars="1900"/>
        <w:jc w:val="left"/>
        <w:rPr>
          <w:rFonts w:ascii="宋体" w:hAnsi="宋体" w:cs="宋体"/>
          <w:kern w:val="0"/>
          <w:sz w:val="24"/>
          <w:szCs w:val="28"/>
        </w:rPr>
      </w:pPr>
      <w:r>
        <w:rPr>
          <w:rFonts w:hint="eastAsia" w:ascii="宋体" w:hAnsi="宋体" w:cs="宋体"/>
          <w:kern w:val="0"/>
          <w:sz w:val="24"/>
          <w:szCs w:val="28"/>
        </w:rPr>
        <w:t>日期：</w:t>
      </w:r>
      <w:r>
        <w:rPr>
          <w:rFonts w:hint="eastAsia" w:ascii="宋体" w:hAnsi="宋体" w:cs="宋体"/>
          <w:kern w:val="0"/>
          <w:sz w:val="24"/>
          <w:szCs w:val="28"/>
          <w:lang w:val="en-US" w:eastAsia="zh-CN"/>
        </w:rPr>
        <w:t xml:space="preserve">        </w:t>
      </w:r>
      <w:r>
        <w:rPr>
          <w:rFonts w:hint="eastAsia" w:ascii="宋体" w:hAnsi="宋体" w:cs="宋体"/>
          <w:kern w:val="0"/>
          <w:sz w:val="24"/>
          <w:szCs w:val="28"/>
        </w:rPr>
        <w:t>年</w:t>
      </w:r>
      <w:r>
        <w:rPr>
          <w:rFonts w:hint="eastAsia" w:ascii="宋体" w:hAnsi="宋体" w:cs="宋体"/>
          <w:kern w:val="0"/>
          <w:sz w:val="24"/>
          <w:szCs w:val="28"/>
          <w:lang w:val="en-US" w:eastAsia="zh-CN"/>
        </w:rPr>
        <w:t xml:space="preserve">    </w:t>
      </w:r>
      <w:r>
        <w:rPr>
          <w:rFonts w:hint="eastAsia" w:ascii="宋体" w:hAnsi="宋体" w:cs="宋体"/>
          <w:kern w:val="0"/>
          <w:sz w:val="24"/>
          <w:szCs w:val="28"/>
        </w:rPr>
        <w:t>月</w:t>
      </w:r>
      <w:r>
        <w:rPr>
          <w:rFonts w:hint="eastAsia" w:ascii="宋体" w:hAnsi="宋体" w:cs="宋体"/>
          <w:kern w:val="0"/>
          <w:sz w:val="24"/>
          <w:szCs w:val="28"/>
          <w:lang w:val="en-US" w:eastAsia="zh-CN"/>
        </w:rPr>
        <w:t xml:space="preserve">     </w:t>
      </w:r>
      <w:r>
        <w:rPr>
          <w:rFonts w:hint="eastAsia" w:ascii="宋体" w:hAnsi="宋体" w:cs="宋体"/>
          <w:kern w:val="0"/>
          <w:sz w:val="24"/>
          <w:szCs w:val="28"/>
        </w:rPr>
        <w:t>日</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br w:type="page"/>
      </w:r>
      <w:bookmarkEnd w:id="55"/>
      <w:r>
        <w:rPr>
          <w:rFonts w:hint="eastAsia" w:ascii="宋体" w:hAnsi="宋体" w:cs="宋体"/>
          <w:b/>
          <w:kern w:val="0"/>
          <w:sz w:val="32"/>
          <w:szCs w:val="32"/>
        </w:rPr>
        <w:t>报价表（第</w:t>
      </w:r>
      <w:r>
        <w:rPr>
          <w:rFonts w:hint="eastAsia" w:ascii="宋体" w:hAnsi="宋体" w:cs="宋体"/>
          <w:b/>
          <w:kern w:val="0"/>
          <w:sz w:val="32"/>
          <w:szCs w:val="32"/>
          <w:lang w:eastAsia="zh-CN"/>
        </w:rPr>
        <w:t>三</w:t>
      </w:r>
      <w:r>
        <w:rPr>
          <w:rFonts w:hint="eastAsia" w:ascii="宋体" w:hAnsi="宋体" w:cs="宋体"/>
          <w:b/>
          <w:kern w:val="0"/>
          <w:sz w:val="32"/>
          <w:szCs w:val="32"/>
        </w:rPr>
        <w:t>轮报价）</w:t>
      </w:r>
    </w:p>
    <w:p>
      <w:pPr>
        <w:spacing w:line="520" w:lineRule="exact"/>
        <w:ind w:firstLine="480" w:firstLineChars="200"/>
        <w:rPr>
          <w:rFonts w:hint="eastAsia" w:asciiTheme="minorEastAsia" w:hAnsiTheme="minorEastAsia" w:cstheme="minorEastAsia"/>
          <w:kern w:val="0"/>
          <w:szCs w:val="21"/>
          <w:lang w:val="en-US" w:eastAsia="zh-CN"/>
        </w:rPr>
      </w:pPr>
      <w:r>
        <w:rPr>
          <w:rFonts w:hint="eastAsia" w:ascii="宋体" w:hAnsi="宋体" w:cs="宋体"/>
          <w:kern w:val="0"/>
          <w:sz w:val="24"/>
          <w:szCs w:val="28"/>
        </w:rPr>
        <w:t>采购项目名称：</w:t>
      </w:r>
      <w:r>
        <w:rPr>
          <w:rFonts w:hint="eastAsia" w:asciiTheme="minorEastAsia" w:hAnsiTheme="minorEastAsia" w:cstheme="minorEastAsia"/>
          <w:kern w:val="0"/>
          <w:szCs w:val="21"/>
          <w:lang w:val="en-US" w:eastAsia="zh-CN"/>
        </w:rPr>
        <w:t>宜昌三峡大老岭自然保护区基础设施建设及维修工程等项目检测服务采购</w:t>
      </w:r>
    </w:p>
    <w:p>
      <w:pPr>
        <w:autoSpaceDE w:val="0"/>
        <w:autoSpaceDN w:val="0"/>
        <w:adjustRightInd w:val="0"/>
        <w:spacing w:line="360" w:lineRule="auto"/>
        <w:jc w:val="left"/>
        <w:rPr>
          <w:rFonts w:ascii="宋体" w:hAnsi="宋体" w:cs="宋体"/>
          <w:kern w:val="0"/>
          <w:sz w:val="24"/>
          <w:szCs w:val="28"/>
          <w:u w:val="single"/>
        </w:rPr>
      </w:pPr>
    </w:p>
    <w:tbl>
      <w:tblPr>
        <w:tblStyle w:val="1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项目一</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宜昌三峡大老岭自然保护区基础设施建设及维修工程检测服务采购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eastAsiaTheme="minorEastAsia"/>
                <w:kern w:val="0"/>
                <w:sz w:val="24"/>
                <w:szCs w:val="23"/>
                <w:lang w:val="en-US" w:eastAsia="zh-CN"/>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lang w:val="en-US" w:eastAsia="zh-CN"/>
              </w:rPr>
              <w:t>项目二</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sz w:val="24"/>
              </w:rPr>
              <w:t>宜昌三峡</w:t>
            </w:r>
            <w:r>
              <w:rPr>
                <w:rFonts w:hint="eastAsia" w:ascii="宋体" w:hAnsi="宋体"/>
                <w:sz w:val="24"/>
                <w:lang w:val="en-US" w:eastAsia="zh-CN"/>
              </w:rPr>
              <w:t>大老岭保护区移民安置区美丽家园建设项目公路检测服务采购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lang w:val="en-US" w:eastAsia="zh-CN"/>
              </w:rPr>
              <w:t>报价</w:t>
            </w:r>
            <w:r>
              <w:rPr>
                <w:rFonts w:hint="eastAsia" w:ascii="宋体" w:hAnsi="宋体" w:cs="宋体"/>
                <w:kern w:val="0"/>
                <w:sz w:val="24"/>
                <w:szCs w:val="23"/>
              </w:rPr>
              <w:t>（元）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hint="eastAsia"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hint="eastAsia" w:ascii="宋体" w:hAnsi="宋体" w:cs="宋体"/>
          <w:kern w:val="0"/>
          <w:sz w:val="24"/>
          <w:szCs w:val="28"/>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hint="eastAsia" w:ascii="宋体" w:hAnsi="宋体" w:cs="宋体"/>
          <w:kern w:val="0"/>
          <w:sz w:val="24"/>
          <w:szCs w:val="28"/>
        </w:rPr>
      </w:pPr>
      <w:r>
        <w:rPr>
          <w:rFonts w:hint="eastAsia" w:ascii="宋体" w:hAnsi="宋体" w:cs="宋体"/>
          <w:kern w:val="0"/>
          <w:sz w:val="24"/>
          <w:szCs w:val="28"/>
        </w:rPr>
        <w:t>谈判供应商（盖章）：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w:t>
      </w:r>
      <w:r>
        <w:rPr>
          <w:rFonts w:hint="eastAsia" w:ascii="宋体" w:hAnsi="宋体" w:cs="宋体"/>
          <w:kern w:val="0"/>
          <w:sz w:val="24"/>
          <w:szCs w:val="28"/>
          <w:lang w:val="en-US" w:eastAsia="zh-CN"/>
        </w:rPr>
        <w:t xml:space="preserve">      </w:t>
      </w:r>
      <w:r>
        <w:rPr>
          <w:rFonts w:hint="eastAsia" w:ascii="宋体" w:hAnsi="宋体" w:cs="宋体"/>
          <w:kern w:val="0"/>
          <w:sz w:val="24"/>
          <w:szCs w:val="28"/>
        </w:rPr>
        <w:t>年</w:t>
      </w:r>
      <w:r>
        <w:rPr>
          <w:rFonts w:hint="eastAsia" w:ascii="宋体" w:hAnsi="宋体" w:cs="宋体"/>
          <w:kern w:val="0"/>
          <w:sz w:val="24"/>
          <w:szCs w:val="28"/>
          <w:lang w:val="en-US" w:eastAsia="zh-CN"/>
        </w:rPr>
        <w:t xml:space="preserve">    </w:t>
      </w:r>
      <w:r>
        <w:rPr>
          <w:rFonts w:hint="eastAsia" w:ascii="宋体" w:hAnsi="宋体" w:cs="宋体"/>
          <w:kern w:val="0"/>
          <w:sz w:val="24"/>
          <w:szCs w:val="28"/>
        </w:rPr>
        <w:t>月</w:t>
      </w:r>
      <w:r>
        <w:rPr>
          <w:rFonts w:hint="eastAsia" w:ascii="宋体" w:hAnsi="宋体" w:cs="宋体"/>
          <w:kern w:val="0"/>
          <w:sz w:val="24"/>
          <w:szCs w:val="28"/>
          <w:lang w:val="en-US" w:eastAsia="zh-CN"/>
        </w:rPr>
        <w:t xml:space="preserve">     </w:t>
      </w:r>
      <w:r>
        <w:rPr>
          <w:rFonts w:hint="eastAsia" w:ascii="宋体" w:hAnsi="宋体" w:cs="宋体"/>
          <w:kern w:val="0"/>
          <w:sz w:val="24"/>
          <w:szCs w:val="28"/>
        </w:rPr>
        <w:t>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b/>
          <w:kern w:val="0"/>
          <w:sz w:val="24"/>
          <w:szCs w:val="28"/>
        </w:rPr>
      </w:pPr>
      <w:r>
        <w:rPr>
          <w:rFonts w:hint="eastAsia" w:ascii="宋体" w:hAnsi="宋体" w:cs="宋体"/>
          <w:b/>
          <w:kern w:val="0"/>
          <w:sz w:val="24"/>
          <w:szCs w:val="28"/>
        </w:rPr>
        <w:t>（注：该报价表应装订到竞争性谈判响应文件中，不填数据，只签章。）</w:t>
      </w:r>
    </w:p>
    <w:p>
      <w:pPr>
        <w:spacing w:line="360" w:lineRule="auto"/>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w:t>
      </w:r>
      <w:r>
        <w:rPr>
          <w:rFonts w:hint="eastAsia" w:ascii="宋体" w:hAnsi="宋体" w:cs="宋体"/>
          <w:sz w:val="24"/>
          <w:u w:val="single"/>
          <w:lang w:val="en-US" w:eastAsia="zh-CN"/>
        </w:rPr>
        <w:t>宜昌三峡大老岭自然保护区基础设施建设及维修工程等项目检测服务采购</w:t>
      </w:r>
      <w:r>
        <w:rPr>
          <w:rFonts w:hint="eastAsia" w:ascii="宋体" w:hAnsi="宋体" w:cs="宋体"/>
          <w:sz w:val="24"/>
        </w:rPr>
        <w:t>中供应的服务满足谈判文件中规定要求，严格按照技术服务方案开展相关技术服务活动，并积极做好后期服务。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谈判供应商（盖章）：</w:t>
      </w:r>
    </w:p>
    <w:p>
      <w:pPr>
        <w:pStyle w:val="20"/>
        <w:spacing w:line="360" w:lineRule="auto"/>
        <w:rPr>
          <w:rFonts w:ascii="宋体" w:hAnsi="宋体" w:eastAsia="宋体" w:cs="宋体"/>
          <w:color w:val="auto"/>
          <w:szCs w:val="28"/>
        </w:rPr>
      </w:pPr>
      <w:r>
        <w:rPr>
          <w:rFonts w:hint="eastAsia" w:ascii="宋体" w:hAnsi="宋体" w:eastAsia="宋体" w:cs="宋体"/>
          <w:color w:val="auto"/>
          <w:szCs w:val="28"/>
        </w:rPr>
        <w:t>日期：</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月</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7"/>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7"/>
        <w:adjustRightInd w:val="0"/>
        <w:snapToGrid w:val="0"/>
        <w:spacing w:line="360" w:lineRule="auto"/>
        <w:ind w:firstLine="420"/>
        <w:rPr>
          <w:rFonts w:hAnsi="宋体" w:cs="宋体"/>
          <w:sz w:val="28"/>
          <w:szCs w:val="28"/>
        </w:rPr>
      </w:pPr>
    </w:p>
    <w:p>
      <w:pPr>
        <w:pStyle w:val="7"/>
        <w:adjustRightInd w:val="0"/>
        <w:snapToGrid w:val="0"/>
        <w:spacing w:line="360" w:lineRule="auto"/>
        <w:ind w:firstLine="420"/>
        <w:rPr>
          <w:rFonts w:hAnsi="宋体" w:cs="宋体"/>
          <w:sz w:val="24"/>
          <w:szCs w:val="24"/>
        </w:rPr>
      </w:pPr>
    </w:p>
    <w:p>
      <w:pPr>
        <w:pStyle w:val="7"/>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7"/>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7"/>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7"/>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系的法定代表人,为本采购活动的谈判代表人，签署上述项目的响应文件、进行合同谈判、签署合同和处理与之有关的一切事务。</w:t>
      </w:r>
    </w:p>
    <w:p>
      <w:pPr>
        <w:pStyle w:val="7"/>
        <w:adjustRightInd w:val="0"/>
        <w:snapToGrid w:val="0"/>
        <w:spacing w:line="360" w:lineRule="auto"/>
        <w:rPr>
          <w:rFonts w:hAnsi="宋体" w:cs="宋体"/>
          <w:sz w:val="24"/>
          <w:szCs w:val="24"/>
        </w:rPr>
      </w:pPr>
    </w:p>
    <w:p>
      <w:pPr>
        <w:pStyle w:val="7"/>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7"/>
        <w:adjustRightInd w:val="0"/>
        <w:snapToGrid w:val="0"/>
        <w:spacing w:line="360" w:lineRule="auto"/>
        <w:rPr>
          <w:rFonts w:hAnsi="宋体" w:cs="宋体"/>
          <w:sz w:val="24"/>
          <w:szCs w:val="24"/>
        </w:rPr>
      </w:pPr>
    </w:p>
    <w:p>
      <w:pPr>
        <w:pStyle w:val="7"/>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7"/>
        <w:adjustRightInd w:val="0"/>
        <w:snapToGrid w:val="0"/>
        <w:spacing w:line="360" w:lineRule="auto"/>
        <w:rPr>
          <w:rFonts w:hAnsi="宋体" w:cs="宋体"/>
          <w:sz w:val="24"/>
          <w:szCs w:val="24"/>
        </w:rPr>
      </w:pPr>
    </w:p>
    <w:p>
      <w:pPr>
        <w:pStyle w:val="7"/>
        <w:adjustRightInd w:val="0"/>
        <w:snapToGrid w:val="0"/>
        <w:spacing w:line="360" w:lineRule="auto"/>
        <w:jc w:val="center"/>
        <w:rPr>
          <w:rFonts w:hAnsi="宋体" w:cs="宋体"/>
          <w:sz w:val="24"/>
          <w:szCs w:val="24"/>
        </w:rPr>
      </w:pPr>
      <w:r>
        <w:rPr>
          <w:rFonts w:hint="eastAsia" w:hAnsi="宋体" w:cs="宋体"/>
          <w:sz w:val="24"/>
          <w:szCs w:val="24"/>
        </w:rPr>
        <w:t xml:space="preserve">       日期：</w:t>
      </w:r>
      <w:r>
        <w:rPr>
          <w:rFonts w:hint="eastAsia" w:hAnsi="宋体" w:cs="宋体"/>
          <w:sz w:val="24"/>
          <w:szCs w:val="24"/>
          <w:lang w:val="en-US" w:eastAsia="zh-CN"/>
        </w:rPr>
        <w:t xml:space="preserve">  </w:t>
      </w:r>
      <w:r>
        <w:rPr>
          <w:rFonts w:hint="eastAsia" w:hAnsi="宋体" w:cs="宋体"/>
          <w:sz w:val="24"/>
          <w:szCs w:val="24"/>
        </w:rPr>
        <w:t>年</w:t>
      </w:r>
      <w:r>
        <w:rPr>
          <w:rFonts w:hint="eastAsia" w:hAnsi="宋体" w:cs="宋体"/>
          <w:sz w:val="24"/>
          <w:szCs w:val="24"/>
          <w:lang w:val="en-US" w:eastAsia="zh-CN"/>
        </w:rPr>
        <w:t xml:space="preserve">  </w:t>
      </w:r>
      <w:r>
        <w:rPr>
          <w:rFonts w:hint="eastAsia" w:hAnsi="宋体" w:cs="宋体"/>
          <w:sz w:val="24"/>
          <w:szCs w:val="24"/>
        </w:rPr>
        <w:t>月</w:t>
      </w:r>
      <w:r>
        <w:rPr>
          <w:rFonts w:hint="eastAsia" w:hAnsi="宋体" w:cs="宋体"/>
          <w:sz w:val="24"/>
          <w:szCs w:val="24"/>
          <w:lang w:val="en-US" w:eastAsia="zh-CN"/>
        </w:rPr>
        <w:t xml:space="preserve">  </w:t>
      </w:r>
      <w:r>
        <w:rPr>
          <w:rFonts w:hint="eastAsia" w:hAnsi="宋体" w:cs="宋体"/>
          <w:sz w:val="24"/>
          <w:szCs w:val="24"/>
        </w:rPr>
        <w:t>日</w:t>
      </w:r>
    </w:p>
    <w:p>
      <w:pPr>
        <w:pStyle w:val="20"/>
        <w:spacing w:line="360" w:lineRule="auto"/>
        <w:jc w:val="both"/>
        <w:rPr>
          <w:rFonts w:ascii="宋体" w:hAnsi="宋体" w:eastAsia="宋体" w:cs="宋体"/>
          <w:color w:val="auto"/>
          <w:kern w:val="2"/>
          <w:szCs w:val="28"/>
        </w:rPr>
      </w:pPr>
    </w:p>
    <w:p>
      <w:pPr>
        <w:pStyle w:val="20"/>
        <w:spacing w:line="360" w:lineRule="auto"/>
        <w:rPr>
          <w:rFonts w:ascii="宋体" w:hAnsi="宋体" w:eastAsia="宋体" w:cs="宋体"/>
          <w:color w:val="auto"/>
          <w:szCs w:val="28"/>
        </w:rPr>
      </w:pPr>
    </w:p>
    <w:tbl>
      <w:tblPr>
        <w:tblStyle w:val="14"/>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740" w:type="dxa"/>
          </w:tcPr>
          <w:p>
            <w:pPr>
              <w:pStyle w:val="20"/>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采购活动的谈判代表人，全权代表我公司处理在该项目采购活动中的一切事宜。代理期限从年月日起至年月日止。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w:t>
      </w:r>
      <w:r>
        <w:rPr>
          <w:rFonts w:hint="eastAsia" w:ascii="宋体" w:hAnsi="宋体" w:cs="宋体"/>
          <w:kern w:val="0"/>
          <w:sz w:val="24"/>
          <w:szCs w:val="28"/>
          <w:lang w:val="en-US" w:eastAsia="zh-CN"/>
        </w:rPr>
        <w:t xml:space="preserve">  </w:t>
      </w:r>
      <w:r>
        <w:rPr>
          <w:rFonts w:hint="eastAsia" w:ascii="宋体" w:hAnsi="宋体" w:cs="宋体"/>
          <w:kern w:val="0"/>
          <w:sz w:val="24"/>
          <w:szCs w:val="28"/>
        </w:rPr>
        <w:t>年</w:t>
      </w:r>
      <w:r>
        <w:rPr>
          <w:rFonts w:hint="eastAsia" w:ascii="宋体" w:hAnsi="宋体" w:cs="宋体"/>
          <w:kern w:val="0"/>
          <w:sz w:val="24"/>
          <w:szCs w:val="28"/>
          <w:lang w:val="en-US" w:eastAsia="zh-CN"/>
        </w:rPr>
        <w:t xml:space="preserve">  </w:t>
      </w:r>
      <w:r>
        <w:rPr>
          <w:rFonts w:hint="eastAsia" w:ascii="宋体" w:hAnsi="宋体" w:cs="宋体"/>
          <w:kern w:val="0"/>
          <w:sz w:val="24"/>
          <w:szCs w:val="28"/>
        </w:rPr>
        <w:t>月</w:t>
      </w:r>
      <w:r>
        <w:rPr>
          <w:rFonts w:hint="eastAsia" w:ascii="宋体" w:hAnsi="宋体" w:cs="宋体"/>
          <w:kern w:val="0"/>
          <w:sz w:val="24"/>
          <w:szCs w:val="28"/>
          <w:lang w:val="en-US" w:eastAsia="zh-CN"/>
        </w:rPr>
        <w:t xml:space="preserve">  </w:t>
      </w:r>
      <w:r>
        <w:rPr>
          <w:rFonts w:hint="eastAsia" w:ascii="宋体" w:hAnsi="宋体" w:cs="宋体"/>
          <w:kern w:val="0"/>
          <w:sz w:val="24"/>
          <w:szCs w:val="28"/>
        </w:rPr>
        <w:t>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20"/>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20"/>
        <w:spacing w:line="360" w:lineRule="auto"/>
        <w:rPr>
          <w:rFonts w:ascii="宋体" w:hAnsi="宋体" w:eastAsia="宋体" w:cs="宋体"/>
          <w:color w:val="auto"/>
          <w:szCs w:val="28"/>
        </w:rPr>
      </w:pPr>
    </w:p>
    <w:p>
      <w:pPr>
        <w:pStyle w:val="20"/>
        <w:spacing w:line="360" w:lineRule="auto"/>
        <w:rPr>
          <w:rFonts w:ascii="宋体" w:hAnsi="宋体" w:eastAsia="宋体" w:cs="宋体"/>
          <w:color w:val="auto"/>
          <w:szCs w:val="28"/>
        </w:rPr>
      </w:pPr>
    </w:p>
    <w:tbl>
      <w:tblPr>
        <w:tblStyle w:val="14"/>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740" w:type="dxa"/>
          </w:tcPr>
          <w:p>
            <w:pPr>
              <w:pStyle w:val="20"/>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pStyle w:val="2"/>
      </w:pPr>
    </w:p>
    <w:p>
      <w:pPr>
        <w:pStyle w:val="2"/>
      </w:pPr>
    </w:p>
    <w:p>
      <w:pPr>
        <w:pStyle w:val="2"/>
      </w:pPr>
    </w:p>
    <w:p>
      <w:pPr>
        <w:pStyle w:val="2"/>
      </w:pPr>
    </w:p>
    <w:p>
      <w:pPr>
        <w:pStyle w:val="2"/>
      </w:pPr>
    </w:p>
    <w:p>
      <w:pPr>
        <w:pStyle w:val="2"/>
      </w:pPr>
    </w:p>
    <w:p>
      <w:pPr>
        <w:pStyle w:val="26"/>
        <w:autoSpaceDE w:val="0"/>
        <w:autoSpaceDN w:val="0"/>
        <w:adjustRightInd w:val="0"/>
        <w:spacing w:line="500" w:lineRule="exact"/>
        <w:ind w:firstLine="0" w:firstLineChars="0"/>
        <w:jc w:val="center"/>
        <w:outlineLvl w:val="2"/>
        <w:rPr>
          <w:rFonts w:ascii="宋体" w:hAnsi="宋体" w:eastAsia="宋体" w:cs="Times New Roman"/>
          <w:b/>
          <w:kern w:val="2"/>
          <w:sz w:val="28"/>
          <w:szCs w:val="28"/>
          <w:lang w:val="en-US" w:eastAsia="zh-CN"/>
        </w:rPr>
      </w:pPr>
      <w:bookmarkStart w:id="65" w:name="_Toc11884"/>
      <w:bookmarkStart w:id="66" w:name="_Toc13995"/>
      <w:bookmarkStart w:id="67" w:name="_Toc79569085"/>
      <w:r>
        <w:rPr>
          <w:rFonts w:hint="eastAsia" w:ascii="宋体" w:hAnsi="宋体" w:eastAsia="宋体" w:cs="Times New Roman"/>
          <w:b/>
          <w:kern w:val="2"/>
          <w:sz w:val="28"/>
          <w:szCs w:val="28"/>
          <w:lang w:val="en-US" w:eastAsia="zh-CN"/>
        </w:rPr>
        <w:t>供应商资格声明承诺函</w:t>
      </w:r>
      <w:bookmarkEnd w:id="65"/>
      <w:bookmarkEnd w:id="66"/>
      <w:bookmarkEnd w:id="67"/>
    </w:p>
    <w:p>
      <w:pPr>
        <w:pStyle w:val="26"/>
        <w:spacing w:line="360" w:lineRule="auto"/>
        <w:ind w:firstLine="0" w:firstLineChars="0"/>
        <w:rPr>
          <w:rFonts w:ascii="宋体" w:hAnsi="宋体" w:eastAsia="宋体" w:cs="Times New Roman"/>
          <w:bCs/>
          <w:color w:val="0C0C0C"/>
          <w:kern w:val="2"/>
          <w:sz w:val="24"/>
          <w:szCs w:val="24"/>
          <w:lang w:val="en-US" w:eastAsia="zh-CN"/>
        </w:rPr>
      </w:pPr>
      <w:r>
        <w:rPr>
          <w:rFonts w:hint="eastAsia" w:ascii="宋体" w:hAnsi="宋体" w:eastAsia="宋体" w:cs="Times New Roman"/>
          <w:bCs/>
          <w:color w:val="0C0C0C"/>
          <w:kern w:val="2"/>
          <w:sz w:val="24"/>
          <w:szCs w:val="24"/>
          <w:lang w:val="en-US" w:eastAsia="zh-CN"/>
        </w:rPr>
        <w:t>宜昌三峡大老岭自然保护区管理局：</w:t>
      </w:r>
    </w:p>
    <w:p>
      <w:pPr>
        <w:pStyle w:val="26"/>
        <w:spacing w:line="360" w:lineRule="auto"/>
        <w:ind w:firstLine="480"/>
        <w:rPr>
          <w:rFonts w:ascii="宋体" w:hAnsi="宋体" w:eastAsia="宋体" w:cs="Times New Roman"/>
          <w:bCs/>
          <w:color w:val="0C0C0C"/>
          <w:kern w:val="2"/>
          <w:sz w:val="24"/>
          <w:szCs w:val="24"/>
          <w:lang w:val="en-US" w:eastAsia="zh-CN"/>
        </w:rPr>
      </w:pPr>
      <w:r>
        <w:rPr>
          <w:rFonts w:hint="eastAsia" w:ascii="宋体" w:hAnsi="宋体" w:eastAsia="宋体" w:cs="Times New Roman"/>
          <w:bCs/>
          <w:color w:val="0C0C0C"/>
          <w:kern w:val="2"/>
          <w:sz w:val="24"/>
          <w:szCs w:val="24"/>
          <w:u w:val="single"/>
          <w:lang w:val="en-US" w:eastAsia="zh-CN"/>
        </w:rPr>
        <w:t xml:space="preserve">   (供应商全称)  </w:t>
      </w:r>
      <w:r>
        <w:rPr>
          <w:rFonts w:hint="eastAsia" w:ascii="宋体" w:hAnsi="宋体" w:eastAsia="宋体" w:cs="Times New Roman"/>
          <w:bCs/>
          <w:color w:val="0C0C0C"/>
          <w:kern w:val="2"/>
          <w:sz w:val="24"/>
          <w:szCs w:val="24"/>
          <w:lang w:val="en-US" w:eastAsia="zh-CN"/>
        </w:rPr>
        <w:t>参加</w:t>
      </w:r>
      <w:r>
        <w:rPr>
          <w:rFonts w:hint="eastAsia" w:ascii="宋体" w:hAnsi="宋体" w:eastAsia="宋体" w:cs="Times New Roman"/>
          <w:color w:val="0C0C0C"/>
          <w:kern w:val="2"/>
          <w:sz w:val="24"/>
          <w:szCs w:val="24"/>
          <w:u w:val="single"/>
          <w:lang w:val="en-US" w:eastAsia="zh-CN"/>
        </w:rPr>
        <w:t>（标包名称）</w:t>
      </w:r>
      <w:r>
        <w:rPr>
          <w:rFonts w:hint="eastAsia" w:ascii="宋体" w:hAnsi="宋体" w:eastAsia="宋体" w:cs="Times New Roman"/>
          <w:bCs/>
          <w:color w:val="0C0C0C"/>
          <w:kern w:val="2"/>
          <w:sz w:val="24"/>
          <w:szCs w:val="24"/>
          <w:lang w:val="en-US" w:eastAsia="zh-CN"/>
        </w:rPr>
        <w:t>项目(标包编号：</w:t>
      </w:r>
      <w:r>
        <w:rPr>
          <w:rFonts w:hint="eastAsia" w:ascii="宋体" w:hAnsi="宋体" w:eastAsia="宋体" w:cs="Times New Roman"/>
          <w:bCs/>
          <w:color w:val="0C0C0C"/>
          <w:kern w:val="2"/>
          <w:sz w:val="24"/>
          <w:szCs w:val="24"/>
          <w:u w:val="single"/>
          <w:lang w:val="en-US" w:eastAsia="zh-CN"/>
        </w:rPr>
        <w:t xml:space="preserve">        </w:t>
      </w:r>
      <w:r>
        <w:rPr>
          <w:rFonts w:hint="eastAsia" w:ascii="宋体" w:hAnsi="宋体" w:eastAsia="宋体" w:cs="Times New Roman"/>
          <w:bCs/>
          <w:color w:val="0C0C0C"/>
          <w:kern w:val="2"/>
          <w:sz w:val="24"/>
          <w:szCs w:val="24"/>
          <w:lang w:val="en-US" w:eastAsia="zh-CN"/>
        </w:rPr>
        <w:t>)的政府采购活动，根据采购文件的规定提交相关资格证明文件。并郑重声明承诺如下：</w:t>
      </w:r>
    </w:p>
    <w:p>
      <w:pPr>
        <w:pStyle w:val="26"/>
        <w:tabs>
          <w:tab w:val="left" w:pos="0"/>
        </w:tabs>
        <w:spacing w:line="360" w:lineRule="auto"/>
        <w:ind w:left="482" w:firstLine="0" w:firstLineChars="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1.具有合法健全的财务会计制度及符合国家相关规定的财务状况报告；</w:t>
      </w:r>
    </w:p>
    <w:p>
      <w:pPr>
        <w:pStyle w:val="26"/>
        <w:tabs>
          <w:tab w:val="left" w:pos="0"/>
        </w:tabs>
        <w:spacing w:line="360" w:lineRule="auto"/>
        <w:ind w:left="482" w:firstLine="0" w:firstLineChars="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2.已依法缴纳税收和社会保障资金且有合法有效的证明文件；</w:t>
      </w:r>
    </w:p>
    <w:p>
      <w:pPr>
        <w:pStyle w:val="26"/>
        <w:tabs>
          <w:tab w:val="left" w:pos="0"/>
        </w:tabs>
        <w:spacing w:line="360" w:lineRule="auto"/>
        <w:ind w:firstLine="48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3.具备履行本项目合同所必需的设备和专业技术能力且能在成交后根据采购人要求提供相关证明资料；</w:t>
      </w:r>
    </w:p>
    <w:p>
      <w:pPr>
        <w:pStyle w:val="26"/>
        <w:tabs>
          <w:tab w:val="left" w:pos="0"/>
        </w:tabs>
        <w:spacing w:line="360" w:lineRule="auto"/>
        <w:ind w:firstLine="48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4.参加本项目政府采购活动前三年内，本单位未因违法经营受到刑事处罚或者责令停产停业、吊销许可证或者执照、较大数额罚款（根据各地方、各部门明确的听证范围确定较大数额罚款的额度）等行政处罚；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26"/>
        <w:tabs>
          <w:tab w:val="left" w:pos="0"/>
        </w:tabs>
        <w:spacing w:line="360" w:lineRule="auto"/>
        <w:ind w:firstLine="48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pPr>
        <w:pStyle w:val="26"/>
        <w:tabs>
          <w:tab w:val="left" w:pos="0"/>
        </w:tabs>
        <w:spacing w:line="360" w:lineRule="auto"/>
        <w:ind w:firstLine="48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6.</w:t>
      </w:r>
      <w:r>
        <w:rPr>
          <w:rFonts w:ascii="宋体" w:hAnsi="宋体" w:eastAsia="宋体" w:cs="Times New Roman"/>
          <w:color w:val="0C0C0C"/>
          <w:kern w:val="2"/>
          <w:sz w:val="24"/>
          <w:szCs w:val="24"/>
          <w:lang w:val="en-US" w:eastAsia="zh-CN"/>
        </w:rPr>
        <w:t>本单位未与单位负责人为同一人或者存在直接控股、管理关系的其它投标人，参加本项目同一合同项下的政府采购活动；未为本采购项目提供</w:t>
      </w:r>
      <w:r>
        <w:rPr>
          <w:rFonts w:hint="eastAsia" w:ascii="宋体" w:hAnsi="宋体" w:eastAsia="宋体" w:cs="Times New Roman"/>
          <w:color w:val="0C0C0C"/>
          <w:kern w:val="2"/>
          <w:sz w:val="24"/>
          <w:szCs w:val="24"/>
          <w:lang w:val="en-US" w:eastAsia="zh-CN"/>
        </w:rPr>
        <w:t>施工或者项目管理、监理等服务。</w:t>
      </w:r>
    </w:p>
    <w:p>
      <w:pPr>
        <w:pStyle w:val="26"/>
        <w:tabs>
          <w:tab w:val="left" w:pos="0"/>
        </w:tabs>
        <w:spacing w:line="360" w:lineRule="auto"/>
        <w:ind w:firstLine="480"/>
        <w:rPr>
          <w:rFonts w:ascii="宋体" w:hAnsi="宋体" w:eastAsia="宋体" w:cs="Times New Roman"/>
          <w:color w:val="0C0C0C"/>
          <w:kern w:val="2"/>
          <w:sz w:val="24"/>
          <w:szCs w:val="24"/>
          <w:lang w:val="en-US" w:eastAsia="zh-CN"/>
        </w:rPr>
      </w:pPr>
      <w:r>
        <w:rPr>
          <w:rFonts w:hint="eastAsia" w:ascii="宋体" w:hAnsi="宋体" w:eastAsia="宋体" w:cs="Times New Roman"/>
          <w:color w:val="0C0C0C"/>
          <w:kern w:val="2"/>
          <w:sz w:val="24"/>
          <w:szCs w:val="24"/>
          <w:lang w:val="en-US" w:eastAsia="zh-CN"/>
        </w:rPr>
        <w:t>我单位对上述声明承诺内容的真实性负责。如有虚假，将依法承担相应责任。</w:t>
      </w:r>
    </w:p>
    <w:p>
      <w:pPr>
        <w:pStyle w:val="26"/>
        <w:tabs>
          <w:tab w:val="left" w:pos="854"/>
        </w:tabs>
        <w:spacing w:line="360" w:lineRule="auto"/>
        <w:ind w:firstLine="0" w:firstLineChars="0"/>
        <w:rPr>
          <w:rFonts w:ascii="宋体" w:hAnsi="宋体" w:eastAsia="宋体" w:cs="Times New Roman"/>
          <w:bCs/>
          <w:color w:val="0C0C0C"/>
          <w:kern w:val="2"/>
          <w:sz w:val="24"/>
          <w:szCs w:val="24"/>
          <w:lang w:val="en-US" w:eastAsia="zh-CN"/>
        </w:rPr>
      </w:pPr>
    </w:p>
    <w:p>
      <w:pPr>
        <w:pStyle w:val="26"/>
        <w:tabs>
          <w:tab w:val="left" w:pos="854"/>
        </w:tabs>
        <w:spacing w:line="360" w:lineRule="auto"/>
        <w:ind w:firstLine="0" w:firstLineChars="0"/>
        <w:rPr>
          <w:rFonts w:ascii="宋体" w:hAnsi="宋体" w:eastAsia="宋体" w:cs="Times New Roman"/>
          <w:bCs/>
          <w:color w:val="0C0C0C"/>
          <w:kern w:val="2"/>
          <w:sz w:val="24"/>
          <w:szCs w:val="24"/>
          <w:lang w:val="en-US" w:eastAsia="zh-CN"/>
        </w:rPr>
      </w:pPr>
    </w:p>
    <w:p>
      <w:pPr>
        <w:pStyle w:val="26"/>
        <w:spacing w:before="100" w:beforeAutospacing="1" w:after="100" w:afterAutospacing="1" w:line="360" w:lineRule="auto"/>
        <w:ind w:firstLine="3316" w:firstLineChars="1382"/>
        <w:rPr>
          <w:rFonts w:ascii="宋体" w:hAnsi="宋体" w:eastAsia="宋体" w:cs="Times New Roman"/>
          <w:bCs/>
          <w:color w:val="0C0C0C"/>
          <w:kern w:val="2"/>
          <w:sz w:val="24"/>
          <w:szCs w:val="21"/>
          <w:lang w:val="zh-CN" w:eastAsia="zh-CN"/>
        </w:rPr>
      </w:pPr>
      <w:r>
        <w:rPr>
          <w:rFonts w:hint="eastAsia" w:ascii="宋体" w:hAnsi="宋体" w:eastAsia="宋体" w:cs="Times New Roman"/>
          <w:bCs/>
          <w:color w:val="0C0C0C"/>
          <w:kern w:val="2"/>
          <w:sz w:val="24"/>
          <w:szCs w:val="21"/>
          <w:lang w:val="zh-CN" w:eastAsia="zh-CN"/>
        </w:rPr>
        <w:t xml:space="preserve">           </w:t>
      </w:r>
      <w:r>
        <w:rPr>
          <w:rFonts w:hint="eastAsia" w:ascii="宋体" w:hAnsi="宋体" w:eastAsia="宋体" w:cs="Times New Roman"/>
          <w:bCs/>
          <w:color w:val="0C0C0C"/>
          <w:kern w:val="2"/>
          <w:sz w:val="24"/>
          <w:szCs w:val="21"/>
          <w:lang w:val="en-US" w:eastAsia="zh-CN"/>
        </w:rPr>
        <w:t>供应商</w:t>
      </w:r>
      <w:r>
        <w:rPr>
          <w:rFonts w:hint="eastAsia" w:ascii="宋体" w:hAnsi="宋体" w:eastAsia="宋体" w:cs="Times New Roman"/>
          <w:bCs/>
          <w:color w:val="0C0C0C"/>
          <w:kern w:val="2"/>
          <w:sz w:val="24"/>
          <w:szCs w:val="21"/>
          <w:lang w:val="zh-CN" w:eastAsia="zh-CN"/>
        </w:rPr>
        <w:t>(签章)：</w:t>
      </w:r>
    </w:p>
    <w:p>
      <w:pPr>
        <w:pStyle w:val="26"/>
        <w:spacing w:after="120" w:line="360" w:lineRule="auto"/>
        <w:ind w:firstLine="3360" w:firstLineChars="1400"/>
        <w:rPr>
          <w:rFonts w:ascii="Calibri" w:hAnsi="Calibri" w:eastAsia="宋体" w:cs="Times New Roman"/>
          <w:kern w:val="2"/>
          <w:sz w:val="21"/>
          <w:szCs w:val="22"/>
          <w:lang w:val="zh-CN" w:eastAsia="zh-CN"/>
        </w:rPr>
      </w:pPr>
      <w:r>
        <w:rPr>
          <w:rFonts w:hint="eastAsia" w:ascii="宋体" w:hAnsi="宋体" w:eastAsia="宋体" w:cs="Times New Roman"/>
          <w:bCs/>
          <w:color w:val="0C0C0C"/>
          <w:kern w:val="2"/>
          <w:sz w:val="24"/>
          <w:szCs w:val="21"/>
          <w:lang w:val="en-US" w:eastAsia="zh-CN"/>
        </w:rPr>
        <w:t>供应商</w:t>
      </w:r>
      <w:r>
        <w:rPr>
          <w:rFonts w:hint="eastAsia" w:ascii="宋体" w:hAnsi="宋体" w:eastAsia="宋体" w:cs="Times New Roman"/>
          <w:bCs/>
          <w:color w:val="0C0C0C"/>
          <w:kern w:val="2"/>
          <w:sz w:val="24"/>
          <w:szCs w:val="21"/>
          <w:lang w:val="zh-CN" w:eastAsia="zh-CN"/>
        </w:rPr>
        <w:t>法定代表人（签章）：</w:t>
      </w:r>
    </w:p>
    <w:p>
      <w:pPr>
        <w:pStyle w:val="26"/>
        <w:widowControl/>
        <w:spacing w:line="360" w:lineRule="auto"/>
        <w:ind w:firstLine="4320" w:firstLineChars="1800"/>
        <w:jc w:val="left"/>
        <w:rPr>
          <w:rFonts w:hint="eastAsia" w:ascii="Times New Roman" w:hAnsi="宋体" w:eastAsia="宋体" w:cs="Times New Roman"/>
          <w:color w:val="0C0C0C"/>
          <w:kern w:val="2"/>
          <w:sz w:val="24"/>
          <w:szCs w:val="24"/>
          <w:lang w:val="en-US" w:eastAsia="zh-CN"/>
        </w:rPr>
      </w:pPr>
    </w:p>
    <w:p>
      <w:pPr>
        <w:pStyle w:val="26"/>
        <w:widowControl/>
        <w:spacing w:line="360" w:lineRule="auto"/>
        <w:ind w:firstLine="5280" w:firstLineChars="2200"/>
        <w:jc w:val="left"/>
        <w:rPr>
          <w:rFonts w:hint="eastAsia" w:ascii="Times New Roman" w:hAnsi="宋体" w:eastAsia="宋体" w:cs="Times New Roman"/>
          <w:color w:val="0C0C0C"/>
          <w:kern w:val="2"/>
          <w:sz w:val="24"/>
          <w:szCs w:val="24"/>
          <w:lang w:val="en-US" w:eastAsia="zh-CN"/>
        </w:rPr>
      </w:pPr>
      <w:bookmarkStart w:id="72" w:name="_GoBack"/>
      <w:bookmarkEnd w:id="72"/>
      <w:r>
        <w:rPr>
          <w:rFonts w:hint="eastAsia" w:ascii="Times New Roman" w:hAnsi="宋体" w:eastAsia="宋体" w:cs="Times New Roman"/>
          <w:color w:val="0C0C0C"/>
          <w:kern w:val="2"/>
          <w:sz w:val="24"/>
          <w:szCs w:val="24"/>
          <w:lang w:val="en-US" w:eastAsia="zh-CN"/>
        </w:rPr>
        <w:t>年    月     日</w:t>
      </w:r>
    </w:p>
    <w:p>
      <w:pPr>
        <w:pStyle w:val="27"/>
        <w:adjustRightInd w:val="0"/>
        <w:snapToGrid w:val="0"/>
        <w:spacing w:line="360" w:lineRule="auto"/>
        <w:rPr>
          <w:rFonts w:hint="eastAsia" w:ascii="宋体" w:hAnsi="宋体" w:eastAsia="宋体" w:cs="宋体"/>
          <w:kern w:val="0"/>
          <w:sz w:val="28"/>
          <w:szCs w:val="28"/>
          <w:highlight w:val="cyan"/>
        </w:rPr>
      </w:pPr>
    </w:p>
    <w:p>
      <w:pPr>
        <w:pStyle w:val="2"/>
      </w:pPr>
    </w:p>
    <w:p>
      <w:pPr>
        <w:pStyle w:val="2"/>
      </w:pPr>
    </w:p>
    <w:p>
      <w:pPr>
        <w:pStyle w:val="28"/>
        <w:jc w:val="center"/>
        <w:rPr>
          <w:rFonts w:ascii="Calibri" w:hAnsi="Calibri" w:eastAsia="宋体" w:cs="Times New Roman"/>
          <w:b/>
          <w:kern w:val="2"/>
          <w:sz w:val="30"/>
          <w:szCs w:val="30"/>
        </w:rPr>
      </w:pPr>
      <w:bookmarkStart w:id="68" w:name="_Toc22006"/>
      <w:r>
        <w:rPr>
          <w:rFonts w:hint="eastAsia" w:ascii="宋体" w:hAnsi="宋体" w:cs="宋体"/>
          <w:lang w:val="en-US" w:eastAsia="zh-CN"/>
        </w:rPr>
        <w:t>中小微</w:t>
      </w:r>
      <w:r>
        <w:rPr>
          <w:rFonts w:ascii="Calibri" w:hAnsi="Calibri" w:eastAsia="宋体" w:cs="Times New Roman"/>
          <w:b/>
          <w:kern w:val="2"/>
          <w:sz w:val="30"/>
          <w:szCs w:val="30"/>
        </w:rPr>
        <w:t>企业声明函（工程、服务）</w:t>
      </w:r>
      <w:bookmarkEnd w:id="68"/>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本公司（联合体）郑重声明，根据《政府采购促进中小企业发展管理办法》（财库﹝2020﹞46号）的规定，本公司（联合体）参加</w:t>
      </w:r>
      <w:r>
        <w:rPr>
          <w:rFonts w:hint="eastAsia" w:ascii="宋体" w:hAnsi="宋体" w:eastAsia="宋体" w:cs="宋体"/>
          <w:kern w:val="2"/>
          <w:sz w:val="22"/>
          <w:szCs w:val="22"/>
          <w:u w:val="single"/>
        </w:rPr>
        <w:t>（单位名称）</w:t>
      </w:r>
      <w:r>
        <w:rPr>
          <w:rFonts w:hint="eastAsia" w:ascii="宋体" w:hAnsi="宋体" w:eastAsia="宋体" w:cs="宋体"/>
          <w:kern w:val="2"/>
          <w:sz w:val="22"/>
          <w:szCs w:val="22"/>
        </w:rPr>
        <w:t>的</w:t>
      </w:r>
      <w:r>
        <w:rPr>
          <w:rFonts w:hint="eastAsia" w:ascii="宋体" w:hAnsi="宋体" w:eastAsia="宋体" w:cs="宋体"/>
          <w:kern w:val="2"/>
          <w:sz w:val="22"/>
          <w:szCs w:val="22"/>
          <w:u w:val="single"/>
        </w:rPr>
        <w:t>（项目名称）</w:t>
      </w:r>
      <w:r>
        <w:rPr>
          <w:rFonts w:hint="eastAsia" w:ascii="宋体" w:hAnsi="宋体" w:eastAsia="宋体" w:cs="宋体"/>
          <w:kern w:val="2"/>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1.</w:t>
      </w:r>
      <w:r>
        <w:rPr>
          <w:rFonts w:hint="eastAsia" w:ascii="宋体" w:hAnsi="宋体" w:eastAsia="宋体" w:cs="宋体"/>
          <w:kern w:val="2"/>
          <w:sz w:val="22"/>
          <w:szCs w:val="22"/>
          <w:u w:val="single"/>
        </w:rPr>
        <w:t>（标的名称）</w:t>
      </w:r>
      <w:r>
        <w:rPr>
          <w:rFonts w:hint="eastAsia" w:ascii="宋体" w:hAnsi="宋体" w:eastAsia="宋体" w:cs="宋体"/>
          <w:kern w:val="2"/>
          <w:sz w:val="22"/>
          <w:szCs w:val="22"/>
        </w:rPr>
        <w:t>，属于</w:t>
      </w:r>
      <w:r>
        <w:rPr>
          <w:rFonts w:hint="eastAsia" w:ascii="宋体" w:hAnsi="宋体" w:eastAsia="宋体" w:cs="宋体"/>
          <w:kern w:val="2"/>
          <w:sz w:val="22"/>
          <w:szCs w:val="22"/>
          <w:u w:val="single"/>
        </w:rPr>
        <w:t>（采购文件中明确的所属行业）</w:t>
      </w:r>
      <w:r>
        <w:rPr>
          <w:rFonts w:hint="eastAsia" w:ascii="宋体" w:hAnsi="宋体" w:eastAsia="宋体" w:cs="宋体"/>
          <w:kern w:val="2"/>
          <w:sz w:val="22"/>
          <w:szCs w:val="22"/>
        </w:rPr>
        <w:t>；承建（承接）企业为</w:t>
      </w:r>
      <w:r>
        <w:rPr>
          <w:rFonts w:hint="eastAsia" w:ascii="宋体" w:hAnsi="宋体" w:eastAsia="宋体" w:cs="宋体"/>
          <w:kern w:val="2"/>
          <w:sz w:val="22"/>
          <w:szCs w:val="22"/>
          <w:u w:val="single"/>
        </w:rPr>
        <w:t>（企业名称）</w:t>
      </w:r>
      <w:r>
        <w:rPr>
          <w:rFonts w:hint="eastAsia" w:ascii="宋体" w:hAnsi="宋体" w:eastAsia="宋体" w:cs="宋体"/>
          <w:kern w:val="2"/>
          <w:sz w:val="22"/>
          <w:szCs w:val="22"/>
        </w:rPr>
        <w:t>，从业人员</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人，营业收入为</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万元，资产总额为</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万元</w:t>
      </w:r>
      <w:r>
        <w:rPr>
          <w:rFonts w:hint="eastAsia" w:ascii="宋体" w:hAnsi="宋体" w:eastAsia="宋体" w:cs="宋体"/>
          <w:kern w:val="2"/>
          <w:sz w:val="22"/>
          <w:szCs w:val="22"/>
          <w:vertAlign w:val="superscript"/>
        </w:rPr>
        <w:t>1</w:t>
      </w:r>
      <w:r>
        <w:rPr>
          <w:rFonts w:hint="eastAsia" w:ascii="宋体" w:hAnsi="宋体" w:eastAsia="宋体" w:cs="宋体"/>
          <w:kern w:val="2"/>
          <w:sz w:val="22"/>
          <w:szCs w:val="22"/>
        </w:rPr>
        <w:t>，属于（</w:t>
      </w:r>
      <w:r>
        <w:rPr>
          <w:rFonts w:hint="eastAsia" w:ascii="宋体" w:hAnsi="宋体" w:eastAsia="宋体" w:cs="宋体"/>
          <w:kern w:val="2"/>
          <w:sz w:val="22"/>
          <w:szCs w:val="22"/>
          <w:lang w:val="en-US" w:eastAsia="zh-CN"/>
        </w:rPr>
        <w:t>中型企业、</w:t>
      </w:r>
      <w:r>
        <w:rPr>
          <w:rFonts w:hint="eastAsia" w:ascii="宋体" w:hAnsi="宋体" w:eastAsia="宋体" w:cs="宋体"/>
          <w:kern w:val="2"/>
          <w:sz w:val="22"/>
          <w:szCs w:val="22"/>
        </w:rPr>
        <w:t>小型企业、微型企业）；</w:t>
      </w: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2.</w:t>
      </w:r>
      <w:r>
        <w:rPr>
          <w:rFonts w:hint="eastAsia" w:ascii="宋体" w:hAnsi="宋体" w:eastAsia="宋体" w:cs="宋体"/>
          <w:kern w:val="2"/>
          <w:sz w:val="22"/>
          <w:szCs w:val="22"/>
          <w:u w:val="single"/>
        </w:rPr>
        <w:t>（标的名称）</w:t>
      </w:r>
      <w:r>
        <w:rPr>
          <w:rFonts w:hint="eastAsia" w:ascii="宋体" w:hAnsi="宋体" w:eastAsia="宋体" w:cs="宋体"/>
          <w:kern w:val="2"/>
          <w:sz w:val="22"/>
          <w:szCs w:val="22"/>
        </w:rPr>
        <w:t>，属于</w:t>
      </w:r>
      <w:r>
        <w:rPr>
          <w:rFonts w:hint="eastAsia" w:ascii="宋体" w:hAnsi="宋体" w:eastAsia="宋体" w:cs="宋体"/>
          <w:kern w:val="2"/>
          <w:sz w:val="22"/>
          <w:szCs w:val="22"/>
          <w:u w:val="single"/>
        </w:rPr>
        <w:t>（采购文件中明确的所属行业）</w:t>
      </w:r>
      <w:r>
        <w:rPr>
          <w:rFonts w:hint="eastAsia" w:ascii="宋体" w:hAnsi="宋体" w:eastAsia="宋体" w:cs="宋体"/>
          <w:kern w:val="2"/>
          <w:sz w:val="22"/>
          <w:szCs w:val="22"/>
        </w:rPr>
        <w:t>；承建（承接）企业为</w:t>
      </w:r>
      <w:r>
        <w:rPr>
          <w:rFonts w:hint="eastAsia" w:ascii="宋体" w:hAnsi="宋体" w:eastAsia="宋体" w:cs="宋体"/>
          <w:kern w:val="2"/>
          <w:sz w:val="22"/>
          <w:szCs w:val="22"/>
          <w:u w:val="single"/>
        </w:rPr>
        <w:t>（企业名称）</w:t>
      </w:r>
      <w:r>
        <w:rPr>
          <w:rFonts w:hint="eastAsia" w:ascii="宋体" w:hAnsi="宋体" w:eastAsia="宋体" w:cs="宋体"/>
          <w:kern w:val="2"/>
          <w:sz w:val="22"/>
          <w:szCs w:val="22"/>
        </w:rPr>
        <w:t>，从业人员</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人，营业收入为</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万元，资产总额为</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万元，属于</w:t>
      </w:r>
      <w:r>
        <w:rPr>
          <w:rFonts w:hint="eastAsia" w:ascii="宋体" w:hAnsi="宋体" w:eastAsia="宋体" w:cs="宋体"/>
          <w:kern w:val="2"/>
          <w:sz w:val="22"/>
          <w:szCs w:val="22"/>
          <w:u w:val="none"/>
        </w:rPr>
        <w:t>（中型企业、小型企业、微型企业）</w:t>
      </w:r>
      <w:r>
        <w:rPr>
          <w:rFonts w:hint="eastAsia" w:ascii="宋体" w:hAnsi="宋体" w:eastAsia="宋体" w:cs="宋体"/>
          <w:kern w:val="2"/>
          <w:sz w:val="22"/>
          <w:szCs w:val="22"/>
        </w:rPr>
        <w:t>；</w:t>
      </w: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w:t>
      </w:r>
    </w:p>
    <w:p>
      <w:pPr>
        <w:ind w:firstLine="550" w:firstLineChars="250"/>
        <w:rPr>
          <w:rFonts w:hint="eastAsia" w:ascii="宋体" w:hAnsi="宋体" w:eastAsia="宋体" w:cs="宋体"/>
          <w:kern w:val="2"/>
          <w:sz w:val="22"/>
          <w:szCs w:val="22"/>
          <w:lang w:eastAsia="zh-CN"/>
        </w:rPr>
      </w:pPr>
      <w:r>
        <w:rPr>
          <w:rFonts w:hint="eastAsia" w:ascii="宋体" w:hAnsi="宋体" w:eastAsia="宋体" w:cs="宋体"/>
          <w:kern w:val="2"/>
          <w:sz w:val="22"/>
          <w:szCs w:val="22"/>
        </w:rPr>
        <w:t>以上企业，不属于大企业的分支机构，不存在控股股东为大企业的情形，也不存在与大企业的负责人为同一人的情形。</w:t>
      </w: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本企业对上述声明内容的真实性负责。如有虚假，将依法承担相应责任。</w:t>
      </w: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 xml:space="preserve">                                    </w:t>
      </w:r>
    </w:p>
    <w:p>
      <w:pPr>
        <w:ind w:firstLine="550" w:firstLineChars="250"/>
        <w:rPr>
          <w:rFonts w:hint="eastAsia" w:ascii="宋体" w:hAnsi="宋体" w:eastAsia="宋体" w:cs="宋体"/>
          <w:kern w:val="2"/>
          <w:sz w:val="22"/>
          <w:szCs w:val="22"/>
        </w:rPr>
      </w:pPr>
    </w:p>
    <w:p>
      <w:pPr>
        <w:ind w:firstLine="550" w:firstLineChars="250"/>
        <w:rPr>
          <w:rFonts w:hint="eastAsia" w:ascii="宋体" w:hAnsi="宋体" w:eastAsia="宋体" w:cs="宋体"/>
          <w:kern w:val="2"/>
          <w:sz w:val="22"/>
          <w:szCs w:val="22"/>
        </w:rPr>
      </w:pPr>
    </w:p>
    <w:p>
      <w:pPr>
        <w:ind w:firstLine="550" w:firstLineChars="250"/>
        <w:rPr>
          <w:rFonts w:hint="eastAsia" w:ascii="宋体" w:hAnsi="宋体" w:eastAsia="宋体" w:cs="宋体"/>
          <w:kern w:val="2"/>
          <w:sz w:val="22"/>
          <w:szCs w:val="22"/>
        </w:rPr>
      </w:pPr>
    </w:p>
    <w:p>
      <w:pPr>
        <w:ind w:firstLine="550" w:firstLineChars="250"/>
        <w:rPr>
          <w:rFonts w:hint="eastAsia" w:ascii="宋体" w:hAnsi="宋体" w:eastAsia="宋体" w:cs="宋体"/>
          <w:kern w:val="2"/>
          <w:sz w:val="22"/>
          <w:szCs w:val="22"/>
        </w:rPr>
      </w:pPr>
    </w:p>
    <w:p>
      <w:pPr>
        <w:ind w:firstLine="4950" w:firstLineChars="2250"/>
        <w:rPr>
          <w:rFonts w:hint="eastAsia" w:ascii="宋体" w:hAnsi="宋体" w:eastAsia="宋体" w:cs="宋体"/>
          <w:kern w:val="2"/>
          <w:sz w:val="22"/>
          <w:szCs w:val="22"/>
        </w:rPr>
      </w:pPr>
      <w:r>
        <w:rPr>
          <w:rFonts w:hint="eastAsia" w:ascii="宋体" w:hAnsi="宋体" w:eastAsia="宋体" w:cs="宋体"/>
          <w:kern w:val="2"/>
          <w:sz w:val="22"/>
          <w:szCs w:val="22"/>
        </w:rPr>
        <w:t xml:space="preserve">   企业名称（盖章）：</w:t>
      </w: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 xml:space="preserve">                                           日 期： </w:t>
      </w:r>
    </w:p>
    <w:p>
      <w:pPr>
        <w:pStyle w:val="2"/>
        <w:rPr>
          <w:rFonts w:hint="eastAsia" w:ascii="宋体" w:hAnsi="宋体" w:eastAsia="宋体" w:cs="宋体"/>
          <w:kern w:val="2"/>
          <w:sz w:val="22"/>
          <w:szCs w:val="22"/>
        </w:rPr>
      </w:pPr>
    </w:p>
    <w:p>
      <w:pPr>
        <w:pStyle w:val="2"/>
        <w:rPr>
          <w:rFonts w:hint="eastAsia" w:ascii="宋体" w:hAnsi="宋体" w:eastAsia="宋体" w:cs="宋体"/>
          <w:kern w:val="2"/>
          <w:sz w:val="22"/>
          <w:szCs w:val="22"/>
        </w:rPr>
      </w:pPr>
    </w:p>
    <w:p>
      <w:pPr>
        <w:pStyle w:val="2"/>
        <w:rPr>
          <w:rFonts w:hint="eastAsia" w:ascii="宋体" w:hAnsi="宋体" w:eastAsia="宋体" w:cs="宋体"/>
          <w:kern w:val="2"/>
          <w:sz w:val="22"/>
          <w:szCs w:val="22"/>
        </w:rPr>
      </w:pPr>
    </w:p>
    <w:p>
      <w:pPr>
        <w:pStyle w:val="2"/>
        <w:rPr>
          <w:rFonts w:hint="eastAsia" w:ascii="宋体" w:hAnsi="宋体" w:eastAsia="宋体" w:cs="宋体"/>
          <w:kern w:val="2"/>
          <w:sz w:val="22"/>
          <w:szCs w:val="22"/>
        </w:rPr>
      </w:pPr>
    </w:p>
    <w:p>
      <w:pPr>
        <w:ind w:firstLine="550" w:firstLineChars="250"/>
        <w:rPr>
          <w:rFonts w:hint="eastAsia" w:ascii="宋体" w:hAnsi="宋体" w:eastAsia="宋体" w:cs="宋体"/>
          <w:kern w:val="2"/>
          <w:sz w:val="22"/>
          <w:szCs w:val="22"/>
        </w:rPr>
      </w:pPr>
    </w:p>
    <w:p>
      <w:pPr>
        <w:ind w:firstLine="550" w:firstLineChars="250"/>
        <w:rPr>
          <w:rFonts w:hint="eastAsia" w:ascii="宋体" w:hAnsi="宋体" w:eastAsia="宋体" w:cs="宋体"/>
          <w:kern w:val="2"/>
          <w:sz w:val="22"/>
          <w:szCs w:val="22"/>
        </w:rPr>
      </w:pPr>
      <w:r>
        <w:rPr>
          <w:rFonts w:hint="eastAsia" w:ascii="宋体" w:hAnsi="宋体" w:eastAsia="宋体" w:cs="宋体"/>
          <w:kern w:val="2"/>
          <w:sz w:val="22"/>
          <w:szCs w:val="22"/>
        </w:rPr>
        <w:t xml:space="preserve">1 从业人员、营业收入、资产总额填报上一年度数据，无上一年度数据的新成立企业可不填报。 </w:t>
      </w:r>
    </w:p>
    <w:p>
      <w:pPr>
        <w:pStyle w:val="27"/>
        <w:spacing w:before="100" w:beforeAutospacing="1" w:after="100" w:afterAutospacing="1"/>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28"/>
        <w:spacing w:beforeLines="0" w:afterLines="0"/>
        <w:jc w:val="center"/>
        <w:rPr>
          <w:rFonts w:hint="default"/>
          <w:sz w:val="32"/>
          <w:szCs w:val="24"/>
        </w:rPr>
      </w:pPr>
      <w:r>
        <w:rPr>
          <w:rFonts w:hint="eastAsia" w:ascii="宋体" w:hAnsi="宋体" w:eastAsia="宋体" w:cs="宋体"/>
        </w:rPr>
        <w:br w:type="page"/>
      </w:r>
      <w:bookmarkStart w:id="69" w:name="_Toc26549"/>
      <w:r>
        <w:rPr>
          <w:rFonts w:hint="eastAsia"/>
          <w:sz w:val="32"/>
          <w:szCs w:val="24"/>
        </w:rPr>
        <w:t>项目负责人、技术负责人简历表</w:t>
      </w:r>
      <w:bookmarkEnd w:id="69"/>
    </w:p>
    <w:p>
      <w:pPr>
        <w:pStyle w:val="27"/>
        <w:adjustRightInd w:val="0"/>
        <w:snapToGrid w:val="0"/>
        <w:spacing w:beforeLines="0" w:afterLines="0" w:line="500" w:lineRule="exact"/>
        <w:rPr>
          <w:rFonts w:hint="eastAsia" w:ascii="宋体" w:hAnsi="宋体"/>
          <w:sz w:val="28"/>
          <w:szCs w:val="24"/>
        </w:rPr>
      </w:pPr>
      <w:r>
        <w:rPr>
          <w:rFonts w:hint="eastAsia" w:ascii="宋体" w:hAnsi="宋体"/>
          <w:sz w:val="28"/>
          <w:szCs w:val="24"/>
        </w:rPr>
        <w:t>项目编号：</w:t>
      </w:r>
      <w:r>
        <w:rPr>
          <w:rFonts w:hint="eastAsia" w:ascii="宋体" w:hAnsi="宋体"/>
          <w:sz w:val="28"/>
          <w:szCs w:val="24"/>
          <w:u w:val="single"/>
        </w:rPr>
        <w:t xml:space="preserve">                            </w:t>
      </w:r>
    </w:p>
    <w:p>
      <w:pPr>
        <w:pStyle w:val="27"/>
        <w:adjustRightInd w:val="0"/>
        <w:snapToGrid w:val="0"/>
        <w:spacing w:beforeLines="0" w:afterLines="0" w:line="500" w:lineRule="exact"/>
        <w:rPr>
          <w:rFonts w:hint="eastAsia" w:ascii="宋体" w:hAnsi="宋体"/>
          <w:sz w:val="28"/>
          <w:szCs w:val="24"/>
          <w:u w:val="single"/>
        </w:rPr>
      </w:pPr>
      <w:r>
        <w:rPr>
          <w:rFonts w:hint="eastAsia" w:ascii="宋体" w:hAnsi="宋体"/>
          <w:sz w:val="28"/>
          <w:szCs w:val="24"/>
        </w:rPr>
        <w:t>项目名称：</w:t>
      </w:r>
      <w:r>
        <w:rPr>
          <w:rFonts w:hint="eastAsia" w:ascii="宋体" w:hAnsi="宋体"/>
          <w:sz w:val="28"/>
          <w:szCs w:val="24"/>
          <w:u w:val="single"/>
        </w:rPr>
        <w:t xml:space="preserve">                            </w:t>
      </w: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
        <w:gridCol w:w="1224"/>
        <w:gridCol w:w="612"/>
        <w:gridCol w:w="1044"/>
        <w:gridCol w:w="792"/>
        <w:gridCol w:w="612"/>
        <w:gridCol w:w="1224"/>
        <w:gridCol w:w="491"/>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姓    名</w:t>
            </w:r>
          </w:p>
        </w:tc>
        <w:tc>
          <w:tcPr>
            <w:tcW w:w="15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6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性    别</w:t>
            </w:r>
          </w:p>
        </w:tc>
        <w:tc>
          <w:tcPr>
            <w:tcW w:w="14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7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年    龄</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职    务</w:t>
            </w:r>
          </w:p>
        </w:tc>
        <w:tc>
          <w:tcPr>
            <w:tcW w:w="15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6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职    称</w:t>
            </w:r>
          </w:p>
        </w:tc>
        <w:tc>
          <w:tcPr>
            <w:tcW w:w="14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7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学    历</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参加工作</w:t>
            </w:r>
          </w:p>
          <w:p>
            <w:pPr>
              <w:pStyle w:val="27"/>
              <w:spacing w:beforeLines="0" w:afterLines="0"/>
              <w:jc w:val="center"/>
              <w:rPr>
                <w:rFonts w:hint="eastAsia" w:ascii="宋体" w:hAnsi="宋体"/>
                <w:sz w:val="28"/>
                <w:szCs w:val="24"/>
              </w:rPr>
            </w:pPr>
            <w:r>
              <w:rPr>
                <w:rFonts w:hint="eastAsia" w:ascii="宋体" w:hAnsi="宋体"/>
                <w:sz w:val="28"/>
                <w:szCs w:val="24"/>
              </w:rPr>
              <w:t>时间</w:t>
            </w:r>
          </w:p>
        </w:tc>
        <w:tc>
          <w:tcPr>
            <w:tcW w:w="15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6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从事本行业工作年限</w:t>
            </w:r>
          </w:p>
        </w:tc>
        <w:tc>
          <w:tcPr>
            <w:tcW w:w="14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7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个人专业资质及证书</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18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918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18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项目使用单位</w:t>
            </w: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项目名称</w:t>
            </w: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项目建设内容</w:t>
            </w: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项目总金额</w:t>
            </w: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r>
              <w:rPr>
                <w:rFonts w:hint="eastAsia" w:ascii="宋体" w:hAnsi="宋体"/>
                <w:sz w:val="28"/>
                <w:szCs w:val="24"/>
              </w:rPr>
              <w:t>项目建设周期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c>
          <w:tcPr>
            <w:tcW w:w="18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27"/>
              <w:spacing w:beforeLines="0" w:afterLines="0"/>
              <w:jc w:val="center"/>
              <w:rPr>
                <w:rFonts w:hint="eastAsia" w:ascii="宋体" w:hAnsi="宋体"/>
                <w:sz w:val="28"/>
                <w:szCs w:val="24"/>
              </w:rPr>
            </w:pPr>
          </w:p>
        </w:tc>
      </w:tr>
    </w:tbl>
    <w:p>
      <w:pPr>
        <w:pStyle w:val="27"/>
        <w:spacing w:beforeLines="0" w:afterLines="0"/>
        <w:jc w:val="center"/>
        <w:rPr>
          <w:rFonts w:hint="eastAsia" w:ascii="宋体" w:hAnsi="宋体"/>
          <w:sz w:val="28"/>
          <w:szCs w:val="24"/>
        </w:rPr>
      </w:pPr>
      <w:r>
        <w:rPr>
          <w:rFonts w:hint="eastAsia" w:ascii="宋体" w:hAnsi="宋体"/>
          <w:sz w:val="28"/>
          <w:szCs w:val="24"/>
        </w:rPr>
        <w:t>说明：必须附相关证明材料的完整清晰扫描件，否则评委在评审时将</w:t>
      </w:r>
    </w:p>
    <w:p>
      <w:pPr>
        <w:pStyle w:val="27"/>
        <w:spacing w:beforeLines="0" w:afterLines="0"/>
        <w:rPr>
          <w:rFonts w:hint="eastAsia" w:ascii="宋体" w:hAnsi="宋体"/>
          <w:sz w:val="28"/>
          <w:szCs w:val="24"/>
        </w:rPr>
      </w:pPr>
      <w:r>
        <w:rPr>
          <w:rFonts w:hint="eastAsia" w:ascii="宋体" w:hAnsi="宋体"/>
          <w:sz w:val="28"/>
          <w:szCs w:val="24"/>
        </w:rPr>
        <w:t>不予承认。</w:t>
      </w:r>
    </w:p>
    <w:p>
      <w:pPr>
        <w:pStyle w:val="2"/>
        <w:ind w:left="0" w:leftChars="0" w:firstLine="0" w:firstLineChars="0"/>
        <w:jc w:val="both"/>
      </w:pPr>
    </w:p>
    <w:p>
      <w:pPr>
        <w:pStyle w:val="2"/>
        <w:ind w:left="0" w:leftChars="0" w:firstLine="0" w:firstLineChars="0"/>
        <w:jc w:val="both"/>
        <w:sectPr>
          <w:pgSz w:w="11906" w:h="16838"/>
          <w:pgMar w:top="1440" w:right="1519" w:bottom="1440" w:left="1576" w:header="851" w:footer="992" w:gutter="0"/>
          <w:cols w:space="0" w:num="1"/>
          <w:docGrid w:type="lines" w:linePitch="312" w:charSpace="0"/>
        </w:sectPr>
      </w:pPr>
    </w:p>
    <w:p>
      <w:pPr>
        <w:pStyle w:val="2"/>
        <w:ind w:left="0" w:leftChars="0" w:firstLine="0" w:firstLineChars="0"/>
        <w:jc w:val="both"/>
        <w:rPr>
          <w:sz w:val="28"/>
          <w:szCs w:val="28"/>
        </w:rPr>
      </w:pPr>
    </w:p>
    <w:p>
      <w:pPr>
        <w:rPr>
          <w:rFonts w:eastAsia="宋体" w:cs="Times New Roman"/>
          <w:b/>
          <w:color w:val="auto"/>
          <w:kern w:val="2"/>
          <w:sz w:val="24"/>
          <w:szCs w:val="24"/>
        </w:rPr>
      </w:pPr>
      <w:bookmarkStart w:id="70" w:name="_Toc476153619"/>
      <w:r>
        <w:rPr>
          <w:rFonts w:hint="eastAsia" w:eastAsia="宋体" w:cs="Times New Roman"/>
          <w:b/>
          <w:color w:val="auto"/>
          <w:kern w:val="2"/>
          <w:sz w:val="24"/>
          <w:szCs w:val="24"/>
          <w:highlight w:val="white"/>
        </w:rPr>
        <w:t>附件：</w:t>
      </w:r>
    </w:p>
    <w:p>
      <w:pPr>
        <w:keepNext/>
        <w:keepLines/>
        <w:widowControl w:val="0"/>
        <w:spacing w:before="120" w:after="120" w:line="240" w:lineRule="auto"/>
        <w:ind w:left="1069" w:hanging="1069"/>
        <w:jc w:val="center"/>
        <w:outlineLvl w:val="1"/>
        <w:rPr>
          <w:rFonts w:ascii="宋体" w:hAnsi="宋体" w:eastAsia="宋体" w:cs="Times New Roman"/>
          <w:b/>
          <w:bCs/>
          <w:color w:val="auto"/>
          <w:kern w:val="0"/>
          <w:sz w:val="24"/>
          <w:szCs w:val="24"/>
          <w:lang w:val="en-US" w:eastAsia="zh-CN" w:bidi="ar-SA"/>
        </w:rPr>
      </w:pPr>
      <w:bookmarkStart w:id="71" w:name="_Toc9316"/>
      <w:r>
        <w:rPr>
          <w:rFonts w:hint="eastAsia" w:ascii="宋体" w:hAnsi="宋体" w:eastAsia="宋体" w:cs="Times New Roman"/>
          <w:b/>
          <w:bCs/>
          <w:color w:val="auto"/>
          <w:kern w:val="0"/>
          <w:sz w:val="32"/>
          <w:szCs w:val="16"/>
          <w:highlight w:val="white"/>
          <w:lang w:val="en-US" w:eastAsia="zh-CN" w:bidi="ar-SA"/>
        </w:rPr>
        <w:t>中小企业划型标准</w:t>
      </w:r>
      <w:bookmarkEnd w:id="70"/>
      <w:bookmarkEnd w:id="71"/>
    </w:p>
    <w:tbl>
      <w:tblPr>
        <w:tblStyle w:val="14"/>
        <w:tblW w:w="15146" w:type="dxa"/>
        <w:jc w:val="center"/>
        <w:tblLayout w:type="fixed"/>
        <w:tblCellMar>
          <w:top w:w="0" w:type="dxa"/>
          <w:left w:w="108" w:type="dxa"/>
          <w:bottom w:w="0" w:type="dxa"/>
          <w:right w:w="108" w:type="dxa"/>
        </w:tblCellMar>
      </w:tblPr>
      <w:tblGrid>
        <w:gridCol w:w="472"/>
        <w:gridCol w:w="2200"/>
        <w:gridCol w:w="974"/>
        <w:gridCol w:w="943"/>
        <w:gridCol w:w="1157"/>
        <w:gridCol w:w="1008"/>
        <w:gridCol w:w="943"/>
        <w:gridCol w:w="1161"/>
        <w:gridCol w:w="1031"/>
        <w:gridCol w:w="943"/>
        <w:gridCol w:w="1161"/>
        <w:gridCol w:w="1049"/>
        <w:gridCol w:w="943"/>
        <w:gridCol w:w="1161"/>
      </w:tblGrid>
      <w:tr>
        <w:tblPrEx>
          <w:tblCellMar>
            <w:top w:w="0" w:type="dxa"/>
            <w:left w:w="108" w:type="dxa"/>
            <w:bottom w:w="0" w:type="dxa"/>
            <w:right w:w="108" w:type="dxa"/>
          </w:tblCellMar>
        </w:tblPrEx>
        <w:trPr>
          <w:trHeight w:val="323" w:hRule="atLeast"/>
          <w:tblHeader/>
          <w:jc w:val="center"/>
        </w:trPr>
        <w:tc>
          <w:tcPr>
            <w:tcW w:w="472"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序号</w:t>
            </w:r>
          </w:p>
        </w:tc>
        <w:tc>
          <w:tcPr>
            <w:tcW w:w="2200" w:type="dxa"/>
            <w:vMerge w:val="restart"/>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行业</w:t>
            </w:r>
          </w:p>
        </w:tc>
        <w:tc>
          <w:tcPr>
            <w:tcW w:w="3074" w:type="dxa"/>
            <w:gridSpan w:val="3"/>
            <w:tcBorders>
              <w:top w:val="single" w:color="auto" w:sz="4" w:space="0"/>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大型企业</w:t>
            </w:r>
          </w:p>
        </w:tc>
        <w:tc>
          <w:tcPr>
            <w:tcW w:w="3112" w:type="dxa"/>
            <w:gridSpan w:val="3"/>
            <w:tcBorders>
              <w:top w:val="single" w:color="auto" w:sz="4" w:space="0"/>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中型企业</w:t>
            </w:r>
          </w:p>
        </w:tc>
        <w:tc>
          <w:tcPr>
            <w:tcW w:w="3135" w:type="dxa"/>
            <w:gridSpan w:val="3"/>
            <w:tcBorders>
              <w:top w:val="single" w:color="auto" w:sz="4" w:space="0"/>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小型企业</w:t>
            </w:r>
          </w:p>
        </w:tc>
        <w:tc>
          <w:tcPr>
            <w:tcW w:w="3153" w:type="dxa"/>
            <w:gridSpan w:val="3"/>
            <w:tcBorders>
              <w:top w:val="single" w:color="auto" w:sz="4" w:space="0"/>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微型企业</w:t>
            </w:r>
          </w:p>
        </w:tc>
      </w:tr>
      <w:tr>
        <w:tblPrEx>
          <w:tblCellMar>
            <w:top w:w="0" w:type="dxa"/>
            <w:left w:w="108" w:type="dxa"/>
            <w:bottom w:w="0" w:type="dxa"/>
            <w:right w:w="108" w:type="dxa"/>
          </w:tblCellMar>
        </w:tblPrEx>
        <w:trPr>
          <w:trHeight w:val="226" w:hRule="atLeast"/>
          <w:tblHeader/>
          <w:jc w:val="center"/>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s="宋体"/>
                <w:b/>
                <w:color w:val="auto"/>
                <w:kern w:val="0"/>
                <w:sz w:val="18"/>
                <w:szCs w:val="18"/>
              </w:rPr>
            </w:pPr>
          </w:p>
        </w:tc>
        <w:tc>
          <w:tcPr>
            <w:tcW w:w="220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等线" w:cs="宋体"/>
                <w:b/>
                <w:color w:val="auto"/>
                <w:kern w:val="0"/>
                <w:sz w:val="18"/>
                <w:szCs w:val="18"/>
              </w:rPr>
            </w:pPr>
          </w:p>
        </w:tc>
        <w:tc>
          <w:tcPr>
            <w:tcW w:w="974"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营业收入</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943"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从业人员</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(人)</w:t>
            </w:r>
          </w:p>
        </w:tc>
        <w:tc>
          <w:tcPr>
            <w:tcW w:w="1157"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总资产</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1008"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营业收入</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943"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从业人员</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(人)</w:t>
            </w:r>
          </w:p>
        </w:tc>
        <w:tc>
          <w:tcPr>
            <w:tcW w:w="1161"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总资产</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1031"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营业收入</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943" w:type="dxa"/>
            <w:tcBorders>
              <w:top w:val="nil"/>
              <w:left w:val="nil"/>
              <w:bottom w:val="single" w:color="auto" w:sz="4" w:space="0"/>
              <w:right w:val="single" w:color="auto" w:sz="4" w:space="0"/>
            </w:tcBorders>
            <w:noWrap/>
            <w:vAlign w:val="center"/>
          </w:tcPr>
          <w:p>
            <w:pPr>
              <w:spacing w:line="240" w:lineRule="atLeast"/>
              <w:ind w:left="94" w:leftChars="-23" w:right="-65" w:rightChars="-31" w:hanging="142" w:hangingChars="79"/>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从业人员</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(人)</w:t>
            </w:r>
          </w:p>
        </w:tc>
        <w:tc>
          <w:tcPr>
            <w:tcW w:w="1161"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总资产</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1049"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营业收入</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c>
          <w:tcPr>
            <w:tcW w:w="943"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从业人员</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(人)</w:t>
            </w:r>
          </w:p>
        </w:tc>
        <w:tc>
          <w:tcPr>
            <w:tcW w:w="1161" w:type="dxa"/>
            <w:tcBorders>
              <w:top w:val="nil"/>
              <w:left w:val="nil"/>
              <w:bottom w:val="single" w:color="auto" w:sz="4" w:space="0"/>
              <w:right w:val="single" w:color="auto" w:sz="4" w:space="0"/>
            </w:tcBorders>
            <w:noWrap/>
            <w:vAlign w:val="center"/>
          </w:tcPr>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总资产</w:t>
            </w:r>
          </w:p>
          <w:p>
            <w:pPr>
              <w:spacing w:line="240" w:lineRule="atLeast"/>
              <w:ind w:left="-48" w:leftChars="-23" w:right="-65" w:rightChars="-3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(万元)</w:t>
            </w:r>
          </w:p>
        </w:tc>
      </w:tr>
      <w:tr>
        <w:tblPrEx>
          <w:tblCellMar>
            <w:top w:w="0" w:type="dxa"/>
            <w:left w:w="108" w:type="dxa"/>
            <w:bottom w:w="0" w:type="dxa"/>
            <w:right w:w="108" w:type="dxa"/>
          </w:tblCellMar>
        </w:tblPrEx>
        <w:trPr>
          <w:trHeight w:val="369" w:hRule="atLeast"/>
          <w:jc w:val="center"/>
        </w:trPr>
        <w:tc>
          <w:tcPr>
            <w:tcW w:w="472" w:type="dxa"/>
            <w:tcBorders>
              <w:top w:val="single" w:color="auto" w:sz="4" w:space="0"/>
              <w:left w:val="single" w:color="auto" w:sz="4" w:space="0"/>
              <w:bottom w:val="single" w:color="auto" w:sz="4" w:space="0"/>
              <w:right w:val="single" w:color="auto" w:sz="4" w:space="0"/>
            </w:tcBorders>
            <w:noWrap/>
            <w:vAlign w:val="center"/>
          </w:tcPr>
          <w:p>
            <w:pPr>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w:t>
            </w:r>
          </w:p>
        </w:tc>
        <w:tc>
          <w:tcPr>
            <w:tcW w:w="2200" w:type="dxa"/>
            <w:tcBorders>
              <w:top w:val="single" w:color="auto" w:sz="4" w:space="0"/>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农、林、牧、渔业</w:t>
            </w:r>
          </w:p>
        </w:tc>
        <w:tc>
          <w:tcPr>
            <w:tcW w:w="974" w:type="dxa"/>
            <w:tcBorders>
              <w:top w:val="single" w:color="auto" w:sz="4" w:space="0"/>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2</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工业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≥40000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3</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建筑业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≥80000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≥80000</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≥6000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≥5000</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4</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批发业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≥40000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5</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零售业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6</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交通运输业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7</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仓储业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8</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邮政业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9</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住宿业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10</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餐饮业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11</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信息传输业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12</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软件和信息技术服务业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369"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13</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房地产开发经验</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≥200000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或,≥10000</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且,≥5000</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且,≥2000</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或,＜2000</w:t>
            </w:r>
          </w:p>
        </w:tc>
      </w:tr>
      <w:tr>
        <w:tblPrEx>
          <w:tblCellMar>
            <w:top w:w="0" w:type="dxa"/>
            <w:left w:w="108" w:type="dxa"/>
            <w:bottom w:w="0" w:type="dxa"/>
            <w:right w:w="108" w:type="dxa"/>
          </w:tblCellMar>
        </w:tblPrEx>
        <w:trPr>
          <w:trHeight w:val="285"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14</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物业管理</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≥1000</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＜500</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r>
        <w:tblPrEx>
          <w:tblCellMar>
            <w:top w:w="0" w:type="dxa"/>
            <w:left w:w="108" w:type="dxa"/>
            <w:bottom w:w="0" w:type="dxa"/>
            <w:right w:w="108" w:type="dxa"/>
          </w:tblCellMar>
        </w:tblPrEx>
        <w:trPr>
          <w:trHeight w:val="286"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15</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租赁和商务服务业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或,≥120000</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且,≥8000</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且,≥100</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或,＜100</w:t>
            </w:r>
          </w:p>
        </w:tc>
      </w:tr>
      <w:tr>
        <w:tblPrEx>
          <w:tblCellMar>
            <w:top w:w="0" w:type="dxa"/>
            <w:left w:w="108" w:type="dxa"/>
            <w:bottom w:w="0" w:type="dxa"/>
            <w:right w:w="108" w:type="dxa"/>
          </w:tblCellMar>
        </w:tblPrEx>
        <w:trPr>
          <w:trHeight w:val="296" w:hRule="atLeast"/>
          <w:jc w:val="center"/>
        </w:trPr>
        <w:tc>
          <w:tcPr>
            <w:tcW w:w="472" w:type="dxa"/>
            <w:tcBorders>
              <w:top w:val="nil"/>
              <w:left w:val="single" w:color="auto" w:sz="4" w:space="0"/>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16</w:t>
            </w:r>
          </w:p>
        </w:tc>
        <w:tc>
          <w:tcPr>
            <w:tcW w:w="2200"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hint="eastAsia" w:ascii="宋体" w:hAnsi="宋体" w:eastAsia="等线" w:cs="宋体"/>
                <w:b/>
                <w:color w:val="auto"/>
                <w:kern w:val="0"/>
                <w:sz w:val="18"/>
                <w:szCs w:val="18"/>
              </w:rPr>
            </w:pPr>
            <w:r>
              <w:rPr>
                <w:rFonts w:hint="eastAsia" w:ascii="宋体" w:hAnsi="宋体" w:eastAsia="等线" w:cs="宋体"/>
                <w:b/>
                <w:color w:val="auto"/>
                <w:kern w:val="0"/>
                <w:sz w:val="18"/>
                <w:szCs w:val="18"/>
                <w:highlight w:val="white"/>
              </w:rPr>
              <w:t>其他未列明行业</w:t>
            </w:r>
          </w:p>
        </w:tc>
        <w:tc>
          <w:tcPr>
            <w:tcW w:w="974"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≥300</w:t>
            </w:r>
          </w:p>
        </w:tc>
        <w:tc>
          <w:tcPr>
            <w:tcW w:w="1157"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08"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ind w:left="-107" w:leftChars="-51" w:right="-107" w:rightChars="-51"/>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3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1049"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c>
          <w:tcPr>
            <w:tcW w:w="943"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＜10</w:t>
            </w:r>
          </w:p>
        </w:tc>
        <w:tc>
          <w:tcPr>
            <w:tcW w:w="1161" w:type="dxa"/>
            <w:tcBorders>
              <w:top w:val="nil"/>
              <w:left w:val="nil"/>
              <w:bottom w:val="single" w:color="auto" w:sz="4" w:space="0"/>
              <w:right w:val="single" w:color="auto" w:sz="4" w:space="0"/>
            </w:tcBorders>
            <w:noWrap/>
            <w:vAlign w:val="center"/>
          </w:tcPr>
          <w:p>
            <w:pPr>
              <w:widowControl/>
              <w:spacing w:line="240" w:lineRule="atLeast"/>
              <w:jc w:val="center"/>
              <w:rPr>
                <w:rFonts w:hint="eastAsia" w:ascii="宋体" w:hAnsi="宋体" w:eastAsia="等线" w:cs="宋体"/>
                <w:color w:val="auto"/>
                <w:kern w:val="0"/>
                <w:sz w:val="18"/>
                <w:szCs w:val="18"/>
              </w:rPr>
            </w:pPr>
            <w:r>
              <w:rPr>
                <w:rFonts w:hint="eastAsia" w:ascii="宋体" w:hAnsi="宋体" w:eastAsia="等线" w:cs="宋体"/>
                <w:color w:val="auto"/>
                <w:kern w:val="0"/>
                <w:sz w:val="18"/>
                <w:szCs w:val="18"/>
                <w:highlight w:val="white"/>
              </w:rPr>
              <w:t>　</w:t>
            </w:r>
          </w:p>
        </w:tc>
      </w:tr>
    </w:tbl>
    <w:p>
      <w:pPr>
        <w:pStyle w:val="2"/>
        <w:ind w:left="0" w:leftChars="0" w:firstLine="0" w:firstLineChars="0"/>
        <w:jc w:val="both"/>
      </w:pPr>
    </w:p>
    <w:sectPr>
      <w:pgSz w:w="16838" w:h="11906" w:orient="landscape"/>
      <w:pgMar w:top="1576" w:right="1440" w:bottom="1519"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ED461C"/>
    <w:multiLevelType w:val="singleLevel"/>
    <w:tmpl w:val="EDED461C"/>
    <w:lvl w:ilvl="0" w:tentative="0">
      <w:start w:val="4"/>
      <w:numFmt w:val="chineseCounting"/>
      <w:suff w:val="nothing"/>
      <w:lvlText w:val="（%1）"/>
      <w:lvlJc w:val="left"/>
      <w:rPr>
        <w:rFonts w:hint="eastAsia"/>
      </w:rPr>
    </w:lvl>
  </w:abstractNum>
  <w:abstractNum w:abstractNumId="1">
    <w:nsid w:val="FFFE4614"/>
    <w:multiLevelType w:val="singleLevel"/>
    <w:tmpl w:val="FFFE4614"/>
    <w:lvl w:ilvl="0" w:tentative="0">
      <w:start w:val="2"/>
      <w:numFmt w:val="chineseCounting"/>
      <w:suff w:val="nothing"/>
      <w:lvlText w:val="%1、"/>
      <w:lvlJc w:val="left"/>
      <w:rPr>
        <w:rFonts w:hint="eastAsia"/>
      </w:rPr>
    </w:lvl>
  </w:abstractNum>
  <w:abstractNum w:abstractNumId="2">
    <w:nsid w:val="3C40B0B6"/>
    <w:multiLevelType w:val="singleLevel"/>
    <w:tmpl w:val="3C40B0B6"/>
    <w:lvl w:ilvl="0" w:tentative="0">
      <w:start w:val="2"/>
      <w:numFmt w:val="chineseCounting"/>
      <w:suff w:val="nothing"/>
      <w:lvlText w:val="（%1）"/>
      <w:lvlJc w:val="left"/>
      <w:pPr>
        <w:ind w:left="-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4D"/>
    <w:rsid w:val="00010C40"/>
    <w:rsid w:val="000606FB"/>
    <w:rsid w:val="00092052"/>
    <w:rsid w:val="000B0E42"/>
    <w:rsid w:val="000C18E2"/>
    <w:rsid w:val="001006AE"/>
    <w:rsid w:val="00151870"/>
    <w:rsid w:val="00196B0D"/>
    <w:rsid w:val="001D310A"/>
    <w:rsid w:val="001D74FB"/>
    <w:rsid w:val="001F1A21"/>
    <w:rsid w:val="002357B2"/>
    <w:rsid w:val="00243C19"/>
    <w:rsid w:val="002F42E4"/>
    <w:rsid w:val="00325262"/>
    <w:rsid w:val="003F255E"/>
    <w:rsid w:val="00405382"/>
    <w:rsid w:val="004067E2"/>
    <w:rsid w:val="00414FEC"/>
    <w:rsid w:val="00472FC7"/>
    <w:rsid w:val="0047654A"/>
    <w:rsid w:val="004B0F2D"/>
    <w:rsid w:val="00517DBD"/>
    <w:rsid w:val="005449F1"/>
    <w:rsid w:val="00577077"/>
    <w:rsid w:val="005C3E83"/>
    <w:rsid w:val="005D0E7E"/>
    <w:rsid w:val="005E237F"/>
    <w:rsid w:val="005F12E6"/>
    <w:rsid w:val="006E6503"/>
    <w:rsid w:val="00732F22"/>
    <w:rsid w:val="007F29A7"/>
    <w:rsid w:val="008270B2"/>
    <w:rsid w:val="00852E4B"/>
    <w:rsid w:val="00877792"/>
    <w:rsid w:val="008B437C"/>
    <w:rsid w:val="008C1CDF"/>
    <w:rsid w:val="008F1563"/>
    <w:rsid w:val="00940A4D"/>
    <w:rsid w:val="009748A2"/>
    <w:rsid w:val="00987DB6"/>
    <w:rsid w:val="009D0CFA"/>
    <w:rsid w:val="00AC7E2C"/>
    <w:rsid w:val="00AD14EB"/>
    <w:rsid w:val="00AD5EAB"/>
    <w:rsid w:val="00AE736D"/>
    <w:rsid w:val="00B3504F"/>
    <w:rsid w:val="00B379D4"/>
    <w:rsid w:val="00BE48F4"/>
    <w:rsid w:val="00C61252"/>
    <w:rsid w:val="00C63F69"/>
    <w:rsid w:val="00C83B40"/>
    <w:rsid w:val="00D87A85"/>
    <w:rsid w:val="00E21114"/>
    <w:rsid w:val="00E35E07"/>
    <w:rsid w:val="00E764EB"/>
    <w:rsid w:val="00EE0B93"/>
    <w:rsid w:val="00FB2E82"/>
    <w:rsid w:val="01DD0520"/>
    <w:rsid w:val="01EF63ED"/>
    <w:rsid w:val="02F17E59"/>
    <w:rsid w:val="042C2DC4"/>
    <w:rsid w:val="045D3C1C"/>
    <w:rsid w:val="05202052"/>
    <w:rsid w:val="05FB1873"/>
    <w:rsid w:val="06CF6253"/>
    <w:rsid w:val="09604E50"/>
    <w:rsid w:val="097B47B2"/>
    <w:rsid w:val="099930CC"/>
    <w:rsid w:val="0C2E5A5A"/>
    <w:rsid w:val="0C312A87"/>
    <w:rsid w:val="0DDE2D1F"/>
    <w:rsid w:val="10295D90"/>
    <w:rsid w:val="106856AF"/>
    <w:rsid w:val="144712F9"/>
    <w:rsid w:val="15412021"/>
    <w:rsid w:val="15512914"/>
    <w:rsid w:val="15EB1528"/>
    <w:rsid w:val="17073847"/>
    <w:rsid w:val="193B174A"/>
    <w:rsid w:val="194671C5"/>
    <w:rsid w:val="19637098"/>
    <w:rsid w:val="19881963"/>
    <w:rsid w:val="1B9A64CC"/>
    <w:rsid w:val="1E1E7B7A"/>
    <w:rsid w:val="1E767FFC"/>
    <w:rsid w:val="1F1C1C8F"/>
    <w:rsid w:val="21CA6BF8"/>
    <w:rsid w:val="22487F27"/>
    <w:rsid w:val="22E03C47"/>
    <w:rsid w:val="23485ED3"/>
    <w:rsid w:val="24CA7ADA"/>
    <w:rsid w:val="24F153F5"/>
    <w:rsid w:val="25110496"/>
    <w:rsid w:val="25AC3CCD"/>
    <w:rsid w:val="25CD10B3"/>
    <w:rsid w:val="25D855C0"/>
    <w:rsid w:val="25F921C7"/>
    <w:rsid w:val="263629D4"/>
    <w:rsid w:val="26560945"/>
    <w:rsid w:val="273C33C4"/>
    <w:rsid w:val="273D1C22"/>
    <w:rsid w:val="27D81B1D"/>
    <w:rsid w:val="27E21E97"/>
    <w:rsid w:val="28EA65F9"/>
    <w:rsid w:val="29056464"/>
    <w:rsid w:val="29453DE1"/>
    <w:rsid w:val="2A233BB7"/>
    <w:rsid w:val="2BE61CA3"/>
    <w:rsid w:val="2C0640B6"/>
    <w:rsid w:val="2C5875E4"/>
    <w:rsid w:val="2CB815BF"/>
    <w:rsid w:val="2CBC2346"/>
    <w:rsid w:val="2D14302D"/>
    <w:rsid w:val="2D72719F"/>
    <w:rsid w:val="2ED003AB"/>
    <w:rsid w:val="2FFF7B23"/>
    <w:rsid w:val="31076CBE"/>
    <w:rsid w:val="31EB0B04"/>
    <w:rsid w:val="32546C54"/>
    <w:rsid w:val="335E637E"/>
    <w:rsid w:val="339A6592"/>
    <w:rsid w:val="33AF138F"/>
    <w:rsid w:val="34104C8A"/>
    <w:rsid w:val="34FA7F32"/>
    <w:rsid w:val="35AA77AB"/>
    <w:rsid w:val="361779F9"/>
    <w:rsid w:val="362D3688"/>
    <w:rsid w:val="36D31EDD"/>
    <w:rsid w:val="39057A15"/>
    <w:rsid w:val="3A0D5E15"/>
    <w:rsid w:val="3A6B69EC"/>
    <w:rsid w:val="3AC82E9F"/>
    <w:rsid w:val="3B3356C6"/>
    <w:rsid w:val="3B7A0673"/>
    <w:rsid w:val="3BFF27D8"/>
    <w:rsid w:val="3C667BED"/>
    <w:rsid w:val="3CF838CD"/>
    <w:rsid w:val="3D0E2280"/>
    <w:rsid w:val="3D150253"/>
    <w:rsid w:val="3DAE3D18"/>
    <w:rsid w:val="3E283987"/>
    <w:rsid w:val="3EA0558B"/>
    <w:rsid w:val="3EB82B98"/>
    <w:rsid w:val="3ED732FF"/>
    <w:rsid w:val="3FA54A40"/>
    <w:rsid w:val="40F046DB"/>
    <w:rsid w:val="41113360"/>
    <w:rsid w:val="42710202"/>
    <w:rsid w:val="44466119"/>
    <w:rsid w:val="44ED01A3"/>
    <w:rsid w:val="463C0E7F"/>
    <w:rsid w:val="46B93055"/>
    <w:rsid w:val="46BD1DEA"/>
    <w:rsid w:val="47334B1D"/>
    <w:rsid w:val="483B1C22"/>
    <w:rsid w:val="48FE2DF0"/>
    <w:rsid w:val="4A3760E3"/>
    <w:rsid w:val="4ADC6276"/>
    <w:rsid w:val="4B7E2AB0"/>
    <w:rsid w:val="4CD30664"/>
    <w:rsid w:val="4D5E0DDF"/>
    <w:rsid w:val="4D7341D2"/>
    <w:rsid w:val="4D806A2C"/>
    <w:rsid w:val="50594F30"/>
    <w:rsid w:val="508C05FD"/>
    <w:rsid w:val="50AC3F74"/>
    <w:rsid w:val="50C21329"/>
    <w:rsid w:val="51C13AC8"/>
    <w:rsid w:val="549E7DFA"/>
    <w:rsid w:val="5584142B"/>
    <w:rsid w:val="55C62AAD"/>
    <w:rsid w:val="56984966"/>
    <w:rsid w:val="57BF367C"/>
    <w:rsid w:val="581D47E9"/>
    <w:rsid w:val="5865528A"/>
    <w:rsid w:val="59CB19C5"/>
    <w:rsid w:val="59E855CC"/>
    <w:rsid w:val="5BDC5BE2"/>
    <w:rsid w:val="5CB70273"/>
    <w:rsid w:val="5D3A2248"/>
    <w:rsid w:val="5D42551D"/>
    <w:rsid w:val="5D4E6025"/>
    <w:rsid w:val="5E1712C3"/>
    <w:rsid w:val="5E2D432E"/>
    <w:rsid w:val="5EBDE685"/>
    <w:rsid w:val="5FB503B4"/>
    <w:rsid w:val="615A73AD"/>
    <w:rsid w:val="629714E8"/>
    <w:rsid w:val="636318A1"/>
    <w:rsid w:val="63C015EF"/>
    <w:rsid w:val="647B41BD"/>
    <w:rsid w:val="64F775CB"/>
    <w:rsid w:val="653F55AE"/>
    <w:rsid w:val="658144C4"/>
    <w:rsid w:val="66450ACF"/>
    <w:rsid w:val="668800C7"/>
    <w:rsid w:val="67660F67"/>
    <w:rsid w:val="67B47430"/>
    <w:rsid w:val="67E86929"/>
    <w:rsid w:val="685C6CA0"/>
    <w:rsid w:val="690E018F"/>
    <w:rsid w:val="6A062491"/>
    <w:rsid w:val="6A4774A4"/>
    <w:rsid w:val="6A800B4A"/>
    <w:rsid w:val="6C13440A"/>
    <w:rsid w:val="6D044EAA"/>
    <w:rsid w:val="6DCD421B"/>
    <w:rsid w:val="6DEA5580"/>
    <w:rsid w:val="6ECA6F94"/>
    <w:rsid w:val="6F526EB7"/>
    <w:rsid w:val="6F5E59DE"/>
    <w:rsid w:val="6F681F8E"/>
    <w:rsid w:val="6F714F03"/>
    <w:rsid w:val="703B0DDD"/>
    <w:rsid w:val="70C44D18"/>
    <w:rsid w:val="70F658CB"/>
    <w:rsid w:val="717B5BF3"/>
    <w:rsid w:val="718819FF"/>
    <w:rsid w:val="72043BEA"/>
    <w:rsid w:val="73873BD8"/>
    <w:rsid w:val="741165FA"/>
    <w:rsid w:val="74251FF7"/>
    <w:rsid w:val="747F20F6"/>
    <w:rsid w:val="74B46997"/>
    <w:rsid w:val="753407B5"/>
    <w:rsid w:val="75CA1ED4"/>
    <w:rsid w:val="788D61D1"/>
    <w:rsid w:val="797D0FC0"/>
    <w:rsid w:val="79D52ABE"/>
    <w:rsid w:val="7A0D1C8D"/>
    <w:rsid w:val="7A7C6A60"/>
    <w:rsid w:val="7B0A78AD"/>
    <w:rsid w:val="7B130548"/>
    <w:rsid w:val="7CAD1691"/>
    <w:rsid w:val="7DFC0F7D"/>
    <w:rsid w:val="7E256E5E"/>
    <w:rsid w:val="7FA12DC7"/>
    <w:rsid w:val="F72FDC79"/>
    <w:rsid w:val="FDFF0A5E"/>
    <w:rsid w:val="FFBEF9E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
    <w:qFormat/>
    <w:uiPriority w:val="0"/>
    <w:pPr>
      <w:keepNext/>
      <w:keepLines/>
      <w:jc w:val="center"/>
      <w:outlineLvl w:val="0"/>
    </w:pPr>
    <w:rPr>
      <w:rFonts w:ascii="Times New Roman" w:hAnsi="Times New Roman" w:eastAsia="宋体" w:cs="Times New Roman"/>
      <w:b/>
      <w:kern w:val="44"/>
      <w:sz w:val="32"/>
      <w:szCs w:val="44"/>
    </w:rPr>
  </w:style>
  <w:style w:type="paragraph" w:styleId="5">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标题 3 + (中文) 黑体 小四 非加粗 段前: 7.8 磅 段后: 0 磅 行距: 固定值 20 磅"/>
    <w:basedOn w:val="3"/>
    <w:qFormat/>
    <w:uiPriority w:val="0"/>
    <w:pPr>
      <w:numPr>
        <w:ilvl w:val="0"/>
        <w:numId w:val="0"/>
      </w:numPr>
      <w:tabs>
        <w:tab w:val="left" w:pos="2160"/>
      </w:tabs>
      <w:spacing w:before="0" w:after="0" w:line="400" w:lineRule="exact"/>
    </w:pPr>
    <w:rPr>
      <w:rFonts w:ascii="Times New Roman" w:eastAsia="黑体"/>
      <w:b w:val="0"/>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szCs w:val="21"/>
    </w:rPr>
  </w:style>
  <w:style w:type="paragraph" w:styleId="8">
    <w:name w:val="Balloon Text"/>
    <w:basedOn w:val="1"/>
    <w:link w:val="23"/>
    <w:semiHidden/>
    <w:unhideWhenUsed/>
    <w:qFormat/>
    <w:uiPriority w:val="0"/>
    <w:rPr>
      <w:sz w:val="18"/>
      <w:szCs w:val="18"/>
    </w:rPr>
  </w:style>
  <w:style w:type="paragraph" w:styleId="9">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12">
    <w:name w:val="toc 2"/>
    <w:basedOn w:val="1"/>
    <w:next w:val="1"/>
    <w:qFormat/>
    <w:uiPriority w:val="39"/>
    <w:pPr>
      <w:ind w:firstLine="200" w:firstLineChars="200"/>
      <w:jc w:val="left"/>
    </w:pPr>
    <w:rPr>
      <w:smallCaps/>
      <w:sz w:val="28"/>
      <w:szCs w:val="20"/>
    </w:rPr>
  </w:style>
  <w:style w:type="paragraph" w:styleId="13">
    <w:name w:val="Body Text First Indent 2"/>
    <w:basedOn w:val="6"/>
    <w:unhideWhenUsed/>
    <w:qFormat/>
    <w:uiPriority w:val="99"/>
    <w:pPr>
      <w:ind w:firstLine="420" w:firstLineChars="200"/>
    </w:pPr>
  </w:style>
  <w:style w:type="character" w:styleId="16">
    <w:name w:val="Hyperlink"/>
    <w:qFormat/>
    <w:uiPriority w:val="99"/>
    <w:rPr>
      <w:rFonts w:ascii="Times New Roman" w:hAnsi="Times New Roman" w:eastAsia="宋体" w:cs="Times New Roman"/>
      <w:color w:val="0000FF"/>
      <w:u w:val="single"/>
    </w:rPr>
  </w:style>
  <w:style w:type="character" w:customStyle="1" w:styleId="17">
    <w:name w:val="标题 1 Char"/>
    <w:basedOn w:val="15"/>
    <w:link w:val="4"/>
    <w:qFormat/>
    <w:uiPriority w:val="0"/>
    <w:rPr>
      <w:rFonts w:ascii="Times New Roman" w:hAnsi="Times New Roman" w:eastAsia="宋体" w:cs="Times New Roman"/>
      <w:b/>
      <w:kern w:val="44"/>
      <w:sz w:val="32"/>
      <w:szCs w:val="44"/>
      <w:lang w:val="en-US" w:eastAsia="zh-CN" w:bidi="ar-SA"/>
    </w:rPr>
  </w:style>
  <w:style w:type="paragraph" w:customStyle="1" w:styleId="18">
    <w:name w:val="正文缩进_0"/>
    <w:basedOn w:val="19"/>
    <w:unhideWhenUsed/>
    <w:qFormat/>
    <w:uiPriority w:val="0"/>
    <w:pPr>
      <w:ind w:firstLine="420" w:firstLineChars="200"/>
    </w:pPr>
    <w:rPr>
      <w:rFonts w:ascii="Calibri" w:hAnsi="Calibri"/>
      <w:kern w:val="0"/>
      <w:sz w:val="20"/>
      <w:szCs w:val="20"/>
    </w:rPr>
  </w:style>
  <w:style w:type="paragraph" w:customStyle="1" w:styleId="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页眉 Char"/>
    <w:basedOn w:val="15"/>
    <w:link w:val="10"/>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批注框文本 Char"/>
    <w:basedOn w:val="15"/>
    <w:link w:val="8"/>
    <w:semiHidden/>
    <w:qFormat/>
    <w:uiPriority w:val="0"/>
    <w:rPr>
      <w:rFonts w:asciiTheme="minorHAnsi" w:hAnsiTheme="minorHAnsi" w:eastAsiaTheme="minorEastAsia" w:cstheme="minorBidi"/>
      <w:kern w:val="2"/>
      <w:sz w:val="18"/>
      <w:szCs w:val="18"/>
    </w:rPr>
  </w:style>
  <w:style w:type="paragraph" w:customStyle="1" w:styleId="24">
    <w:name w:val="标题 1_0"/>
    <w:basedOn w:val="25"/>
    <w:next w:val="25"/>
    <w:qFormat/>
    <w:uiPriority w:val="9"/>
    <w:pPr>
      <w:keepNext/>
      <w:keepLines/>
      <w:spacing w:before="340" w:after="330" w:line="578" w:lineRule="auto"/>
      <w:jc w:val="center"/>
      <w:outlineLvl w:val="0"/>
    </w:pPr>
    <w:rPr>
      <w:rFonts w:ascii="Calibri" w:hAnsi="Calibri"/>
      <w:b/>
      <w:bCs/>
      <w:kern w:val="44"/>
      <w:sz w:val="44"/>
      <w:szCs w:val="44"/>
    </w:rPr>
  </w:style>
  <w:style w:type="paragraph" w:customStyle="1" w:styleId="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0_0"/>
    <w:qFormat/>
    <w:uiPriority w:val="0"/>
    <w:pPr>
      <w:widowControl w:val="0"/>
      <w:ind w:firstLine="420" w:firstLineChars="200"/>
      <w:jc w:val="both"/>
    </w:pPr>
    <w:rPr>
      <w:rFonts w:ascii="Times New Roman" w:hAnsi="Times New Roman" w:eastAsia="Times New Roman" w:cs="Times New Roman"/>
      <w:lang w:bidi="ar-SA"/>
    </w:rPr>
  </w:style>
  <w:style w:type="paragraph" w:customStyle="1" w:styleId="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
    <w:basedOn w:val="27"/>
    <w:next w:val="27"/>
    <w:unhideWhenUsed/>
    <w:qFormat/>
    <w:uiPriority w:val="0"/>
    <w:pPr>
      <w:keepNext/>
      <w:keepLines/>
      <w:spacing w:before="260" w:after="260" w:line="416" w:lineRule="auto"/>
      <w:outlineLvl w:val="2"/>
    </w:pPr>
    <w:rPr>
      <w:rFonts w:ascii="Calibri" w:hAnsi="Calibri" w:eastAsia="宋体"/>
      <w:b/>
      <w:bCs/>
      <w:sz w:val="32"/>
      <w:szCs w:val="32"/>
    </w:rPr>
  </w:style>
  <w:style w:type="paragraph" w:customStyle="1" w:styleId="29">
    <w:name w:val="标题 2_1"/>
    <w:basedOn w:val="30"/>
    <w:next w:val="31"/>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缩进_0_0"/>
    <w:basedOn w:val="30"/>
    <w:unhideWhenUsed/>
    <w:qFormat/>
    <w:uiPriority w:val="0"/>
    <w:pPr>
      <w:ind w:firstLine="420" w:firstLineChars="200"/>
    </w:pPr>
    <w:rPr>
      <w:rFonts w:ascii="Calibri" w:hAnsi="Calibri" w:eastAsia="宋体"/>
    </w:rPr>
  </w:style>
  <w:style w:type="paragraph" w:customStyle="1" w:styleId="32">
    <w:name w:val="BodyText1I2"/>
    <w:basedOn w:val="33"/>
    <w:qFormat/>
    <w:uiPriority w:val="0"/>
    <w:pPr>
      <w:ind w:firstLine="420" w:firstLineChars="200"/>
    </w:pPr>
  </w:style>
  <w:style w:type="paragraph" w:customStyle="1" w:styleId="33">
    <w:name w:val="BodyTextIndent"/>
    <w:basedOn w:val="1"/>
    <w:qFormat/>
    <w:uiPriority w:val="0"/>
    <w:pPr>
      <w:ind w:firstLine="615"/>
    </w:pPr>
    <w:rPr>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1090</Words>
  <Characters>6216</Characters>
  <Lines>51</Lines>
  <Paragraphs>14</Paragraphs>
  <TotalTime>2</TotalTime>
  <ScaleCrop>false</ScaleCrop>
  <LinksUpToDate>false</LinksUpToDate>
  <CharactersWithSpaces>7292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NTKO</cp:lastModifiedBy>
  <cp:lastPrinted>2021-04-13T16:57:00Z</cp:lastPrinted>
  <dcterms:modified xsi:type="dcterms:W3CDTF">2022-09-02T05:02:23Z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