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pStyle w:val="2"/>
        <w:jc w:val="center"/>
        <w:rPr>
          <w:rFonts w:hint="default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宜昌市海绵城市建设工程验收管理实施细则</w:t>
      </w:r>
    </w:p>
    <w:p>
      <w:pPr>
        <w:spacing w:line="540" w:lineRule="exact"/>
        <w:ind w:firstLine="64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为落实《国务院办公厅关于推进海绵城市建设的指导意见》（国办发〔2015〕75号）、《湖北省人民政府办公厅关于推进海绵城市建设的实施意见》（鄂政办发〔2017〕33号）等文件要求，依据《建设工程质量管理条例》以及市政府办公室《宜昌市城区海绵城市建设管理办法》（宜府办发〔2020〕56号）等法规和文件，规范海绵城市建设工程的验收流程，结合我市实际，制定本细则。现将有关事项通知如下：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本细则适用于宜昌市城区城市规划区范围内新、改、扩建项目中的海绵城市建设工程验收工作。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市住建局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负责指导市属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房屋建筑和市政工程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海绵城市建设工程的验收工作，具体工作委托市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量监督机构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组织实施。各区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、宜昌高新区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受理监督项目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的海绵城市建设工程验收工作。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中海绵设施包括但不限于：透水铺装，生物滞留设施(雨水花园、生物滞留带、生态树池)，下沉式绿地，绿色屋顶，植草沟，植被缓冲带，雨水渗透设施(雨水渗透池/塘、渗井、渗管/渠)，湿塘，雨水湿地，雨水调蓄设施(雨水调蓄池、雨水罐、调节塘，调节池)，初期雨水弃流设施、人工土壤渗滤等雨水“渗、滞、蓄、净、用、排”设施及其附属设施。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海绵设施的专项验收应在施工单位自检合格后，按检验批、分项工程、分部（子分部）工程的循序进行。施工前，施工单位应制定分项工程和检验批划分方案（参见表一），并报监理单位审核。</w:t>
      </w: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表一 分项、分部工程划分表</w:t>
      </w:r>
    </w:p>
    <w:tbl>
      <w:tblPr>
        <w:tblStyle w:val="3"/>
        <w:tblpPr w:leftFromText="180" w:rightFromText="180" w:vertAnchor="text" w:horzAnchor="page" w:tblpX="2130" w:tblpY="149"/>
        <w:tblOverlap w:val="never"/>
        <w:tblW w:w="8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692"/>
        <w:gridCol w:w="3537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分部工程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子分部工程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分项工程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检验批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建筑与小区、城市道路、公园绿地、城市水系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渗滞措施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透水铺装、透水路面、绿化屋顶、生物滞留设施、渗井等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每个单项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转输与截污措施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植草沟、导流设施、植物缓冲带、初期雨水弃流设施、人工土壤渗滤设施等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每个单项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调储措施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蓄水池、渗透塘、调节池、湿塘、雨水湿地、调蓄池、雨水罐等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每个单项</w:t>
            </w:r>
          </w:p>
        </w:tc>
      </w:tr>
    </w:tbl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海绵城市建设工程实施过程中，应严格按照审查合格后的设计文件实施建设，建设单位对海绵城市工程建设有效性负责，建设效果应符合国家海绵城市建设相关要求及评价标准。海绵城市建设工程应组织专项验收，验收工作应符合国家、湖北省以及宜昌市相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和标准规范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海绵城市专项工程完工后，应由监理单位组织建设、施工、设计等参建单位项目负责人进行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，重点对海绵城市设施布局、规模、竖向、溢流排水口等关键环节进行核查，对发现的问题整改完成后，申请专项验收。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合格后，由建设单位组织施工单位、设计单位、监理单位等相关单位项目负责人开展专项验收，并提前三个工作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通知工程质量监督机构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、市海绵城市建设服务中心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验收，专项验收主要包括资料核查和现场核验两部分，资料核验主要包括项目前期报建资料、施工全过程管理资料、关键节点和重要工序影像资料等；现场核查主要抽查生物滞留设施、下凹式绿地、植草沟、透水铺装等海绵设施按图施工情况以及完成质量情况，并形成统一验收意见（参附件1）。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专项验收的前提条件应包含不限于以下内容：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（一）施工单位完成设计文件及合同约定内容，施工单位完成自检，对存在的问题已整改完成，预验收合格；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（二）各子分部、分项工程验收合格；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（三）质量控制资料齐全，各项检验、检测报告齐全且合格；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（四）主要使用功能符合相关规范标准要求；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（五）观感质量符合相关要求。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各级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工程质量监督机构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、市海绵城市建设服务中心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主要对海绵城市项目专项验收的组织形式、验收程序、执行标准等情况进行监督，符合要求的，三个工作日出具验收监督意见书（参附件2）。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水利、交通、城管、园林等部门负责的</w:t>
      </w:r>
      <w:r>
        <w:rPr>
          <w:rFonts w:hint="eastAsia" w:ascii="仿宋_GB2312" w:hAnsi="仿宋_GB2312" w:eastAsia="仿宋_GB2312" w:cs="仿宋_GB2312"/>
          <w:sz w:val="32"/>
          <w:szCs w:val="32"/>
        </w:rPr>
        <w:t>海绵城市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项目专项验收由其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工程质量监督机构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和市海绵城市建设服务中心负责实施。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未组织实施海绵城市工程专项验收或验收不合格的，不得组织竣工验收，不得交付使用。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本细则由市住建局负责解释，自发布之日起执行。</w:t>
      </w:r>
    </w:p>
    <w:p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</w:p>
    <w:tbl>
      <w:tblPr>
        <w:tblStyle w:val="3"/>
        <w:tblW w:w="8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397"/>
        <w:gridCol w:w="1230"/>
        <w:gridCol w:w="589"/>
        <w:gridCol w:w="589"/>
        <w:gridCol w:w="1325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附件1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 xml:space="preserve">        海绵城市专项验收意见书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工程名称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工程地点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项目规模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海绵投资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开工日期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验收日期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建设单位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勘察单位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设计单位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施工单位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监理单位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监督机构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海绵建设指标验收情况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指标名称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图审指标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完成指标</w:t>
            </w:r>
          </w:p>
        </w:tc>
      </w:tr>
      <w:tr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年径流总量控制率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年径流污染控制率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可透水地面面积比例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雨水资源化利用量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.....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主要海绵设施验收情况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设施名称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图审规模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完成规模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设施名称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图审规模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完成规模</w:t>
            </w:r>
          </w:p>
        </w:tc>
      </w:tr>
      <w:tr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透水铺装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.....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透水路面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.....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绿化屋顶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.....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生物滞留设施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.....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初期雨水弃流设施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.....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植物缓冲带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.....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.....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.....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施工单位验收意见</w:t>
            </w:r>
          </w:p>
        </w:tc>
        <w:tc>
          <w:tcPr>
            <w:tcW w:w="6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　　                    （公章） </w:t>
            </w:r>
            <w:r>
              <w:rPr>
                <w:rStyle w:val="5"/>
                <w:rFonts w:hint="default"/>
                <w:lang w:bidi="ar"/>
              </w:rPr>
              <w:t xml:space="preserve">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监理单位验收意见</w:t>
            </w:r>
          </w:p>
        </w:tc>
        <w:tc>
          <w:tcPr>
            <w:tcW w:w="6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　　                    （公章） </w:t>
            </w:r>
            <w:r>
              <w:rPr>
                <w:rStyle w:val="5"/>
                <w:rFonts w:hint="default"/>
                <w:lang w:bidi="ar"/>
              </w:rPr>
              <w:t xml:space="preserve">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设计单位验收意见</w:t>
            </w:r>
          </w:p>
        </w:tc>
        <w:tc>
          <w:tcPr>
            <w:tcW w:w="6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　　                    （公章） </w:t>
            </w:r>
            <w:r>
              <w:rPr>
                <w:rStyle w:val="5"/>
                <w:rFonts w:hint="default"/>
                <w:lang w:bidi="ar"/>
              </w:rPr>
              <w:t xml:space="preserve">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建设单位验收意见</w:t>
            </w:r>
          </w:p>
        </w:tc>
        <w:tc>
          <w:tcPr>
            <w:tcW w:w="6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　　                    （公章） </w:t>
            </w:r>
            <w:r>
              <w:rPr>
                <w:rStyle w:val="5"/>
                <w:rFonts w:hint="default"/>
                <w:lang w:bidi="ar"/>
              </w:rPr>
              <w:t xml:space="preserve">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　　验收结论</w:t>
            </w:r>
          </w:p>
        </w:tc>
        <w:tc>
          <w:tcPr>
            <w:tcW w:w="633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633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</w:tbl>
    <w:p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tbl>
      <w:tblPr>
        <w:tblStyle w:val="3"/>
        <w:tblW w:w="87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385"/>
        <w:gridCol w:w="1356"/>
        <w:gridCol w:w="27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海绵城市专项验收监督意见书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工程名称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工程地点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项目规模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海绵投资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开工日期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验收日期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建设单位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勘察单位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设计单位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施工单位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监理单位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监督机构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海绵城市建设内容完成情况</w:t>
            </w:r>
          </w:p>
        </w:tc>
        <w:tc>
          <w:tcPr>
            <w:tcW w:w="6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验收组织形式、验收情况</w:t>
            </w:r>
          </w:p>
        </w:tc>
        <w:tc>
          <w:tcPr>
            <w:tcW w:w="6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参建单位验收意见</w:t>
            </w:r>
          </w:p>
        </w:tc>
        <w:tc>
          <w:tcPr>
            <w:tcW w:w="6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　监督意见</w:t>
            </w:r>
          </w:p>
        </w:tc>
        <w:tc>
          <w:tcPr>
            <w:tcW w:w="6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 xml:space="preserve">　　                                                        </w:t>
            </w:r>
          </w:p>
        </w:tc>
      </w:tr>
    </w:tbl>
    <w:p>
      <w:pPr>
        <w:spacing w:line="540" w:lineRule="exact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2022-10-15T06:39:06Z</dcterms:created>
  <dc:creator>Administrator</dc:creator>
  <cp:lastModifiedBy>NTKO</cp:lastModifiedBy>
  <dcterms:modified xsi:type="dcterms:W3CDTF">2022-10-15T06:39:15Z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