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600" w:lineRule="exact"/>
        <w:ind w:firstLine="0"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spacing w:line="600" w:lineRule="exact"/>
        <w:ind w:firstLine="0" w:firstLineChars="0"/>
        <w:jc w:val="center"/>
        <w:rPr>
          <w:rFonts w:ascii="方正小标宋简体" w:hAnsi="方正小标宋简体" w:eastAsia="方正小标宋简体" w:cs="方正小标宋简体"/>
          <w:sz w:val="44"/>
          <w:szCs w:val="44"/>
        </w:rPr>
      </w:pPr>
      <w:r>
        <w:rPr>
          <w:rFonts w:hint="default" w:ascii="Times New Roman" w:hAnsi="Times New Roman" w:eastAsia="方正小标宋简体" w:cs="Times New Roman"/>
          <w:color w:val="auto"/>
          <w:sz w:val="44"/>
          <w:szCs w:val="44"/>
        </w:rPr>
        <w:t>宜昌市海绵城市建设工作考核办法</w:t>
      </w:r>
    </w:p>
    <w:p>
      <w:pPr>
        <w:spacing w:line="600" w:lineRule="exact"/>
        <w:ind w:firstLine="0" w:firstLineChars="0"/>
        <w:jc w:val="center"/>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rPr>
        <w:t>试行</w:t>
      </w:r>
      <w:r>
        <w:rPr>
          <w:rFonts w:ascii="Times New Roman" w:hAnsi="Times New Roman" w:eastAsia="楷体_GB2312" w:cs="Times New Roman"/>
          <w:color w:val="auto"/>
          <w:sz w:val="32"/>
          <w:szCs w:val="32"/>
        </w:rPr>
        <w:t>)</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color w:val="auto"/>
          <w:sz w:val="32"/>
          <w:szCs w:val="32"/>
        </w:rPr>
        <w:t>为扎实推进我市系统化全域海绵城市建设国家示范工作，重点聚焦解决城市防洪排涝的难题，根据《国务院办公厅关于推进海绵城市建设的指导意见》（国办发〔</w:t>
      </w:r>
      <w:r>
        <w:rPr>
          <w:rFonts w:ascii="Times New Roman" w:hAnsi="Times New Roman" w:eastAsia="仿宋_GB2312" w:cs="Times New Roman"/>
          <w:color w:val="auto"/>
          <w:sz w:val="32"/>
          <w:szCs w:val="32"/>
        </w:rPr>
        <w:t>2015</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 xml:space="preserve">75 </w:t>
      </w:r>
      <w:r>
        <w:rPr>
          <w:rFonts w:hint="default" w:ascii="Times New Roman" w:hAnsi="Times New Roman" w:eastAsia="仿宋_GB2312" w:cs="Times New Roman"/>
          <w:color w:val="auto"/>
          <w:sz w:val="32"/>
          <w:szCs w:val="32"/>
        </w:rPr>
        <w:t>号）、《住房城乡建设部办公厅关于印发海绵城市建设绩效评价与考核办法（试行）的通知》（建办城函〔</w:t>
      </w:r>
      <w:r>
        <w:rPr>
          <w:rFonts w:ascii="Times New Roman" w:hAnsi="Times New Roman" w:eastAsia="仿宋_GB2312" w:cs="Times New Roman"/>
          <w:color w:val="auto"/>
          <w:sz w:val="32"/>
          <w:szCs w:val="32"/>
        </w:rPr>
        <w:t>2015</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 xml:space="preserve">635 </w:t>
      </w:r>
      <w:r>
        <w:rPr>
          <w:rFonts w:hint="default" w:ascii="Times New Roman" w:hAnsi="Times New Roman" w:eastAsia="仿宋_GB2312" w:cs="Times New Roman"/>
          <w:color w:val="auto"/>
          <w:sz w:val="32"/>
          <w:szCs w:val="32"/>
        </w:rPr>
        <w:t>号）等文件规定，结合我市实际，特制定本办法</w:t>
      </w:r>
      <w:r>
        <w:rPr>
          <w:rFonts w:hint="eastAsia" w:ascii="仿宋_GB2312" w:hAnsi="仿宋_GB2312" w:eastAsia="仿宋_GB2312" w:cs="仿宋_GB2312"/>
          <w:sz w:val="32"/>
          <w:szCs w:val="32"/>
        </w:rPr>
        <w:t>。</w:t>
      </w:r>
    </w:p>
    <w:p>
      <w:pPr>
        <w:pStyle w:val="2"/>
        <w:spacing w:before="0" w:after="0" w:line="600"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一、考核对象</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（一）各区人民政府、管委会：西陵区、夷陵区、伍家岗区、点军区、猇亭区、</w:t>
      </w:r>
      <w:r>
        <w:rPr>
          <w:rFonts w:hint="eastAsia" w:ascii="Times New Roman" w:hAnsi="Times New Roman" w:eastAsia="仿宋_GB2312" w:cs="Times New Roman"/>
          <w:color w:val="auto"/>
          <w:sz w:val="32"/>
          <w:szCs w:val="32"/>
          <w:lang w:eastAsia="zh-CN"/>
        </w:rPr>
        <w:t>宜昌</w:t>
      </w:r>
      <w:r>
        <w:rPr>
          <w:rFonts w:hint="default" w:ascii="Times New Roman" w:hAnsi="Times New Roman" w:eastAsia="仿宋_GB2312" w:cs="Times New Roman"/>
          <w:color w:val="auto"/>
          <w:sz w:val="32"/>
          <w:szCs w:val="32"/>
        </w:rPr>
        <w:t>高新区管委会；</w:t>
      </w:r>
    </w:p>
    <w:p>
      <w:pPr>
        <w:spacing w:line="60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color w:val="auto"/>
          <w:sz w:val="32"/>
          <w:szCs w:val="32"/>
        </w:rPr>
        <w:t>（二）市级有关部门（单位）：市发改委、市财政局、市住房和城乡建设局、市水利和湖泊局、市城管委、市自然资源和规划局、市生态环境局、市林业局、市气象局、市交通运输局、市农业农村局、市教育局、市文化广电旅游局、市应急管理局、市审计局、市人防办等。</w:t>
      </w:r>
    </w:p>
    <w:p>
      <w:pPr>
        <w:pStyle w:val="2"/>
        <w:spacing w:before="0" w:after="0" w:line="600"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二、考核内容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default" w:ascii="Times New Roman" w:hAnsi="Times New Roman" w:eastAsia="仿宋_GB2312" w:cs="Times New Roman"/>
          <w:color w:val="auto"/>
          <w:sz w:val="32"/>
          <w:szCs w:val="32"/>
        </w:rPr>
        <w:t>有关法律、法规、规章、规范性文件等明确的海绵城市建设职能职责履行情况</w:t>
      </w:r>
      <w:r>
        <w:rPr>
          <w:rFonts w:ascii="Times New Roman" w:hAnsi="Times New Roman" w:eastAsia="仿宋_GB2312" w:cs="Times New Roman"/>
          <w:color w:val="auto"/>
          <w:sz w:val="32"/>
          <w:szCs w:val="32"/>
        </w:rPr>
        <w:t>;</w:t>
      </w:r>
    </w:p>
    <w:p>
      <w:pPr>
        <w:spacing w:line="600" w:lineRule="exact"/>
        <w:ind w:firstLine="640" w:firstLineChars="200"/>
        <w:rPr>
          <w:rFonts w:ascii="Times New Roman" w:hAnsi="Times New Roman" w:eastAsia="仿宋_GB2312" w:cs="Times New Roman"/>
          <w:color w:val="auto"/>
          <w:sz w:val="32"/>
          <w:szCs w:val="32"/>
        </w:rPr>
      </w:pPr>
      <w:r>
        <w:rPr>
          <w:rFonts w:hint="eastAsia" w:ascii="仿宋_GB2312" w:hAnsi="仿宋_GB2312" w:eastAsia="仿宋_GB2312" w:cs="仿宋_GB2312"/>
          <w:sz w:val="32"/>
          <w:szCs w:val="32"/>
        </w:rPr>
        <w:t>（二</w:t>
      </w:r>
      <w:r>
        <w:rPr>
          <w:rFonts w:hint="default" w:ascii="Times New Roman" w:hAnsi="Times New Roman" w:eastAsia="仿宋_GB2312" w:cs="Times New Roman"/>
          <w:color w:val="auto"/>
          <w:sz w:val="32"/>
          <w:szCs w:val="32"/>
        </w:rPr>
        <w:t>）海绵城市建设工作任务完成情况；</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（三）2022年至2024年海绵城市建设示范城市建设工作推进情况。</w:t>
      </w:r>
    </w:p>
    <w:p>
      <w:pPr>
        <w:pStyle w:val="2"/>
        <w:spacing w:before="0" w:after="0" w:line="600"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三、考核程序</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（一）此项考核纳入全市年度目标绩效考核体系，实行倒扣分制（最多不超过2分）。对照宜昌市海绵城市建设工作考评细则进行量化打分（见附件）。</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（二）各</w:t>
      </w:r>
      <w:r>
        <w:rPr>
          <w:rFonts w:hint="eastAsia" w:ascii="Times New Roman" w:hAnsi="Times New Roman" w:eastAsia="仿宋_GB2312" w:cs="Times New Roman"/>
          <w:color w:val="auto"/>
          <w:sz w:val="32"/>
          <w:szCs w:val="32"/>
          <w:lang w:eastAsia="zh-CN"/>
        </w:rPr>
        <w:t>有关</w:t>
      </w:r>
      <w:r>
        <w:rPr>
          <w:rFonts w:hint="default" w:ascii="Times New Roman" w:hAnsi="Times New Roman" w:eastAsia="仿宋_GB2312" w:cs="Times New Roman"/>
          <w:color w:val="auto"/>
          <w:sz w:val="32"/>
          <w:szCs w:val="32"/>
        </w:rPr>
        <w:t>单位于每月3日前将上月的海绵城市建设工作推进情况以书面形式报市政府政务督查室、市海绵城市建设工作领导小组办公室（以下简称市海绵办）、市海绵中心，市海绵办开展定期督查、随机抽查、定期通报。平时动态考核由市海绵办牵头组织落实，年度考核由市政府政务督查室会同市海绵办、海绵中心于当年12月底前组织实施，对照海绵城市建设工作考评细则量化打分。年度考核结果及季度督查情况将作为各</w:t>
      </w:r>
      <w:r>
        <w:rPr>
          <w:rFonts w:hint="eastAsia" w:ascii="Times New Roman" w:hAnsi="Times New Roman" w:eastAsia="仿宋_GB2312" w:cs="Times New Roman"/>
          <w:color w:val="auto"/>
          <w:sz w:val="32"/>
          <w:szCs w:val="32"/>
          <w:lang w:eastAsia="zh-CN"/>
        </w:rPr>
        <w:t>有</w:t>
      </w:r>
      <w:r>
        <w:rPr>
          <w:rFonts w:hint="default" w:ascii="Times New Roman" w:hAnsi="Times New Roman" w:eastAsia="仿宋_GB2312" w:cs="Times New Roman"/>
          <w:color w:val="auto"/>
          <w:sz w:val="32"/>
          <w:szCs w:val="32"/>
        </w:rPr>
        <w:t>关</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年度考核得分的重要依据。</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（三）海绵城市建设年度绩效评价与考核分两个阶段：</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自查阶段。海绵城市建设过程中，</w:t>
      </w:r>
      <w:r>
        <w:rPr>
          <w:rFonts w:hint="eastAsia" w:ascii="Times New Roman" w:hAnsi="Times New Roman" w:eastAsia="仿宋_GB2312" w:cs="Times New Roman"/>
          <w:color w:val="auto"/>
          <w:sz w:val="32"/>
          <w:szCs w:val="32"/>
          <w:lang w:eastAsia="zh-CN"/>
        </w:rPr>
        <w:t>各有关单位</w:t>
      </w:r>
      <w:r>
        <w:rPr>
          <w:rFonts w:hint="default" w:ascii="Times New Roman" w:hAnsi="Times New Roman" w:eastAsia="仿宋_GB2312" w:cs="Times New Roman"/>
          <w:color w:val="auto"/>
          <w:sz w:val="32"/>
          <w:szCs w:val="32"/>
        </w:rPr>
        <w:t>应做好海绵城市建设工作相关说明材料和佐证材料的整理、汇总和归档，按照海绵城市建设绩效评价与考核指标做好自评，每年进行一次，在当年</w:t>
      </w:r>
      <w:r>
        <w:rPr>
          <w:rFonts w:ascii="Times New Roman" w:hAnsi="Times New Roman" w:eastAsia="仿宋_GB2312" w:cs="Times New Roman"/>
          <w:color w:val="auto"/>
          <w:sz w:val="32"/>
          <w:szCs w:val="32"/>
        </w:rPr>
        <w:t>11</w:t>
      </w:r>
      <w:r>
        <w:rPr>
          <w:rFonts w:hint="default" w:ascii="Times New Roman" w:hAnsi="Times New Roman" w:eastAsia="仿宋_GB2312" w:cs="Times New Roman"/>
          <w:color w:val="auto"/>
          <w:sz w:val="32"/>
          <w:szCs w:val="32"/>
        </w:rPr>
        <w:t>月份组织实施。</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考核阶段。市海绵办采取资料查阅、现场复核等方式组织对</w:t>
      </w:r>
      <w:r>
        <w:rPr>
          <w:rFonts w:hint="eastAsia" w:ascii="Times New Roman" w:hAnsi="Times New Roman" w:eastAsia="仿宋_GB2312" w:cs="Times New Roman"/>
          <w:color w:val="auto"/>
          <w:sz w:val="32"/>
          <w:szCs w:val="32"/>
          <w:lang w:eastAsia="zh-CN"/>
        </w:rPr>
        <w:t>各有关单位</w:t>
      </w:r>
      <w:r>
        <w:rPr>
          <w:rFonts w:hint="default" w:ascii="Times New Roman" w:hAnsi="Times New Roman" w:eastAsia="仿宋_GB2312" w:cs="Times New Roman"/>
          <w:color w:val="auto"/>
          <w:sz w:val="32"/>
          <w:szCs w:val="32"/>
        </w:rPr>
        <w:t>上报的绩效评价与自查情况进行复核、考评，每年进行一次，在当年1</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月份组织实施。</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（四）对未按进度要求完成任务的单位进行通报并扣减目标分，对进度严重滞后的，将严格追究相关单位及人员责任。</w:t>
      </w:r>
    </w:p>
    <w:p>
      <w:pPr>
        <w:spacing w:line="60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color w:val="auto"/>
          <w:sz w:val="32"/>
          <w:szCs w:val="32"/>
        </w:rPr>
        <w:t>（五） 考评结果报送市政府政务督查室，并与</w:t>
      </w:r>
      <w:r>
        <w:rPr>
          <w:rFonts w:hint="eastAsia" w:ascii="Times New Roman" w:hAnsi="Times New Roman" w:eastAsia="仿宋_GB2312" w:cs="Times New Roman"/>
          <w:color w:val="auto"/>
          <w:sz w:val="32"/>
          <w:szCs w:val="32"/>
          <w:lang w:eastAsia="zh-CN"/>
        </w:rPr>
        <w:t>各有关单位</w:t>
      </w:r>
      <w:r>
        <w:rPr>
          <w:rFonts w:hint="default" w:ascii="Times New Roman" w:hAnsi="Times New Roman" w:eastAsia="仿宋_GB2312" w:cs="Times New Roman"/>
          <w:color w:val="auto"/>
          <w:sz w:val="32"/>
          <w:szCs w:val="32"/>
        </w:rPr>
        <w:t>年度考核得分以及下一年度海绵专项补助资金划拨挂钩。</w:t>
      </w:r>
    </w:p>
    <w:p>
      <w:pPr>
        <w:pStyle w:val="2"/>
        <w:spacing w:before="0" w:after="0" w:line="600"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四、考核原则</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（一）海绵城市建设绩效评价与考核，坚持客观公正、</w:t>
      </w:r>
      <w:r>
        <w:rPr>
          <w:rFonts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rPr>
        <w:t>科学规范、突出重点、注重实效、奖惩并举的原则；采取实地考察、查阅资料及监测数据分析相结合的方式。</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（二）对海绵城市建设绩效评价与考核工作中存在弄虚作假、瞒报、虚报及整改不到位等情况的地区，将予以通报，考核等级确定为不合格。</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（三）对考核结果和责任追究决定有异议的</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可以向作出考核结果和责任追究决定的</w:t>
      </w:r>
      <w:r>
        <w:rPr>
          <w:rFonts w:hint="eastAsia" w:ascii="Times New Roman" w:hAnsi="Times New Roman" w:eastAsia="仿宋_GB2312" w:cs="Times New Roman"/>
          <w:color w:val="auto"/>
          <w:sz w:val="32"/>
          <w:szCs w:val="32"/>
          <w:lang w:eastAsia="zh-CN"/>
        </w:rPr>
        <w:t>市海绵办</w:t>
      </w:r>
      <w:r>
        <w:rPr>
          <w:rFonts w:hint="default" w:ascii="Times New Roman" w:hAnsi="Times New Roman" w:eastAsia="仿宋_GB2312" w:cs="Times New Roman"/>
          <w:color w:val="auto"/>
          <w:sz w:val="32"/>
          <w:szCs w:val="32"/>
        </w:rPr>
        <w:t>提出书面申诉</w:t>
      </w:r>
      <w:r>
        <w:rPr>
          <w:rFonts w:hint="eastAsia" w:ascii="Times New Roman" w:hAnsi="Times New Roman" w:eastAsia="仿宋_GB2312" w:cs="Times New Roman"/>
          <w:color w:val="auto"/>
          <w:sz w:val="32"/>
          <w:szCs w:val="32"/>
          <w:lang w:eastAsia="zh-CN"/>
        </w:rPr>
        <w:t>，市海绵办</w:t>
      </w:r>
      <w:r>
        <w:rPr>
          <w:rFonts w:hint="default" w:ascii="Times New Roman" w:hAnsi="Times New Roman" w:eastAsia="仿宋_GB2312" w:cs="Times New Roman"/>
          <w:color w:val="auto"/>
          <w:sz w:val="32"/>
          <w:szCs w:val="32"/>
        </w:rPr>
        <w:t>应当依据相关规定受理并进行处理。</w:t>
      </w:r>
    </w:p>
    <w:p>
      <w:pPr>
        <w:pStyle w:val="2"/>
        <w:spacing w:before="0" w:after="0" w:line="600"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五、项目实施评价</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（一）项目应依照《宜昌市城区海绵城市建设管理办法》、《宜昌市海绵城市规划建设管理实施细则》等要求开展海绵设施建设、运维及监督考核管理。</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（二）项目应实施海绵建设效果评估，编写海绵城市项目绩效自评报告。海绵城市建设效果评估应将现场监测、模型算法、指标考核相结合，有条件的宜采用现场监测和模型算法，条件缺少的可采用指标考核。</w:t>
      </w:r>
    </w:p>
    <w:p>
      <w:pPr>
        <w:spacing w:line="240" w:lineRule="atLeast"/>
        <w:ind w:firstLine="640" w:firstLineChars="200"/>
        <w:jc w:val="left"/>
        <w:rPr>
          <w:rFonts w:ascii="仿宋_GB2312" w:eastAsia="仿宋_GB2312" w:hAnsiTheme="minorHAnsi" w:cstheme="minorBidi"/>
          <w:sz w:val="32"/>
          <w:szCs w:val="32"/>
        </w:rPr>
      </w:pPr>
      <w:r>
        <w:rPr>
          <w:rFonts w:hint="default" w:ascii="仿宋_GB2312" w:eastAsia="仿宋_GB2312" w:hAnsiTheme="minorHAnsi" w:cstheme="minorBidi"/>
          <w:sz w:val="32"/>
          <w:szCs w:val="32"/>
        </w:rPr>
        <w:t>（三）对于吸引社会资本参与的海绵城市建设项目，建立按效果付费、落实整改、监督问责的绩效考评机制，与海绵城市建设成效相关的奖励机制等。对于政府投资建设、运行、维护的海绵城市建设项目，建立与海绵城市建设成效相关的责任落实与考核机制等。</w:t>
      </w:r>
    </w:p>
    <w:p>
      <w:pPr>
        <w:spacing w:line="240" w:lineRule="atLeast"/>
        <w:ind w:firstLine="640" w:firstLineChars="200"/>
        <w:jc w:val="left"/>
        <w:rPr>
          <w:rFonts w:ascii="仿宋_GB2312" w:eastAsia="仿宋_GB2312" w:hAnsiTheme="minorHAnsi" w:cstheme="minorBidi"/>
          <w:sz w:val="32"/>
          <w:szCs w:val="32"/>
        </w:rPr>
      </w:pPr>
      <w:r>
        <w:rPr>
          <w:rFonts w:hint="default" w:ascii="仿宋_GB2312" w:eastAsia="仿宋_GB2312" w:hAnsiTheme="minorHAnsi" w:cstheme="minorBidi"/>
          <w:sz w:val="32"/>
          <w:szCs w:val="32"/>
        </w:rPr>
        <w:t>（四）项目建设与运维效果应考虑公众满意度作为考核方式。</w:t>
      </w:r>
    </w:p>
    <w:p>
      <w:pPr>
        <w:pStyle w:val="2"/>
        <w:spacing w:before="0" w:after="0" w:line="600"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六、附则</w:t>
      </w:r>
    </w:p>
    <w:p>
      <w:pPr>
        <w:spacing w:line="240" w:lineRule="atLeast"/>
        <w:ind w:firstLine="640" w:firstLineChars="200"/>
        <w:jc w:val="left"/>
        <w:rPr>
          <w:rFonts w:ascii="仿宋_GB2312" w:eastAsia="仿宋_GB2312" w:hAnsiTheme="minorHAnsi" w:cstheme="minorBidi"/>
          <w:sz w:val="32"/>
          <w:szCs w:val="32"/>
        </w:rPr>
      </w:pPr>
      <w:r>
        <w:rPr>
          <w:rFonts w:hint="default" w:ascii="仿宋_GB2312" w:eastAsia="仿宋_GB2312" w:hAnsiTheme="minorHAnsi" w:cstheme="minorBidi"/>
          <w:sz w:val="32"/>
          <w:szCs w:val="32"/>
        </w:rPr>
        <w:t>（一）本办法解释的具体工作由市住建局承担。</w:t>
      </w:r>
    </w:p>
    <w:p>
      <w:pPr>
        <w:spacing w:line="240" w:lineRule="atLeast"/>
        <w:ind w:firstLine="640" w:firstLineChars="200"/>
        <w:jc w:val="left"/>
        <w:rPr>
          <w:rFonts w:ascii="仿宋_GB2312" w:eastAsia="仿宋_GB2312"/>
          <w:sz w:val="32"/>
          <w:szCs w:val="32"/>
        </w:rPr>
      </w:pPr>
      <w:r>
        <w:rPr>
          <w:rFonts w:hint="default" w:ascii="仿宋_GB2312" w:eastAsia="仿宋_GB2312" w:hAnsiTheme="minorHAnsi" w:cstheme="minorBidi"/>
          <w:sz w:val="32"/>
          <w:szCs w:val="32"/>
        </w:rPr>
        <w:t>（二）</w:t>
      </w:r>
      <w:r>
        <w:rPr>
          <w:rFonts w:hint="default" w:ascii="仿宋_GB2312" w:eastAsia="仿宋_GB2312"/>
          <w:sz w:val="32"/>
          <w:szCs w:val="32"/>
        </w:rPr>
        <w:t>本办法自发布之日起实施，有效期</w:t>
      </w:r>
      <w:r>
        <w:rPr>
          <w:rFonts w:hint="default" w:ascii="Times New Roman" w:hAnsi="Times New Roman" w:eastAsia="仿宋_GB2312" w:cs="Times New Roman"/>
          <w:color w:val="auto"/>
          <w:sz w:val="32"/>
          <w:szCs w:val="32"/>
          <w:lang w:val="en-US" w:eastAsia="zh-CN"/>
        </w:rPr>
        <w:t>3</w:t>
      </w:r>
      <w:r>
        <w:rPr>
          <w:rFonts w:hint="default" w:ascii="仿宋_GB2312" w:eastAsia="仿宋_GB2312"/>
          <w:sz w:val="32"/>
          <w:szCs w:val="32"/>
        </w:rPr>
        <w:t>年</w:t>
      </w:r>
    </w:p>
    <w:p>
      <w:pPr>
        <w:spacing w:line="240" w:lineRule="atLeast"/>
        <w:ind w:firstLine="0" w:firstLineChars="0"/>
        <w:jc w:val="left"/>
        <w:rPr>
          <w:rFonts w:hint="default" w:ascii="仿宋_GB2312" w:eastAsia="仿宋_GB2312"/>
          <w:sz w:val="32"/>
          <w:szCs w:val="32"/>
        </w:rPr>
      </w:pPr>
    </w:p>
    <w:p>
      <w:pPr>
        <w:spacing w:line="240" w:lineRule="atLeast"/>
        <w:ind w:firstLine="640" w:firstLineChars="200"/>
        <w:jc w:val="left"/>
        <w:rPr>
          <w:rFonts w:ascii="仿宋_GB2312" w:eastAsia="仿宋_GB2312" w:hAnsiTheme="minorHAnsi" w:cstheme="minorBidi"/>
          <w:sz w:val="32"/>
          <w:szCs w:val="32"/>
        </w:rPr>
      </w:pPr>
      <w:r>
        <w:rPr>
          <w:rFonts w:hint="default" w:ascii="仿宋_GB2312" w:eastAsia="仿宋_GB2312"/>
          <w:sz w:val="32"/>
          <w:szCs w:val="32"/>
        </w:rPr>
        <w:t>附件：宜昌市海绵城市建设工作考评细则</w:t>
      </w:r>
    </w:p>
    <w:p>
      <w:pPr>
        <w:spacing w:line="240" w:lineRule="atLeast"/>
        <w:ind w:firstLine="0" w:firstLineChars="0"/>
        <w:jc w:val="left"/>
        <w:rPr>
          <w:rFonts w:ascii="仿宋_GB2312" w:eastAsia="仿宋_GB2312" w:hAnsiTheme="minorHAnsi" w:cstheme="minorBidi"/>
          <w:sz w:val="32"/>
          <w:szCs w:val="32"/>
        </w:rPr>
        <w:sectPr>
          <w:headerReference r:id="rId3" w:type="default"/>
          <w:footerReference r:id="rId4" w:type="default"/>
          <w:pgSz w:w="11906" w:h="16838"/>
          <w:pgMar w:top="2098" w:right="1474" w:bottom="1984" w:left="1587" w:header="851" w:footer="992" w:gutter="0"/>
          <w:cols w:space="425" w:num="1"/>
          <w:docGrid w:type="lines" w:linePitch="312" w:charSpace="0"/>
        </w:sectPr>
      </w:pPr>
    </w:p>
    <w:p>
      <w:pPr>
        <w:keepNext w:val="0"/>
        <w:keepLines w:val="0"/>
        <w:spacing w:line="600" w:lineRule="exact"/>
        <w:jc w:val="both"/>
        <w:rPr>
          <w:rFonts w:hint="eastAsia" w:ascii="Times New Roman" w:hAnsi="Times New Roman" w:eastAsia="方正小标宋简体" w:cs="Times New Roman"/>
          <w:color w:val="auto"/>
          <w:sz w:val="44"/>
          <w:szCs w:val="44"/>
        </w:rPr>
      </w:pPr>
      <w:r>
        <w:rPr>
          <w:rFonts w:hint="eastAsia" w:ascii="黑体" w:hAnsi="黑体" w:eastAsia="黑体" w:cs="黑体"/>
          <w:b w:val="0"/>
          <w:bCs w:val="0"/>
          <w:sz w:val="32"/>
          <w:szCs w:val="32"/>
        </w:rPr>
        <w:t>附件</w:t>
      </w:r>
    </w:p>
    <w:p>
      <w:pPr>
        <w:spacing w:line="6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宜昌市海绵城市建设工作考评细则</w:t>
      </w:r>
    </w:p>
    <w:p>
      <w:pPr>
        <w:spacing w:line="560" w:lineRule="exact"/>
        <w:jc w:val="center"/>
        <w:rPr>
          <w:rFonts w:hint="default" w:ascii="Times New Roman" w:hAnsi="Times New Roman" w:eastAsia="方正小标宋简体" w:cs="Times New Roman"/>
          <w:color w:val="auto"/>
          <w:sz w:val="44"/>
          <w:szCs w:val="44"/>
        </w:rPr>
      </w:pPr>
    </w:p>
    <w:p>
      <w:pPr>
        <w:pStyle w:val="7"/>
        <w:numPr>
          <w:ilvl w:val="-1"/>
          <w:numId w:val="0"/>
        </w:numPr>
        <w:spacing w:line="560" w:lineRule="exact"/>
        <w:ind w:left="0"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一、扣分规则</w:t>
      </w:r>
    </w:p>
    <w:p>
      <w:pPr>
        <w:pStyle w:val="7"/>
        <w:numPr>
          <w:ilvl w:val="-1"/>
          <w:numId w:val="0"/>
        </w:numPr>
        <w:spacing w:line="560" w:lineRule="exact"/>
        <w:ind w:left="0" w:firstLine="640" w:firstLineChars="200"/>
        <w:rPr>
          <w:rFonts w:hint="eastAsia" w:ascii="CESI楷体-GB13000" w:hAnsi="CESI楷体-GB13000" w:eastAsia="CESI楷体-GB13000" w:cs="CESI楷体-GB13000"/>
          <w:color w:val="auto"/>
          <w:sz w:val="32"/>
          <w:szCs w:val="32"/>
          <w:highlight w:val="none"/>
        </w:rPr>
      </w:pPr>
      <w:r>
        <w:rPr>
          <w:rFonts w:hint="eastAsia" w:ascii="CESI楷体-GB13000" w:hAnsi="CESI楷体-GB13000" w:eastAsia="CESI楷体-GB13000" w:cs="CESI楷体-GB13000"/>
          <w:color w:val="auto"/>
          <w:sz w:val="32"/>
          <w:szCs w:val="32"/>
          <w:highlight w:val="none"/>
          <w:lang w:eastAsia="zh-CN"/>
        </w:rPr>
        <w:t>（一）</w:t>
      </w:r>
      <w:r>
        <w:rPr>
          <w:rFonts w:hint="eastAsia" w:ascii="CESI楷体-GB13000" w:hAnsi="CESI楷体-GB13000" w:eastAsia="CESI楷体-GB13000" w:cs="CESI楷体-GB13000"/>
          <w:color w:val="auto"/>
          <w:sz w:val="32"/>
          <w:szCs w:val="32"/>
          <w:highlight w:val="none"/>
        </w:rPr>
        <w:t>海绵城市建设示范工作考评</w:t>
      </w:r>
    </w:p>
    <w:p>
      <w:pPr>
        <w:pStyle w:val="7"/>
        <w:numPr>
          <w:ilvl w:val="-1"/>
          <w:numId w:val="0"/>
        </w:numPr>
        <w:spacing w:line="560" w:lineRule="exact"/>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示范期间，各</w:t>
      </w:r>
      <w:r>
        <w:rPr>
          <w:rFonts w:hint="eastAsia" w:ascii="Times New Roman" w:hAnsi="Times New Roman" w:eastAsia="仿宋_GB2312" w:cs="Times New Roman"/>
          <w:color w:val="auto"/>
          <w:sz w:val="32"/>
          <w:szCs w:val="32"/>
          <w:highlight w:val="none"/>
          <w:lang w:eastAsia="zh-CN"/>
        </w:rPr>
        <w:t>有关单位</w:t>
      </w:r>
      <w:r>
        <w:rPr>
          <w:rFonts w:hint="default" w:ascii="Times New Roman" w:hAnsi="Times New Roman" w:eastAsia="仿宋_GB2312" w:cs="Times New Roman"/>
          <w:color w:val="auto"/>
          <w:sz w:val="32"/>
          <w:szCs w:val="32"/>
          <w:highlight w:val="none"/>
        </w:rPr>
        <w:t>按照市海绵领导小组每年度下发的《宜昌市系统化全域推进海绵城市建设国家示范工作责任清单》落实分工任务，未完成任务</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单项扣</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分。</w:t>
      </w:r>
    </w:p>
    <w:p>
      <w:pPr>
        <w:pStyle w:val="7"/>
        <w:numPr>
          <w:ilvl w:val="-1"/>
          <w:numId w:val="0"/>
        </w:numPr>
        <w:spacing w:line="560" w:lineRule="exact"/>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示范期间，项目责任</w:t>
      </w:r>
      <w:r>
        <w:rPr>
          <w:rFonts w:hint="eastAsia"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按月向海绵中心提交项目进度、按年提交绩效资料，参与年度绩效考评，提交资料不符合时限或内容质量要求的</w:t>
      </w:r>
      <w:r>
        <w:rPr>
          <w:rFonts w:hint="eastAsia" w:ascii="Times New Roman" w:hAnsi="Times New Roman" w:eastAsia="仿宋_GB2312" w:cs="Times New Roman"/>
          <w:color w:val="auto"/>
          <w:sz w:val="32"/>
          <w:szCs w:val="32"/>
          <w:highlight w:val="none"/>
          <w:lang w:eastAsia="zh-CN"/>
        </w:rPr>
        <w:t>主责部门</w:t>
      </w:r>
      <w:r>
        <w:rPr>
          <w:rFonts w:hint="default" w:ascii="Times New Roman" w:hAnsi="Times New Roman" w:eastAsia="仿宋_GB2312" w:cs="Times New Roman"/>
          <w:color w:val="auto"/>
          <w:sz w:val="32"/>
          <w:szCs w:val="32"/>
          <w:highlight w:val="none"/>
        </w:rPr>
        <w:t>扣</w:t>
      </w:r>
      <w:r>
        <w:rPr>
          <w:rFonts w:ascii="Times New Roman" w:hAnsi="Times New Roman" w:eastAsia="仿宋_GB2312" w:cs="Times New Roman"/>
          <w:color w:val="auto"/>
          <w:sz w:val="32"/>
          <w:szCs w:val="32"/>
          <w:highlight w:val="none"/>
        </w:rPr>
        <w:t>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rPr>
        <w:t>分。</w:t>
      </w:r>
    </w:p>
    <w:p>
      <w:pPr>
        <w:pStyle w:val="7"/>
        <w:numPr>
          <w:ilvl w:val="-1"/>
          <w:numId w:val="0"/>
        </w:numPr>
        <w:spacing w:line="560" w:lineRule="exact"/>
        <w:ind w:left="0"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各有关单位在</w:t>
      </w:r>
      <w:r>
        <w:rPr>
          <w:rFonts w:hint="default" w:ascii="Times New Roman" w:hAnsi="Times New Roman" w:eastAsia="仿宋_GB2312" w:cs="Times New Roman"/>
          <w:color w:val="auto"/>
          <w:sz w:val="32"/>
          <w:szCs w:val="32"/>
          <w:highlight w:val="none"/>
        </w:rPr>
        <w:t>国家海绵城市年度绩效考评</w:t>
      </w:r>
      <w:r>
        <w:rPr>
          <w:rFonts w:hint="eastAsia" w:ascii="Times New Roman" w:hAnsi="Times New Roman" w:eastAsia="仿宋_GB2312" w:cs="Times New Roman"/>
          <w:color w:val="auto"/>
          <w:sz w:val="32"/>
          <w:szCs w:val="32"/>
          <w:highlight w:val="none"/>
          <w:lang w:eastAsia="zh-CN"/>
        </w:rPr>
        <w:t>中</w:t>
      </w:r>
      <w:r>
        <w:rPr>
          <w:rFonts w:hint="default" w:ascii="Times New Roman" w:hAnsi="Times New Roman" w:eastAsia="仿宋_GB2312" w:cs="Times New Roman"/>
          <w:color w:val="auto"/>
          <w:sz w:val="32"/>
          <w:szCs w:val="32"/>
          <w:highlight w:val="none"/>
        </w:rPr>
        <w:t>出现扣分项的扣</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分，省级考核扣分的扣</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rPr>
        <w:t>分。</w:t>
      </w:r>
    </w:p>
    <w:p>
      <w:pPr>
        <w:pStyle w:val="7"/>
        <w:numPr>
          <w:ilvl w:val="-1"/>
          <w:numId w:val="0"/>
        </w:numPr>
        <w:spacing w:line="560" w:lineRule="exact"/>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在国家部委和省委省政府开展专项检查、督导中出现问题造成严重不良影响或重大损失的，部门扣</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分</w:t>
      </w:r>
      <w:r>
        <w:rPr>
          <w:rFonts w:ascii="Times New Roman" w:hAnsi="Times New Roman" w:eastAsia="仿宋_GB2312" w:cs="Times New Roman"/>
          <w:color w:val="auto"/>
          <w:sz w:val="32"/>
          <w:szCs w:val="32"/>
          <w:highlight w:val="none"/>
        </w:rPr>
        <w:t>;</w:t>
      </w:r>
    </w:p>
    <w:p>
      <w:pPr>
        <w:pStyle w:val="7"/>
        <w:numPr>
          <w:ilvl w:val="-1"/>
          <w:numId w:val="0"/>
        </w:numPr>
        <w:spacing w:line="560" w:lineRule="exact"/>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在省</w:t>
      </w:r>
      <w:r>
        <w:rPr>
          <w:rFonts w:hint="eastAsia" w:ascii="Times New Roman" w:hAnsi="Times New Roman" w:eastAsia="仿宋_GB2312" w:cs="Times New Roman"/>
          <w:color w:val="auto"/>
          <w:sz w:val="32"/>
          <w:szCs w:val="32"/>
          <w:highlight w:val="none"/>
          <w:lang w:eastAsia="zh-CN"/>
        </w:rPr>
        <w:t>直</w:t>
      </w:r>
      <w:r>
        <w:rPr>
          <w:rFonts w:hint="default" w:ascii="Times New Roman" w:hAnsi="Times New Roman" w:eastAsia="仿宋_GB2312" w:cs="Times New Roman"/>
          <w:color w:val="auto"/>
          <w:sz w:val="32"/>
          <w:szCs w:val="32"/>
          <w:highlight w:val="none"/>
        </w:rPr>
        <w:t>厅局和市委市政府开展专项检查、督导中出现问题造成严重不良影响或重大损失的，部门扣</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rPr>
        <w:t>分。</w:t>
      </w:r>
    </w:p>
    <w:p>
      <w:pPr>
        <w:pStyle w:val="7"/>
        <w:numPr>
          <w:ilvl w:val="-1"/>
          <w:numId w:val="0"/>
        </w:numPr>
        <w:spacing w:line="560" w:lineRule="exact"/>
        <w:ind w:left="0" w:firstLine="640" w:firstLineChars="200"/>
        <w:rPr>
          <w:rFonts w:hint="eastAsia" w:ascii="CESI楷体-GB13000" w:hAnsi="CESI楷体-GB13000" w:eastAsia="CESI楷体-GB13000" w:cs="CESI楷体-GB13000"/>
          <w:color w:val="auto"/>
          <w:sz w:val="32"/>
          <w:szCs w:val="32"/>
          <w:highlight w:val="none"/>
        </w:rPr>
      </w:pPr>
      <w:r>
        <w:rPr>
          <w:rFonts w:hint="eastAsia" w:ascii="CESI楷体-GB13000" w:hAnsi="CESI楷体-GB13000" w:eastAsia="CESI楷体-GB13000" w:cs="CESI楷体-GB13000"/>
          <w:color w:val="auto"/>
          <w:sz w:val="32"/>
          <w:szCs w:val="32"/>
          <w:highlight w:val="none"/>
          <w:lang w:eastAsia="zh-CN"/>
        </w:rPr>
        <w:t>（二）</w:t>
      </w:r>
      <w:r>
        <w:rPr>
          <w:rFonts w:hint="default" w:ascii="CESI楷体-GB13000" w:hAnsi="CESI楷体-GB13000" w:eastAsia="CESI楷体-GB13000" w:cs="CESI楷体-GB13000"/>
          <w:color w:val="auto"/>
          <w:sz w:val="32"/>
          <w:szCs w:val="32"/>
          <w:highlight w:val="none"/>
        </w:rPr>
        <w:t>海绵城市建设工作长效考评</w:t>
      </w:r>
    </w:p>
    <w:p>
      <w:pPr>
        <w:pStyle w:val="7"/>
        <w:numPr>
          <w:ilvl w:val="-1"/>
          <w:numId w:val="0"/>
        </w:numPr>
        <w:spacing w:line="560" w:lineRule="exact"/>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各</w:t>
      </w:r>
      <w:r>
        <w:rPr>
          <w:rFonts w:hint="eastAsia" w:ascii="Times New Roman" w:hAnsi="Times New Roman" w:eastAsia="仿宋_GB2312" w:cs="Times New Roman"/>
          <w:color w:val="auto"/>
          <w:sz w:val="32"/>
          <w:szCs w:val="32"/>
          <w:highlight w:val="none"/>
          <w:lang w:eastAsia="zh-CN"/>
        </w:rPr>
        <w:t>有关单位</w:t>
      </w:r>
      <w:r>
        <w:rPr>
          <w:rFonts w:hint="default" w:ascii="Times New Roman" w:hAnsi="Times New Roman" w:eastAsia="仿宋_GB2312" w:cs="Times New Roman"/>
          <w:color w:val="auto"/>
          <w:sz w:val="32"/>
          <w:szCs w:val="32"/>
          <w:highlight w:val="none"/>
        </w:rPr>
        <w:t>按照《宜昌市海绵城市建设工作考核任务清单》落实考核任务，未完成任务单</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项扣</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分。</w:t>
      </w:r>
    </w:p>
    <w:p>
      <w:pPr>
        <w:pStyle w:val="7"/>
        <w:numPr>
          <w:ilvl w:val="-1"/>
          <w:numId w:val="0"/>
        </w:numPr>
        <w:spacing w:line="560" w:lineRule="exact"/>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年度考核抽查中</w:t>
      </w:r>
      <w:r>
        <w:rPr>
          <w:rFonts w:hint="eastAsia" w:ascii="Times New Roman" w:hAnsi="Times New Roman" w:eastAsia="仿宋_GB2312" w:cs="Times New Roman"/>
          <w:color w:val="auto"/>
          <w:sz w:val="32"/>
          <w:szCs w:val="32"/>
          <w:highlight w:val="none"/>
          <w:lang w:eastAsia="zh-CN"/>
        </w:rPr>
        <w:t>，各有关单位</w:t>
      </w:r>
      <w:r>
        <w:rPr>
          <w:rFonts w:hint="default" w:ascii="Times New Roman" w:hAnsi="Times New Roman" w:eastAsia="仿宋_GB2312" w:cs="Times New Roman"/>
          <w:color w:val="auto"/>
          <w:sz w:val="32"/>
          <w:szCs w:val="32"/>
          <w:highlight w:val="none"/>
        </w:rPr>
        <w:t>未落实海绵建设责任分工的单项扣</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分</w:t>
      </w:r>
    </w:p>
    <w:p>
      <w:pPr>
        <w:pStyle w:val="7"/>
        <w:numPr>
          <w:ilvl w:val="-1"/>
          <w:numId w:val="0"/>
        </w:numPr>
        <w:spacing w:line="560" w:lineRule="exact"/>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责任单位负责的项目应在全过程融入海绵城市理念，未落实海绵城市要求指标的，每</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个项目扣责任单位</w:t>
      </w:r>
      <w:r>
        <w:rPr>
          <w:rFonts w:ascii="Times New Roman" w:hAnsi="Times New Roman" w:eastAsia="仿宋_GB2312" w:cs="Times New Roman"/>
          <w:color w:val="auto"/>
          <w:sz w:val="32"/>
          <w:szCs w:val="32"/>
          <w:highlight w:val="none"/>
        </w:rPr>
        <w:t>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rPr>
        <w:t>分</w:t>
      </w:r>
      <w:r>
        <w:rPr>
          <w:rFonts w:ascii="Times New Roman" w:hAnsi="Times New Roman" w:eastAsia="仿宋_GB2312" w:cs="Times New Roman"/>
          <w:color w:val="auto"/>
          <w:sz w:val="32"/>
          <w:szCs w:val="32"/>
          <w:highlight w:val="none"/>
        </w:rPr>
        <w:t>;</w:t>
      </w:r>
    </w:p>
    <w:p>
      <w:pPr>
        <w:pStyle w:val="7"/>
        <w:numPr>
          <w:ilvl w:val="-1"/>
          <w:numId w:val="0"/>
        </w:numPr>
        <w:spacing w:line="560" w:lineRule="exact"/>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4.各有关单位</w:t>
      </w:r>
      <w:r>
        <w:rPr>
          <w:rFonts w:hint="default" w:ascii="Times New Roman" w:hAnsi="Times New Roman" w:eastAsia="仿宋_GB2312" w:cs="Times New Roman"/>
          <w:color w:val="auto"/>
          <w:sz w:val="32"/>
          <w:szCs w:val="32"/>
          <w:highlight w:val="none"/>
        </w:rPr>
        <w:t>造成海绵</w:t>
      </w:r>
      <w:r>
        <w:rPr>
          <w:rFonts w:hint="eastAsia" w:ascii="Times New Roman" w:hAnsi="Times New Roman" w:eastAsia="仿宋_GB2312" w:cs="Times New Roman"/>
          <w:color w:val="auto"/>
          <w:sz w:val="32"/>
          <w:szCs w:val="32"/>
          <w:highlight w:val="none"/>
          <w:lang w:eastAsia="zh-CN"/>
        </w:rPr>
        <w:t>城市建设</w:t>
      </w:r>
      <w:r>
        <w:rPr>
          <w:rFonts w:hint="default" w:ascii="Times New Roman" w:hAnsi="Times New Roman" w:eastAsia="仿宋_GB2312" w:cs="Times New Roman"/>
          <w:color w:val="auto"/>
          <w:sz w:val="32"/>
          <w:szCs w:val="32"/>
          <w:highlight w:val="none"/>
        </w:rPr>
        <w:t>相关国家考核扣分项的扣</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分，省级考核扣分的扣</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rPr>
        <w:t>分；</w:t>
      </w:r>
    </w:p>
    <w:p>
      <w:pPr>
        <w:pStyle w:val="7"/>
        <w:numPr>
          <w:ilvl w:val="-1"/>
          <w:numId w:val="0"/>
        </w:numPr>
        <w:spacing w:line="560" w:lineRule="exact"/>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5.各有关单位</w:t>
      </w:r>
      <w:r>
        <w:rPr>
          <w:rFonts w:hint="default" w:ascii="Times New Roman" w:hAnsi="Times New Roman" w:eastAsia="仿宋_GB2312" w:cs="Times New Roman"/>
          <w:color w:val="auto"/>
          <w:sz w:val="32"/>
          <w:szCs w:val="32"/>
          <w:highlight w:val="none"/>
        </w:rPr>
        <w:t>未完成国家、省、市布置的海绵城市建设情况评估工作的扣</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分；</w:t>
      </w:r>
    </w:p>
    <w:p>
      <w:pPr>
        <w:pStyle w:val="7"/>
        <w:numPr>
          <w:ilvl w:val="-1"/>
          <w:numId w:val="0"/>
        </w:numPr>
        <w:spacing w:line="560" w:lineRule="exact"/>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6.各有关单位</w:t>
      </w:r>
      <w:r>
        <w:rPr>
          <w:rFonts w:hint="default" w:ascii="Times New Roman" w:hAnsi="Times New Roman" w:eastAsia="仿宋_GB2312" w:cs="Times New Roman"/>
          <w:color w:val="auto"/>
          <w:sz w:val="32"/>
          <w:szCs w:val="32"/>
          <w:highlight w:val="none"/>
        </w:rPr>
        <w:t>违反相关法律法规、发生海绵城市工程质量安全等级事故的扣</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分；</w:t>
      </w:r>
    </w:p>
    <w:p>
      <w:pPr>
        <w:pStyle w:val="7"/>
        <w:numPr>
          <w:ilvl w:val="-1"/>
          <w:numId w:val="0"/>
        </w:numPr>
        <w:spacing w:line="560" w:lineRule="exact"/>
        <w:ind w:left="0"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同一工作或事项涉及多项扣分项目的，以最高分为准，不重复计算。</w:t>
      </w:r>
    </w:p>
    <w:p>
      <w:pPr>
        <w:pStyle w:val="7"/>
        <w:numPr>
          <w:ilvl w:val="0"/>
          <w:numId w:val="0"/>
        </w:num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黑体" w:hAnsi="黑体" w:eastAsia="黑体" w:cs="黑体"/>
          <w:color w:val="auto"/>
          <w:sz w:val="32"/>
          <w:szCs w:val="32"/>
          <w:highlight w:val="none"/>
          <w:lang w:eastAsia="zh-CN"/>
        </w:rPr>
        <w:t>二、加分规则</w:t>
      </w:r>
    </w:p>
    <w:p>
      <w:pPr>
        <w:pStyle w:val="7"/>
        <w:numPr>
          <w:ilvl w:val="-1"/>
          <w:numId w:val="0"/>
        </w:numPr>
        <w:spacing w:line="560" w:lineRule="exact"/>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相关工作获党中央、国务院表彰奖励，中央领导肯定性批示，承办全国性会议活动或作经验交流等事项的，</w:t>
      </w:r>
      <w:r>
        <w:rPr>
          <w:rFonts w:hint="eastAsia" w:ascii="Times New Roman" w:hAnsi="Times New Roman" w:eastAsia="仿宋_GB2312" w:cs="Times New Roman"/>
          <w:color w:val="auto"/>
          <w:sz w:val="32"/>
          <w:szCs w:val="32"/>
          <w:highlight w:val="none"/>
          <w:lang w:eastAsia="zh-CN"/>
        </w:rPr>
        <w:t>主责单位</w:t>
      </w:r>
      <w:r>
        <w:rPr>
          <w:rFonts w:hint="default" w:ascii="Times New Roman" w:hAnsi="Times New Roman" w:eastAsia="仿宋_GB2312" w:cs="Times New Roman"/>
          <w:color w:val="auto"/>
          <w:sz w:val="32"/>
          <w:szCs w:val="32"/>
          <w:highlight w:val="none"/>
        </w:rPr>
        <w:t>每次加</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分</w:t>
      </w:r>
      <w:r>
        <w:rPr>
          <w:rFonts w:ascii="Times New Roman" w:hAnsi="Times New Roman" w:eastAsia="仿宋_GB2312" w:cs="Times New Roman"/>
          <w:color w:val="auto"/>
          <w:sz w:val="32"/>
          <w:szCs w:val="32"/>
          <w:highlight w:val="none"/>
        </w:rPr>
        <w:t>;</w:t>
      </w:r>
    </w:p>
    <w:p>
      <w:pPr>
        <w:pStyle w:val="7"/>
        <w:numPr>
          <w:ilvl w:val="-1"/>
          <w:numId w:val="0"/>
        </w:numPr>
        <w:spacing w:line="560" w:lineRule="exact"/>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相关工作获得国家部委和省委、省政府奖励表彰，获得省部级领导肯定性批示，承办全省性会议活动或作经验交流等事项的，</w:t>
      </w:r>
      <w:r>
        <w:rPr>
          <w:rFonts w:hint="eastAsia" w:ascii="Times New Roman" w:hAnsi="Times New Roman" w:eastAsia="仿宋_GB2312" w:cs="Times New Roman"/>
          <w:color w:val="auto"/>
          <w:sz w:val="32"/>
          <w:szCs w:val="32"/>
          <w:highlight w:val="none"/>
          <w:lang w:eastAsia="zh-CN"/>
        </w:rPr>
        <w:t>主责单位</w:t>
      </w:r>
      <w:r>
        <w:rPr>
          <w:rFonts w:hint="default" w:ascii="Times New Roman" w:hAnsi="Times New Roman" w:eastAsia="仿宋_GB2312" w:cs="Times New Roman"/>
          <w:color w:val="auto"/>
          <w:sz w:val="32"/>
          <w:szCs w:val="32"/>
          <w:highlight w:val="none"/>
        </w:rPr>
        <w:t>每次加</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分</w:t>
      </w:r>
      <w:r>
        <w:rPr>
          <w:rFonts w:ascii="Times New Roman" w:hAnsi="Times New Roman" w:eastAsia="仿宋_GB2312" w:cs="Times New Roman"/>
          <w:color w:val="auto"/>
          <w:sz w:val="32"/>
          <w:szCs w:val="32"/>
          <w:highlight w:val="none"/>
        </w:rPr>
        <w:t>;</w:t>
      </w:r>
    </w:p>
    <w:p>
      <w:pPr>
        <w:pStyle w:val="7"/>
        <w:numPr>
          <w:ilvl w:val="-1"/>
          <w:numId w:val="0"/>
        </w:numPr>
        <w:spacing w:line="560" w:lineRule="exact"/>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相关工作获得省</w:t>
      </w:r>
      <w:r>
        <w:rPr>
          <w:rFonts w:hint="eastAsia" w:ascii="Times New Roman" w:hAnsi="Times New Roman" w:eastAsia="仿宋_GB2312" w:cs="Times New Roman"/>
          <w:color w:val="auto"/>
          <w:sz w:val="32"/>
          <w:szCs w:val="32"/>
          <w:highlight w:val="none"/>
          <w:lang w:eastAsia="zh-CN"/>
        </w:rPr>
        <w:t>直</w:t>
      </w:r>
      <w:r>
        <w:rPr>
          <w:rFonts w:hint="default" w:ascii="Times New Roman" w:hAnsi="Times New Roman" w:eastAsia="仿宋_GB2312" w:cs="Times New Roman"/>
          <w:color w:val="auto"/>
          <w:sz w:val="32"/>
          <w:szCs w:val="32"/>
          <w:highlight w:val="none"/>
        </w:rPr>
        <w:t>厅</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和市委、市政府奖励表彰，承办全市性会议活动或作经验交流等事项的，</w:t>
      </w:r>
      <w:r>
        <w:rPr>
          <w:rFonts w:hint="eastAsia" w:ascii="Times New Roman" w:hAnsi="Times New Roman" w:eastAsia="仿宋_GB2312" w:cs="Times New Roman"/>
          <w:color w:val="auto"/>
          <w:sz w:val="32"/>
          <w:szCs w:val="32"/>
          <w:highlight w:val="none"/>
          <w:lang w:eastAsia="zh-CN"/>
        </w:rPr>
        <w:t>主责单位</w:t>
      </w:r>
      <w:r>
        <w:rPr>
          <w:rFonts w:hint="default" w:ascii="Times New Roman" w:hAnsi="Times New Roman" w:eastAsia="仿宋_GB2312" w:cs="Times New Roman"/>
          <w:color w:val="auto"/>
          <w:sz w:val="32"/>
          <w:szCs w:val="32"/>
          <w:highlight w:val="none"/>
        </w:rPr>
        <w:t>每次加</w:t>
      </w:r>
      <w:r>
        <w:rPr>
          <w:rFonts w:ascii="Times New Roman" w:hAnsi="Times New Roman" w:eastAsia="仿宋_GB2312" w:cs="Times New Roman"/>
          <w:color w:val="auto"/>
          <w:sz w:val="32"/>
          <w:szCs w:val="32"/>
          <w:highlight w:val="none"/>
        </w:rPr>
        <w:t>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rPr>
        <w:t>分</w:t>
      </w:r>
      <w:r>
        <w:rPr>
          <w:rFonts w:ascii="Times New Roman" w:hAnsi="Times New Roman" w:eastAsia="仿宋_GB2312" w:cs="Times New Roman"/>
          <w:color w:val="auto"/>
          <w:sz w:val="32"/>
          <w:szCs w:val="32"/>
          <w:highlight w:val="none"/>
        </w:rPr>
        <w:t>;</w:t>
      </w:r>
    </w:p>
    <w:p>
      <w:pPr>
        <w:pStyle w:val="7"/>
        <w:numPr>
          <w:ilvl w:val="-1"/>
          <w:numId w:val="0"/>
        </w:numPr>
        <w:spacing w:line="560" w:lineRule="exact"/>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4.各有关单位</w:t>
      </w:r>
      <w:r>
        <w:rPr>
          <w:rFonts w:hint="default" w:ascii="Times New Roman" w:hAnsi="Times New Roman" w:eastAsia="仿宋_GB2312" w:cs="Times New Roman"/>
          <w:color w:val="auto"/>
          <w:sz w:val="32"/>
          <w:szCs w:val="32"/>
          <w:highlight w:val="none"/>
        </w:rPr>
        <w:t>在健全海绵示范城市建设体制机制、创新工作方式方法等方面取得显著成绩、具有重大示范效应的，每一项加</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分。</w:t>
      </w:r>
    </w:p>
    <w:p>
      <w:pPr>
        <w:pStyle w:val="7"/>
        <w:numPr>
          <w:ilvl w:val="-1"/>
          <w:numId w:val="0"/>
        </w:numPr>
        <w:spacing w:line="560" w:lineRule="exact"/>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同一工作或事项受到多级表彰(表扬),且符合多项加分项目的，以最高分为准，不重复计算。</w:t>
      </w:r>
    </w:p>
    <w:p>
      <w:pPr>
        <w:pStyle w:val="7"/>
        <w:numPr>
          <w:ilvl w:val="0"/>
          <w:numId w:val="1"/>
        </w:numPr>
        <w:spacing w:line="600" w:lineRule="exact"/>
        <w:jc w:val="center"/>
        <w:rPr>
          <w:rFonts w:ascii="Times New Roman" w:hAnsi="Times New Roman" w:eastAsia="仿宋_GB2312" w:cs="Times New Roman"/>
          <w:color w:val="auto"/>
          <w:sz w:val="32"/>
          <w:szCs w:val="32"/>
        </w:rPr>
        <w:sectPr>
          <w:pgSz w:w="11906" w:h="16838"/>
          <w:pgMar w:top="1440" w:right="1800" w:bottom="1440" w:left="1800" w:header="851" w:footer="992" w:gutter="0"/>
          <w:cols w:space="425" w:num="1"/>
          <w:docGrid w:type="lines" w:linePitch="312" w:charSpace="0"/>
        </w:sectPr>
      </w:pPr>
    </w:p>
    <w:p>
      <w:pPr>
        <w:spacing w:line="240" w:lineRule="atLeast"/>
        <w:jc w:val="center"/>
        <w:rPr>
          <w:rFonts w:ascii="Times New Roman" w:hAnsi="Times New Roman" w:eastAsia="方正小标宋简体" w:cs="Times New Roman"/>
          <w:color w:val="auto"/>
          <w:sz w:val="44"/>
          <w:szCs w:val="44"/>
        </w:rPr>
      </w:pPr>
      <w:bookmarkStart w:id="0" w:name="_GoBack"/>
      <w:bookmarkEnd w:id="0"/>
      <w:r>
        <w:rPr>
          <w:rFonts w:hint="default" w:ascii="Times New Roman" w:hAnsi="Times New Roman" w:eastAsia="方正小标宋简体" w:cs="Times New Roman"/>
          <w:color w:val="auto"/>
          <w:sz w:val="44"/>
          <w:szCs w:val="44"/>
        </w:rPr>
        <w:t>宜昌市海绵城市建设工作考核任务清单</w:t>
      </w:r>
    </w:p>
    <w:tbl>
      <w:tblPr>
        <w:tblStyle w:val="5"/>
        <w:tblW w:w="12753" w:type="dxa"/>
        <w:tblInd w:w="113" w:type="dxa"/>
        <w:tblLayout w:type="autofit"/>
        <w:tblCellMar>
          <w:top w:w="0" w:type="dxa"/>
          <w:left w:w="108" w:type="dxa"/>
          <w:bottom w:w="0" w:type="dxa"/>
          <w:right w:w="108" w:type="dxa"/>
        </w:tblCellMar>
      </w:tblPr>
      <w:tblGrid>
        <w:gridCol w:w="960"/>
        <w:gridCol w:w="1386"/>
        <w:gridCol w:w="10407"/>
      </w:tblGrid>
      <w:tr>
        <w:tblPrEx>
          <w:tblCellMar>
            <w:top w:w="0" w:type="dxa"/>
            <w:left w:w="108" w:type="dxa"/>
            <w:bottom w:w="0" w:type="dxa"/>
            <w:right w:w="108" w:type="dxa"/>
          </w:tblCellMar>
        </w:tblPrEx>
        <w:trPr>
          <w:trHeight w:val="2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sz w:val="24"/>
              </w:rPr>
            </w:pPr>
            <w:r>
              <w:rPr>
                <w:rFonts w:hint="eastAsia" w:ascii="宋体" w:hAnsi="宋体" w:eastAsia="宋体" w:cs="宋体"/>
                <w:b/>
                <w:bCs/>
                <w:sz w:val="24"/>
              </w:rPr>
              <w:t>分类</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考核部门</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常态化考核任务</w:t>
            </w:r>
          </w:p>
        </w:tc>
      </w:tr>
      <w:tr>
        <w:tblPrEx>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总体</w:t>
            </w:r>
          </w:p>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任务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各区政府、管委会、市级有关部门（单位）</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rPr>
            </w:pPr>
            <w:r>
              <w:rPr>
                <w:rFonts w:hint="default" w:ascii="Times New Roman" w:hAnsi="Times New Roman" w:eastAsia="宋体" w:cs="Times New Roman"/>
                <w:color w:val="auto"/>
                <w:sz w:val="24"/>
              </w:rPr>
              <w:t>1.领导重视，及时传达学习党中央国务院、省委省政府及市委市政府关于海绵示范城市建设工作的决策部署和重要法律法规，组织相关培训宣传。</w:t>
            </w:r>
            <w:r>
              <w:rPr>
                <w:rFonts w:hint="default" w:ascii="Times New Roman" w:hAnsi="Times New Roman" w:eastAsia="宋体" w:cs="Times New Roman"/>
                <w:color w:val="auto"/>
                <w:sz w:val="24"/>
              </w:rPr>
              <w:br w:type="textWrapping"/>
            </w:r>
            <w:r>
              <w:rPr>
                <w:rFonts w:hint="default" w:ascii="Times New Roman" w:hAnsi="Times New Roman" w:eastAsia="宋体" w:cs="Times New Roman"/>
                <w:color w:val="auto"/>
                <w:sz w:val="24"/>
              </w:rPr>
              <w:t>2.落实专人负责辖区海绵城市建设工作，健全完善工作机制与法律法规，明确责任分工，根据实际不断修订改进。</w:t>
            </w:r>
            <w:r>
              <w:rPr>
                <w:rFonts w:hint="default" w:ascii="Times New Roman" w:hAnsi="Times New Roman" w:eastAsia="宋体" w:cs="Times New Roman"/>
                <w:color w:val="auto"/>
                <w:sz w:val="24"/>
              </w:rPr>
              <w:br w:type="textWrapping"/>
            </w:r>
            <w:r>
              <w:rPr>
                <w:rFonts w:hint="default" w:ascii="Times New Roman" w:hAnsi="Times New Roman" w:eastAsia="宋体" w:cs="Times New Roman"/>
                <w:color w:val="auto"/>
                <w:sz w:val="24"/>
              </w:rPr>
              <w:t>3.严格按照中央专项补助资金有关规定做好海绵专项补助资金的使用、管理、评价工作，创新投融资机制。</w:t>
            </w:r>
            <w:r>
              <w:rPr>
                <w:rFonts w:hint="default" w:ascii="Times New Roman" w:hAnsi="Times New Roman" w:eastAsia="宋体" w:cs="Times New Roman"/>
                <w:color w:val="auto"/>
                <w:sz w:val="24"/>
              </w:rPr>
              <w:br w:type="textWrapping"/>
            </w:r>
            <w:r>
              <w:rPr>
                <w:rFonts w:hint="default" w:ascii="Times New Roman" w:hAnsi="Times New Roman" w:eastAsia="宋体" w:cs="Times New Roman"/>
                <w:color w:val="auto"/>
                <w:sz w:val="24"/>
              </w:rPr>
              <w:t>4.按要求及时报送海绵城市建设相关工作资料，参与年度考评。</w:t>
            </w:r>
          </w:p>
          <w:p>
            <w:pPr>
              <w:rPr>
                <w:rFonts w:ascii="Times New Roman" w:hAnsi="Times New Roman" w:eastAsia="宋体" w:cs="Times New Roman"/>
                <w:color w:val="auto"/>
                <w:sz w:val="24"/>
              </w:rPr>
            </w:pPr>
            <w:r>
              <w:rPr>
                <w:rFonts w:hint="default" w:ascii="Times New Roman" w:hAnsi="Times New Roman" w:eastAsia="宋体" w:cs="Times New Roman"/>
                <w:color w:val="auto"/>
                <w:sz w:val="24"/>
              </w:rPr>
              <w:t>5.按要求参加市委市政府和市海绵办组织的海绵示范城市重大会议、活动。</w:t>
            </w:r>
          </w:p>
          <w:p>
            <w:pPr>
              <w:rPr>
                <w:rFonts w:ascii="Times New Roman" w:hAnsi="Times New Roman" w:eastAsia="宋体" w:cs="Times New Roman"/>
                <w:color w:val="auto"/>
                <w:sz w:val="24"/>
              </w:rPr>
            </w:pPr>
            <w:r>
              <w:rPr>
                <w:rFonts w:hint="default" w:ascii="Times New Roman" w:hAnsi="Times New Roman" w:eastAsia="宋体" w:cs="Times New Roman"/>
                <w:color w:val="auto"/>
                <w:sz w:val="24"/>
              </w:rPr>
              <w:t>6.根据海绵城市建设推进协调联席会议制度参与听取工作汇报，根据宜昌市海绵城市管理政策规定文件管控规定制定有关工作要求及指引，建立信息共享机制，相互配合协调，共同推进海绵城市建设工作。</w:t>
            </w:r>
          </w:p>
        </w:tc>
      </w:tr>
      <w:tr>
        <w:tblPrEx>
          <w:tblCellMar>
            <w:top w:w="0" w:type="dxa"/>
            <w:left w:w="108" w:type="dxa"/>
            <w:bottom w:w="0" w:type="dxa"/>
            <w:right w:w="108" w:type="dxa"/>
          </w:tblCellMar>
        </w:tblPrEx>
        <w:trPr>
          <w:trHeight w:val="828"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部门</w:t>
            </w:r>
          </w:p>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任务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市发改委</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rPr>
            </w:pPr>
            <w:r>
              <w:rPr>
                <w:rFonts w:ascii="Times New Roman" w:hAnsi="Times New Roman" w:eastAsia="宋体" w:cs="Times New Roman"/>
                <w:color w:val="auto"/>
                <w:sz w:val="24"/>
              </w:rPr>
              <w:t>1</w:t>
            </w:r>
            <w:r>
              <w:rPr>
                <w:rFonts w:hint="default" w:ascii="Times New Roman" w:hAnsi="Times New Roman" w:eastAsia="宋体" w:cs="Times New Roman"/>
                <w:color w:val="auto"/>
                <w:sz w:val="24"/>
              </w:rPr>
              <w:t>.落实《宜昌市海绵城市建设管理办法》、《宜昌市海绵城市规划建设管理实施细则》、《关于进一步明确宜昌市系统化全域推进海绵城市建设责任及分工的通知》中相关要求。</w:t>
            </w:r>
          </w:p>
          <w:p>
            <w:pPr>
              <w:rPr>
                <w:rFonts w:ascii="Times New Roman" w:hAnsi="Times New Roman" w:eastAsia="宋体" w:cs="Times New Roman"/>
                <w:color w:val="auto"/>
                <w:sz w:val="24"/>
              </w:rPr>
            </w:pPr>
            <w:r>
              <w:rPr>
                <w:rFonts w:ascii="Times New Roman" w:hAnsi="Times New Roman" w:eastAsia="宋体" w:cs="Times New Roman"/>
                <w:color w:val="auto"/>
                <w:sz w:val="24"/>
              </w:rPr>
              <w:t>2.</w:t>
            </w:r>
            <w:r>
              <w:rPr>
                <w:rFonts w:hint="default" w:ascii="Times New Roman" w:hAnsi="Times New Roman" w:eastAsia="宋体" w:cs="Times New Roman"/>
                <w:color w:val="auto"/>
                <w:sz w:val="24"/>
              </w:rPr>
              <w:t>负责在项目前期审批环节落实海绵城市建设标准和要求，对新、改、扩建项目中海绵城市建设相关内容进行审核把关，建立审批绿色通道，并指导项目单位按照海绵城市建设统一要求做好各项前期论证工作。</w:t>
            </w:r>
            <w:r>
              <w:rPr>
                <w:rFonts w:hint="default" w:ascii="Times New Roman" w:hAnsi="Times New Roman" w:eastAsia="宋体" w:cs="Times New Roman"/>
                <w:color w:val="auto"/>
                <w:sz w:val="24"/>
              </w:rPr>
              <w:br w:type="textWrapping"/>
            </w:r>
            <w:r>
              <w:rPr>
                <w:rFonts w:ascii="Times New Roman" w:hAnsi="Times New Roman" w:eastAsia="宋体" w:cs="Times New Roman"/>
                <w:color w:val="auto"/>
                <w:sz w:val="24"/>
              </w:rPr>
              <w:t>3</w:t>
            </w:r>
            <w:r>
              <w:rPr>
                <w:rFonts w:hint="default" w:ascii="Times New Roman" w:hAnsi="Times New Roman" w:eastAsia="宋体" w:cs="Times New Roman"/>
                <w:color w:val="auto"/>
                <w:sz w:val="24"/>
              </w:rPr>
              <w:t>.发改委应在立项和可行性研究批复文件中明确建设项目的海绵城市建设相关内容。</w:t>
            </w:r>
          </w:p>
        </w:tc>
      </w:tr>
      <w:tr>
        <w:tblPrEx>
          <w:tblCellMar>
            <w:top w:w="0" w:type="dxa"/>
            <w:left w:w="108" w:type="dxa"/>
            <w:bottom w:w="0" w:type="dxa"/>
            <w:right w:w="108" w:type="dxa"/>
          </w:tblCellMar>
        </w:tblPrEx>
        <w:trPr>
          <w:trHeight w:val="1104"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auto"/>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市财政局</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rPr>
            </w:pPr>
            <w:r>
              <w:rPr>
                <w:rFonts w:hint="default" w:ascii="Times New Roman" w:hAnsi="Times New Roman" w:eastAsia="宋体" w:cs="Times New Roman"/>
                <w:color w:val="auto"/>
                <w:sz w:val="24"/>
              </w:rPr>
              <w:t>1.落实《宜昌市海绵城市建设管理办法》、《宜昌市海绵城市规划建设管理实施细则》、《关于进一步明确宜昌市系统化全域推进海绵城市建设责任及分工的通知》中相关要求，负责海绵城市建设相关资金筹措、保障、监管等工作。</w:t>
            </w:r>
            <w:r>
              <w:rPr>
                <w:rFonts w:hint="default" w:ascii="Times New Roman" w:hAnsi="Times New Roman" w:eastAsia="宋体" w:cs="Times New Roman"/>
                <w:color w:val="auto"/>
                <w:sz w:val="24"/>
              </w:rPr>
              <w:br w:type="textWrapping"/>
            </w:r>
            <w:r>
              <w:rPr>
                <w:rFonts w:hint="default" w:ascii="Times New Roman" w:hAnsi="Times New Roman" w:eastAsia="宋体" w:cs="Times New Roman"/>
                <w:color w:val="auto"/>
                <w:sz w:val="24"/>
              </w:rPr>
              <w:t>2.积极争取上级和筹措市级专项建设资金支持，落实并完善《宜昌市海绵城市建设专项资金管理办法》，积极探索和创新海绵城市建设投融资机制，建立完善长效投入机制。</w:t>
            </w:r>
            <w:r>
              <w:rPr>
                <w:rFonts w:hint="default" w:ascii="Times New Roman" w:hAnsi="Times New Roman" w:eastAsia="宋体" w:cs="Times New Roman"/>
                <w:color w:val="auto"/>
                <w:sz w:val="24"/>
              </w:rPr>
              <w:br w:type="textWrapping"/>
            </w:r>
            <w:r>
              <w:rPr>
                <w:rFonts w:hint="default" w:ascii="Times New Roman" w:hAnsi="Times New Roman" w:eastAsia="宋体" w:cs="Times New Roman"/>
                <w:color w:val="auto"/>
                <w:sz w:val="24"/>
              </w:rPr>
              <w:t>3.指导在政府和社会资本合作(PPP）模式中海绵城市建设资金管理。</w:t>
            </w:r>
          </w:p>
        </w:tc>
      </w:tr>
      <w:tr>
        <w:tblPrEx>
          <w:tblCellMar>
            <w:top w:w="0" w:type="dxa"/>
            <w:left w:w="108" w:type="dxa"/>
            <w:bottom w:w="0" w:type="dxa"/>
            <w:right w:w="108" w:type="dxa"/>
          </w:tblCellMar>
        </w:tblPrEx>
        <w:trPr>
          <w:trHeight w:val="3036"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auto"/>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市住房和城乡建设局</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rPr>
            </w:pPr>
            <w:r>
              <w:rPr>
                <w:rFonts w:ascii="Times New Roman" w:hAnsi="Times New Roman" w:eastAsia="宋体" w:cs="Times New Roman"/>
                <w:color w:val="auto"/>
                <w:sz w:val="24"/>
              </w:rPr>
              <w:t>1</w:t>
            </w:r>
            <w:r>
              <w:rPr>
                <w:rFonts w:hint="default" w:ascii="Times New Roman" w:hAnsi="Times New Roman" w:eastAsia="宋体" w:cs="Times New Roman"/>
                <w:color w:val="auto"/>
                <w:sz w:val="24"/>
              </w:rPr>
              <w:t>. 落实《宜昌市海绵城市建设管理办法》、《宜昌市海绵城市规划建设管理实施细则》、《关于进一步明确宜昌市系统化全域推进海绵城市建设责任及分工的通知》中相关要求。</w:t>
            </w:r>
          </w:p>
          <w:p>
            <w:pPr>
              <w:rPr>
                <w:rFonts w:ascii="Times New Roman" w:hAnsi="Times New Roman" w:eastAsia="宋体" w:cs="Times New Roman"/>
                <w:color w:val="auto"/>
                <w:sz w:val="24"/>
              </w:rPr>
            </w:pPr>
            <w:r>
              <w:rPr>
                <w:rFonts w:ascii="Times New Roman" w:hAnsi="Times New Roman" w:eastAsia="宋体" w:cs="Times New Roman"/>
                <w:color w:val="auto"/>
                <w:sz w:val="24"/>
              </w:rPr>
              <w:t>2.</w:t>
            </w:r>
            <w:r>
              <w:rPr>
                <w:rFonts w:hint="default" w:ascii="Times New Roman" w:hAnsi="Times New Roman" w:eastAsia="宋体" w:cs="Times New Roman"/>
                <w:color w:val="auto"/>
                <w:sz w:val="24"/>
              </w:rPr>
              <w:t>指导、检查海绵城市施工图设计文件审查工作，将海绵城市设计专篇纳入施工图审查，按照《宜昌市海绵城市建设施工图审查要点（试行）》，将审查意见纳入施工许可范畴。</w:t>
            </w:r>
            <w:r>
              <w:rPr>
                <w:rFonts w:hint="default" w:ascii="Times New Roman" w:hAnsi="Times New Roman" w:eastAsia="宋体" w:cs="Times New Roman"/>
                <w:color w:val="auto"/>
                <w:sz w:val="24"/>
              </w:rPr>
              <w:br w:type="textWrapping"/>
            </w:r>
            <w:r>
              <w:rPr>
                <w:rFonts w:ascii="Times New Roman" w:hAnsi="Times New Roman" w:eastAsia="宋体" w:cs="Times New Roman"/>
                <w:color w:val="auto"/>
                <w:sz w:val="24"/>
              </w:rPr>
              <w:t>3</w:t>
            </w:r>
            <w:r>
              <w:rPr>
                <w:rFonts w:hint="default" w:ascii="Times New Roman" w:hAnsi="Times New Roman" w:eastAsia="宋体" w:cs="Times New Roman"/>
                <w:color w:val="auto"/>
                <w:sz w:val="24"/>
              </w:rPr>
              <w:t>.指导、检查、参与海绵城市项目过程质量管控和验收,按照《宜昌市海绵城市建设工程竣工验收实施细则》，将海绵城市建设专项验收纳入竣工验收管理。</w:t>
            </w:r>
            <w:r>
              <w:rPr>
                <w:rFonts w:hint="default" w:ascii="Times New Roman" w:hAnsi="Times New Roman" w:eastAsia="宋体" w:cs="Times New Roman"/>
                <w:color w:val="auto"/>
                <w:sz w:val="24"/>
              </w:rPr>
              <w:br w:type="textWrapping"/>
            </w:r>
            <w:r>
              <w:rPr>
                <w:rFonts w:ascii="Times New Roman" w:hAnsi="Times New Roman" w:eastAsia="宋体" w:cs="Times New Roman"/>
                <w:color w:val="auto"/>
                <w:sz w:val="24"/>
              </w:rPr>
              <w:t>4</w:t>
            </w:r>
            <w:r>
              <w:rPr>
                <w:rFonts w:hint="default" w:ascii="Times New Roman" w:hAnsi="Times New Roman" w:eastAsia="宋体" w:cs="Times New Roman"/>
                <w:color w:val="auto"/>
                <w:sz w:val="24"/>
              </w:rPr>
              <w:t>.做好海绵城市系统平台建设与维护，加强数据的互联互通和融合应用，提升海绵城市信息化水平。</w:t>
            </w:r>
          </w:p>
        </w:tc>
      </w:tr>
      <w:tr>
        <w:tblPrEx>
          <w:tblCellMar>
            <w:top w:w="0" w:type="dxa"/>
            <w:left w:w="108" w:type="dxa"/>
            <w:bottom w:w="0" w:type="dxa"/>
            <w:right w:w="108" w:type="dxa"/>
          </w:tblCellMar>
        </w:tblPrEx>
        <w:trPr>
          <w:trHeight w:val="443"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auto"/>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市水利和湖泊局</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ascii="Times New Roman" w:hAnsi="Times New Roman" w:eastAsia="宋体" w:cs="Times New Roman"/>
                <w:color w:val="auto"/>
                <w:sz w:val="24"/>
              </w:rPr>
              <w:t>.</w:t>
            </w:r>
            <w:r>
              <w:rPr>
                <w:rFonts w:hint="default" w:ascii="Times New Roman" w:hAnsi="Times New Roman" w:eastAsia="宋体" w:cs="Times New Roman"/>
                <w:color w:val="auto"/>
                <w:sz w:val="24"/>
              </w:rPr>
              <w:t>落实《宜昌市海绵城市建设管理办法》、《宜昌市海绵城市规划建设管理实施细则》、《关于进一步明确宜昌市系统化全域推进海绵城市建设责任及分工的通知》中相关要求。</w:t>
            </w:r>
          </w:p>
          <w:p>
            <w:pPr>
              <w:kinsoku/>
              <w:autoSpaceDE/>
              <w:autoSpaceDN/>
              <w:adjustRightInd/>
              <w:snapToGrid/>
              <w:textAlignment w:val="auto"/>
              <w:rPr>
                <w:rFonts w:ascii="Times New Roman" w:hAnsi="Times New Roman" w:eastAsia="宋体" w:cs="Times New Roman"/>
                <w:color w:val="auto"/>
                <w:sz w:val="24"/>
              </w:rPr>
            </w:pPr>
            <w:r>
              <w:rPr>
                <w:rFonts w:ascii="Times New Roman" w:hAnsi="Times New Roman" w:eastAsia="宋体" w:cs="Times New Roman"/>
                <w:color w:val="auto"/>
                <w:sz w:val="24"/>
              </w:rPr>
              <w:t>2.</w:t>
            </w:r>
            <w:r>
              <w:rPr>
                <w:rFonts w:hint="default" w:ascii="Times New Roman" w:hAnsi="Times New Roman" w:eastAsia="宋体" w:cs="Times New Roman"/>
                <w:color w:val="auto"/>
                <w:sz w:val="24"/>
              </w:rPr>
              <w:t>严格按照《宜昌市中心城区蓝线规划（2015-2030年）》、《宜昌市中心城区海绵城市专项规划》、《宜昌市防洪规划》、《宜昌城市排水（雨水）防涝规划》要求开展城区水系、泵站保护与建设。</w:t>
            </w:r>
          </w:p>
        </w:tc>
      </w:tr>
      <w:tr>
        <w:tblPrEx>
          <w:tblCellMar>
            <w:top w:w="0" w:type="dxa"/>
            <w:left w:w="108" w:type="dxa"/>
            <w:bottom w:w="0" w:type="dxa"/>
            <w:right w:w="108" w:type="dxa"/>
          </w:tblCellMar>
        </w:tblPrEx>
        <w:trPr>
          <w:trHeight w:val="2208"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市城管委</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left"/>
              <w:textAlignment w:val="auto"/>
              <w:rPr>
                <w:rFonts w:ascii="Times New Roman" w:hAnsi="Times New Roman" w:eastAsia="宋体" w:cs="Times New Roman"/>
                <w:color w:val="auto"/>
                <w:sz w:val="24"/>
              </w:rPr>
            </w:pPr>
            <w:r>
              <w:rPr>
                <w:rFonts w:hint="default" w:ascii="Times New Roman" w:hAnsi="Times New Roman" w:eastAsia="宋体" w:cs="Times New Roman"/>
                <w:color w:val="auto"/>
                <w:sz w:val="24"/>
              </w:rPr>
              <w:t>1. 落实《宜昌市海绵城市建设管理办法》、《宜昌市海绵城市规划建设管理实施细则》、《关于进一步明确宜昌市系统化全域推进海绵城市建设责任及分工的通知》中相关要求。</w:t>
            </w:r>
          </w:p>
          <w:p>
            <w:pPr>
              <w:jc w:val="left"/>
              <w:rPr>
                <w:rFonts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ascii="Times New Roman" w:hAnsi="Times New Roman" w:eastAsia="宋体" w:cs="Times New Roman"/>
                <w:color w:val="auto"/>
                <w:sz w:val="24"/>
              </w:rPr>
              <w:t>.</w:t>
            </w:r>
            <w:r>
              <w:rPr>
                <w:rFonts w:hint="default" w:ascii="Times New Roman" w:hAnsi="Times New Roman" w:eastAsia="宋体" w:cs="Times New Roman"/>
                <w:color w:val="auto"/>
                <w:sz w:val="24"/>
              </w:rPr>
              <w:t>按照《宜昌市排水防涝设施运行维护实施细则》，明确城市排水防涝设施运行维护管理主体和要点，并形成运行维护管理制度。</w:t>
            </w:r>
          </w:p>
          <w:p>
            <w:pPr>
              <w:jc w:val="left"/>
              <w:rPr>
                <w:rFonts w:ascii="Times New Roman" w:hAnsi="Times New Roman" w:eastAsia="宋体" w:cs="Times New Roman"/>
                <w:color w:val="auto"/>
                <w:sz w:val="24"/>
              </w:rPr>
            </w:pPr>
            <w:r>
              <w:rPr>
                <w:rFonts w:ascii="Times New Roman" w:hAnsi="Times New Roman" w:eastAsia="宋体" w:cs="Times New Roman"/>
                <w:color w:val="auto"/>
                <w:sz w:val="24"/>
              </w:rPr>
              <w:t>3</w:t>
            </w:r>
            <w:r>
              <w:rPr>
                <w:rFonts w:hint="default" w:ascii="Times New Roman" w:hAnsi="Times New Roman" w:eastAsia="宋体" w:cs="Times New Roman"/>
                <w:color w:val="auto"/>
                <w:sz w:val="24"/>
              </w:rPr>
              <w:t>.负责公益性海绵城市设施建成后的管理，探索社会资金参与、政府付费管理的模式。</w:t>
            </w:r>
          </w:p>
          <w:p>
            <w:pPr>
              <w:jc w:val="left"/>
              <w:rPr>
                <w:rFonts w:ascii="Times New Roman" w:hAnsi="Times New Roman" w:eastAsia="宋体" w:cs="Times New Roman"/>
                <w:color w:val="auto"/>
                <w:sz w:val="24"/>
              </w:rPr>
            </w:pPr>
            <w:r>
              <w:rPr>
                <w:rFonts w:ascii="Times New Roman" w:hAnsi="Times New Roman" w:eastAsia="宋体" w:cs="Times New Roman"/>
                <w:color w:val="auto"/>
                <w:sz w:val="24"/>
              </w:rPr>
              <w:t>4</w:t>
            </w:r>
            <w:r>
              <w:rPr>
                <w:rFonts w:hint="default" w:ascii="Times New Roman" w:hAnsi="Times New Roman" w:eastAsia="宋体" w:cs="Times New Roman"/>
                <w:color w:val="auto"/>
                <w:sz w:val="24"/>
              </w:rPr>
              <w:t>.落实《宜昌市城市防洪排涝设施管理办法》、《宜昌市城市防洪排涝设施技术导则（试行）》相关要求，建立本地排水防涝设施、海绵设施等专业化运营养管队伍，以及内涝应急抢险队伍、按需配备内涝治理日常养管和应急管理设备物资。</w:t>
            </w:r>
          </w:p>
        </w:tc>
      </w:tr>
      <w:tr>
        <w:tblPrEx>
          <w:tblCellMar>
            <w:top w:w="0" w:type="dxa"/>
            <w:left w:w="108" w:type="dxa"/>
            <w:bottom w:w="0" w:type="dxa"/>
            <w:right w:w="108" w:type="dxa"/>
          </w:tblCellMar>
        </w:tblPrEx>
        <w:trPr>
          <w:trHeight w:val="2760"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市自然资源和规划局</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宋体" w:cs="Times New Roman"/>
                <w:color w:val="auto"/>
                <w:sz w:val="24"/>
              </w:rPr>
            </w:pPr>
            <w:r>
              <w:rPr>
                <w:rFonts w:hint="default" w:ascii="Times New Roman" w:hAnsi="Times New Roman" w:eastAsia="宋体" w:cs="Times New Roman"/>
                <w:color w:val="auto"/>
                <w:sz w:val="24"/>
              </w:rPr>
              <w:t>1.落实《宜昌市海绵城市建设管理办法》、《宜昌市海绵城市规划建设管理实施细则》、《关于进一步明确宜昌市系统化全域推进海绵城市建设责任及分工的通知》中相关要求。</w:t>
            </w:r>
          </w:p>
          <w:p>
            <w:pPr>
              <w:jc w:val="left"/>
              <w:rPr>
                <w:rFonts w:ascii="Times New Roman" w:hAnsi="Times New Roman" w:eastAsia="宋体" w:cs="Times New Roman"/>
                <w:color w:val="auto"/>
                <w:sz w:val="24"/>
              </w:rPr>
            </w:pPr>
            <w:r>
              <w:rPr>
                <w:rFonts w:ascii="Times New Roman" w:hAnsi="Times New Roman" w:eastAsia="宋体" w:cs="Times New Roman"/>
                <w:color w:val="auto"/>
                <w:sz w:val="24"/>
              </w:rPr>
              <w:t>2.</w:t>
            </w:r>
            <w:r>
              <w:rPr>
                <w:rFonts w:hint="default" w:ascii="Times New Roman" w:hAnsi="Times New Roman" w:eastAsia="宋体" w:cs="Times New Roman"/>
                <w:color w:val="auto"/>
                <w:sz w:val="24"/>
              </w:rPr>
              <w:t xml:space="preserve"> 在所有新建改扩建项目中将海绵城市建设规划要求按照《宜昌市海绵城市建设指标体系与技术导则（试行）》、《宜昌市中心城区海绵城市建设专项规划》要求执行，并将海绵城市建设指标和要求纳入项目规划条件，在方案审查中要包含海绵城市规划设计专篇或专章，“一书两证”发放要将相关要求和指标纳入。</w:t>
            </w:r>
          </w:p>
          <w:p>
            <w:pPr>
              <w:kinsoku/>
              <w:autoSpaceDE/>
              <w:autoSpaceDN/>
              <w:adjustRightInd/>
              <w:snapToGrid/>
              <w:jc w:val="left"/>
              <w:textAlignment w:val="auto"/>
              <w:rPr>
                <w:rFonts w:ascii="Times New Roman" w:hAnsi="Times New Roman" w:eastAsia="宋体" w:cs="Times New Roman"/>
                <w:color w:val="auto"/>
                <w:sz w:val="24"/>
              </w:rPr>
            </w:pPr>
            <w:r>
              <w:rPr>
                <w:rFonts w:ascii="Times New Roman" w:hAnsi="Times New Roman" w:eastAsia="宋体" w:cs="Times New Roman"/>
                <w:color w:val="auto"/>
                <w:sz w:val="24"/>
              </w:rPr>
              <w:t>3</w:t>
            </w:r>
            <w:r>
              <w:rPr>
                <w:rFonts w:hint="default" w:ascii="Times New Roman" w:hAnsi="Times New Roman" w:eastAsia="宋体" w:cs="Times New Roman"/>
                <w:color w:val="auto"/>
                <w:sz w:val="24"/>
              </w:rPr>
              <w:t>.在控制性详细规划中衔接《宜昌市中心城区海绵城市专项规划》将海绵相关指标要求纳入地块控制指标体系中。</w:t>
            </w:r>
            <w:r>
              <w:rPr>
                <w:rFonts w:hint="default" w:ascii="Times New Roman" w:hAnsi="Times New Roman" w:eastAsia="宋体" w:cs="Times New Roman"/>
                <w:color w:val="auto"/>
                <w:sz w:val="24"/>
              </w:rPr>
              <w:br w:type="textWrapping"/>
            </w:r>
            <w:r>
              <w:rPr>
                <w:rFonts w:ascii="Times New Roman" w:hAnsi="Times New Roman" w:eastAsia="宋体" w:cs="Times New Roman"/>
                <w:color w:val="auto"/>
                <w:sz w:val="24"/>
              </w:rPr>
              <w:t>4</w:t>
            </w:r>
            <w:r>
              <w:rPr>
                <w:rFonts w:hint="default" w:ascii="Times New Roman" w:hAnsi="Times New Roman" w:eastAsia="宋体" w:cs="Times New Roman"/>
                <w:color w:val="auto"/>
                <w:sz w:val="24"/>
              </w:rPr>
              <w:t>.严格按照《宜昌市中心城区蓝线规划（2015-2030年）》、《宜昌市中心城区绿线规划(2015-2030年) 》、《宜昌市城市绿地系统规划（2014-2030年）》、城市水系相关规划对项目范围进行管控。</w:t>
            </w:r>
          </w:p>
        </w:tc>
      </w:tr>
      <w:tr>
        <w:tblPrEx>
          <w:tblCellMar>
            <w:top w:w="0" w:type="dxa"/>
            <w:left w:w="108" w:type="dxa"/>
            <w:bottom w:w="0" w:type="dxa"/>
            <w:right w:w="108" w:type="dxa"/>
          </w:tblCellMar>
        </w:tblPrEx>
        <w:trPr>
          <w:trHeight w:val="1656"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市生态环境局</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left"/>
              <w:textAlignment w:val="auto"/>
              <w:rPr>
                <w:rFonts w:ascii="Times New Roman" w:hAnsi="Times New Roman" w:eastAsia="宋体" w:cs="Times New Roman"/>
                <w:color w:val="auto"/>
                <w:sz w:val="24"/>
              </w:rPr>
            </w:pPr>
            <w:r>
              <w:rPr>
                <w:rFonts w:hint="default" w:ascii="Times New Roman" w:hAnsi="Times New Roman" w:eastAsia="宋体" w:cs="Times New Roman"/>
                <w:color w:val="auto"/>
                <w:sz w:val="24"/>
              </w:rPr>
              <w:t>1.落实《宜昌市海绵城市建设管理办法》、《宜昌市海绵城市规划建设管理实施细则》、《关于进一步明确宜昌市系统化全域推进海绵城市建设责任及分工的通知》中相关要求。</w:t>
            </w:r>
          </w:p>
          <w:p>
            <w:pPr>
              <w:jc w:val="left"/>
              <w:rPr>
                <w:rFonts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ascii="Times New Roman" w:hAnsi="Times New Roman" w:eastAsia="宋体" w:cs="Times New Roman"/>
                <w:color w:val="auto"/>
                <w:sz w:val="24"/>
              </w:rPr>
              <w:t>.</w:t>
            </w:r>
            <w:r>
              <w:rPr>
                <w:rFonts w:hint="default" w:ascii="Times New Roman" w:hAnsi="Times New Roman" w:eastAsia="宋体" w:cs="Times New Roman"/>
                <w:color w:val="auto"/>
                <w:sz w:val="24"/>
              </w:rPr>
              <w:t>将海绵城市建设要求纳入环评、环保专项验收等环节。</w:t>
            </w:r>
          </w:p>
        </w:tc>
      </w:tr>
      <w:tr>
        <w:tblPrEx>
          <w:tblCellMar>
            <w:top w:w="0" w:type="dxa"/>
            <w:left w:w="108" w:type="dxa"/>
            <w:bottom w:w="0" w:type="dxa"/>
            <w:right w:w="108" w:type="dxa"/>
          </w:tblCellMar>
        </w:tblPrEx>
        <w:trPr>
          <w:trHeight w:val="2484"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市林业局</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宋体" w:cs="Times New Roman"/>
                <w:color w:val="auto"/>
                <w:sz w:val="24"/>
              </w:rPr>
            </w:pPr>
            <w:r>
              <w:rPr>
                <w:rFonts w:hint="default" w:ascii="Times New Roman" w:hAnsi="Times New Roman" w:eastAsia="宋体" w:cs="Times New Roman"/>
                <w:color w:val="auto"/>
                <w:sz w:val="24"/>
              </w:rPr>
              <w:t>1.落实《宜昌市海绵城市建设管理办法》、《宜昌市海绵城市规划建设管理实施细则》、《关于进一步明确宜昌市系统化全域推进海绵城市建设责任及分工的通知》中相关要求。</w:t>
            </w:r>
          </w:p>
          <w:p>
            <w:pPr>
              <w:kinsoku/>
              <w:autoSpaceDE/>
              <w:autoSpaceDN/>
              <w:adjustRightInd/>
              <w:snapToGrid/>
              <w:jc w:val="left"/>
              <w:textAlignment w:val="auto"/>
              <w:rPr>
                <w:rFonts w:ascii="Times New Roman" w:hAnsi="Times New Roman" w:eastAsia="宋体" w:cs="Times New Roman"/>
                <w:color w:val="auto"/>
                <w:sz w:val="24"/>
              </w:rPr>
            </w:pPr>
            <w:r>
              <w:rPr>
                <w:rFonts w:ascii="Times New Roman" w:hAnsi="Times New Roman" w:eastAsia="宋体" w:cs="Times New Roman"/>
                <w:color w:val="auto"/>
                <w:sz w:val="24"/>
              </w:rPr>
              <w:t>2.</w:t>
            </w:r>
            <w:r>
              <w:rPr>
                <w:rFonts w:hint="default" w:ascii="Times New Roman" w:hAnsi="Times New Roman" w:eastAsia="宋体" w:cs="Times New Roman"/>
                <w:color w:val="auto"/>
                <w:sz w:val="24"/>
              </w:rPr>
              <w:t>建立海绵设施（下凹式绿地、雨水花园等绿化相关海绵设施）专业化运营养管队伍。</w:t>
            </w:r>
            <w:r>
              <w:rPr>
                <w:rFonts w:hint="default" w:ascii="Times New Roman" w:hAnsi="Times New Roman" w:eastAsia="宋体" w:cs="Times New Roman"/>
                <w:color w:val="auto"/>
                <w:sz w:val="24"/>
              </w:rPr>
              <w:br w:type="textWrapping"/>
            </w:r>
            <w:r>
              <w:rPr>
                <w:rFonts w:ascii="Times New Roman" w:hAnsi="Times New Roman" w:eastAsia="宋体" w:cs="Times New Roman"/>
                <w:color w:val="auto"/>
                <w:sz w:val="24"/>
              </w:rPr>
              <w:t>3</w:t>
            </w:r>
            <w:r>
              <w:rPr>
                <w:rFonts w:hint="default" w:ascii="Times New Roman" w:hAnsi="Times New Roman" w:eastAsia="宋体" w:cs="Times New Roman"/>
                <w:color w:val="auto"/>
                <w:sz w:val="24"/>
              </w:rPr>
              <w:t>.根据《宜昌市中心城区绿线规划(2015-2030年) 》、《宜昌市城市绿地系统规划（2014-2030年）》对城市绿地系统严格管理。</w:t>
            </w:r>
          </w:p>
        </w:tc>
      </w:tr>
      <w:tr>
        <w:tblPrEx>
          <w:tblCellMar>
            <w:top w:w="0" w:type="dxa"/>
            <w:left w:w="108" w:type="dxa"/>
            <w:bottom w:w="0" w:type="dxa"/>
            <w:right w:w="108" w:type="dxa"/>
          </w:tblCellMar>
        </w:tblPrEx>
        <w:trPr>
          <w:trHeight w:val="1052"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市交通运输局</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宋体" w:cs="Times New Roman"/>
                <w:color w:val="auto"/>
                <w:sz w:val="24"/>
              </w:rPr>
            </w:pPr>
            <w:r>
              <w:rPr>
                <w:rFonts w:hint="default" w:ascii="Times New Roman" w:hAnsi="Times New Roman" w:eastAsia="宋体" w:cs="Times New Roman"/>
                <w:color w:val="auto"/>
                <w:sz w:val="24"/>
              </w:rPr>
              <w:t>1.落实《宜昌市海绵城市建设管理办法》、《宜昌市海绵城市规划建设管理实施细则》、《关于进一步明确宜昌市系统化全域推进海绵城市建设责任及分工的通知》中相关要求。</w:t>
            </w:r>
          </w:p>
        </w:tc>
      </w:tr>
      <w:tr>
        <w:tblPrEx>
          <w:tblCellMar>
            <w:top w:w="0" w:type="dxa"/>
            <w:left w:w="108" w:type="dxa"/>
            <w:bottom w:w="0" w:type="dxa"/>
            <w:right w:w="108" w:type="dxa"/>
          </w:tblCellMar>
        </w:tblPrEx>
        <w:trPr>
          <w:trHeight w:val="2029"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市农业农村局</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left"/>
              <w:textAlignment w:val="auto"/>
              <w:rPr>
                <w:rFonts w:ascii="Times New Roman" w:hAnsi="Times New Roman" w:eastAsia="宋体" w:cs="Times New Roman"/>
                <w:color w:val="auto"/>
                <w:sz w:val="24"/>
              </w:rPr>
            </w:pPr>
            <w:r>
              <w:rPr>
                <w:rFonts w:hint="default" w:ascii="Times New Roman" w:hAnsi="Times New Roman" w:eastAsia="宋体" w:cs="Times New Roman"/>
                <w:color w:val="auto"/>
                <w:sz w:val="24"/>
              </w:rPr>
              <w:t>1. 落实《宜昌市海绵城市建设管理办法》、《宜昌市海绵城市规划建设管理实施细则》、《关于进一步明确宜昌市系统化全域推进海绵城市建设责任及分工的通知》中相关要求 。</w:t>
            </w:r>
          </w:p>
          <w:p>
            <w:pPr>
              <w:jc w:val="left"/>
              <w:rPr>
                <w:rFonts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ascii="Times New Roman" w:hAnsi="Times New Roman" w:eastAsia="宋体" w:cs="Times New Roman"/>
                <w:color w:val="auto"/>
                <w:sz w:val="24"/>
              </w:rPr>
              <w:t xml:space="preserve"> </w:t>
            </w:r>
            <w:r>
              <w:rPr>
                <w:rFonts w:hint="default" w:ascii="Times New Roman" w:hAnsi="Times New Roman" w:eastAsia="宋体" w:cs="Times New Roman"/>
                <w:color w:val="auto"/>
                <w:sz w:val="24"/>
              </w:rPr>
              <w:t>严格按照《宜昌市中心城区蓝线规划（2015-2030年）》、《宜昌市中心城区海绵城市专项规划》、《宜昌市防洪规划》、《宜昌城市排水（雨水）防涝规划》要求开展城区水系、泵站保护与建设。</w:t>
            </w:r>
          </w:p>
        </w:tc>
      </w:tr>
      <w:tr>
        <w:tblPrEx>
          <w:tblCellMar>
            <w:top w:w="0" w:type="dxa"/>
            <w:left w:w="108" w:type="dxa"/>
            <w:bottom w:w="0" w:type="dxa"/>
            <w:right w:w="108" w:type="dxa"/>
          </w:tblCellMar>
        </w:tblPrEx>
        <w:trPr>
          <w:trHeight w:val="1104"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市教育局</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left"/>
              <w:textAlignment w:val="auto"/>
              <w:rPr>
                <w:rFonts w:ascii="Times New Roman" w:hAnsi="Times New Roman" w:eastAsia="宋体" w:cs="Times New Roman"/>
                <w:color w:val="auto"/>
                <w:sz w:val="24"/>
              </w:rPr>
            </w:pPr>
            <w:r>
              <w:rPr>
                <w:rFonts w:hint="default" w:ascii="Times New Roman" w:hAnsi="Times New Roman" w:eastAsia="宋体" w:cs="Times New Roman"/>
                <w:color w:val="auto"/>
                <w:sz w:val="24"/>
              </w:rPr>
              <w:t>1.落实《宜昌市海绵城市建设管理办法》、《宜昌市海绵城市规划建设管理实施细则》、《关于进一步明确宜昌市系统化全域推进海绵城市建设责任及分工的通知》中相关要求。</w:t>
            </w:r>
          </w:p>
        </w:tc>
      </w:tr>
      <w:tr>
        <w:tblPrEx>
          <w:tblCellMar>
            <w:top w:w="0" w:type="dxa"/>
            <w:left w:w="108" w:type="dxa"/>
            <w:bottom w:w="0" w:type="dxa"/>
            <w:right w:w="108" w:type="dxa"/>
          </w:tblCellMar>
        </w:tblPrEx>
        <w:trPr>
          <w:trHeight w:val="1380"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4"/>
              </w:rPr>
            </w:pPr>
            <w:r>
              <w:rPr>
                <w:rFonts w:hint="default" w:ascii="Times New Roman" w:hAnsi="Times New Roman" w:eastAsia="宋体" w:cs="Times New Roman"/>
                <w:color w:val="auto"/>
                <w:sz w:val="24"/>
              </w:rPr>
              <w:t>市文化广电旅游局</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宋体" w:cs="Times New Roman"/>
                <w:color w:val="auto"/>
                <w:sz w:val="24"/>
              </w:rPr>
            </w:pPr>
            <w:r>
              <w:rPr>
                <w:rFonts w:hint="default" w:ascii="Times New Roman" w:hAnsi="Times New Roman" w:eastAsia="宋体" w:cs="Times New Roman"/>
                <w:color w:val="auto"/>
                <w:sz w:val="24"/>
              </w:rPr>
              <w:t>1.落实《宜昌市海绵城市建设管理办法》、《宜昌市海绵城市规划建设管理实施细则》、《关于进一步明确宜昌市系统化全域推进海绵城市建设责任及分工的通知》中相关要求。</w:t>
            </w:r>
          </w:p>
        </w:tc>
      </w:tr>
      <w:tr>
        <w:tblPrEx>
          <w:tblCellMar>
            <w:top w:w="0" w:type="dxa"/>
            <w:left w:w="108" w:type="dxa"/>
            <w:bottom w:w="0" w:type="dxa"/>
            <w:right w:w="108" w:type="dxa"/>
          </w:tblCellMar>
        </w:tblPrEx>
        <w:trPr>
          <w:trHeight w:val="828"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市气象局</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rPr>
            </w:pPr>
            <w:r>
              <w:rPr>
                <w:rFonts w:hint="eastAsia" w:ascii="宋体" w:hAnsi="宋体" w:eastAsia="宋体" w:cs="宋体"/>
                <w:sz w:val="24"/>
              </w:rPr>
              <w:t>1.落实《宜昌市海绵城市建设管理办法》、《宜昌市海绵城市规划建设管理实施细则》、《关于进一步明确宜昌市系统化全域推进海绵城市建设责任及分工的通知》中相关要求。</w:t>
            </w:r>
          </w:p>
          <w:p>
            <w:pP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w:t>
            </w:r>
            <w:r>
              <w:rPr>
                <w:rFonts w:hint="eastAsia" w:ascii="宋体" w:hAnsi="宋体" w:eastAsia="宋体" w:cs="宋体"/>
                <w:sz w:val="24"/>
              </w:rPr>
              <w:t>做好暴雨洪涝极端气候预警发布与降雨数据观测，及时修订暴雨强度公式。</w:t>
            </w:r>
            <w:r>
              <w:rPr>
                <w:rFonts w:hint="eastAsia" w:ascii="宋体" w:hAnsi="宋体" w:eastAsia="宋体" w:cs="宋体"/>
                <w:sz w:val="24"/>
              </w:rPr>
              <w:br w:type="textWrapping"/>
            </w:r>
            <w:r>
              <w:rPr>
                <w:rFonts w:ascii="宋体" w:hAnsi="宋体" w:eastAsia="宋体" w:cs="宋体"/>
                <w:sz w:val="24"/>
              </w:rPr>
              <w:t>3</w:t>
            </w:r>
            <w:r>
              <w:rPr>
                <w:rFonts w:hint="eastAsia" w:ascii="宋体" w:hAnsi="宋体" w:eastAsia="宋体" w:cs="宋体"/>
                <w:sz w:val="24"/>
              </w:rPr>
              <w:t>.配合做好海绵城市监测平台、气象监测系统等的维护，加强数据的互联互通和融合应用，提升海绵城市信息化水平。</w:t>
            </w:r>
          </w:p>
          <w:p>
            <w:pPr>
              <w:rPr>
                <w:rFonts w:ascii="宋体" w:hAnsi="宋体" w:eastAsia="宋体" w:cs="宋体"/>
                <w:sz w:val="24"/>
              </w:rPr>
            </w:pPr>
            <w:r>
              <w:rPr>
                <w:rFonts w:hint="eastAsia" w:ascii="宋体" w:hAnsi="宋体" w:eastAsia="宋体" w:cs="宋体"/>
                <w:sz w:val="24"/>
              </w:rPr>
              <w:t>4、监测灾害性天气气候，制作发布预警预报，及时提供气象服务信息。</w:t>
            </w:r>
          </w:p>
        </w:tc>
      </w:tr>
      <w:tr>
        <w:tblPrEx>
          <w:tblCellMar>
            <w:top w:w="0" w:type="dxa"/>
            <w:left w:w="108" w:type="dxa"/>
            <w:bottom w:w="0" w:type="dxa"/>
            <w:right w:w="108" w:type="dxa"/>
          </w:tblCellMar>
        </w:tblPrEx>
        <w:trPr>
          <w:trHeight w:val="552"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市应急管理局</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rPr>
            </w:pPr>
            <w:r>
              <w:rPr>
                <w:rFonts w:hint="eastAsia" w:ascii="宋体" w:hAnsi="宋体" w:eastAsia="宋体" w:cs="宋体"/>
                <w:sz w:val="24"/>
              </w:rPr>
              <w:t>建设管理应急避难场所、健全完善防洪防汛应急响应机制、精准部署防灾减灾措施、组织灾后恢复。</w:t>
            </w:r>
          </w:p>
        </w:tc>
      </w:tr>
      <w:tr>
        <w:tblPrEx>
          <w:tblCellMar>
            <w:top w:w="0" w:type="dxa"/>
            <w:left w:w="108" w:type="dxa"/>
            <w:bottom w:w="0" w:type="dxa"/>
            <w:right w:w="108" w:type="dxa"/>
          </w:tblCellMar>
        </w:tblPrEx>
        <w:trPr>
          <w:trHeight w:val="276"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市人防办</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rPr>
            </w:pPr>
            <w:r>
              <w:rPr>
                <w:rFonts w:hint="eastAsia" w:ascii="宋体" w:hAnsi="宋体" w:eastAsia="宋体" w:cs="宋体"/>
                <w:sz w:val="24"/>
              </w:rPr>
              <w:t>建设管理应急避难场所、指挥群众疏散。</w:t>
            </w:r>
          </w:p>
        </w:tc>
      </w:tr>
      <w:tr>
        <w:tblPrEx>
          <w:tblCellMar>
            <w:top w:w="0" w:type="dxa"/>
            <w:left w:w="108" w:type="dxa"/>
            <w:bottom w:w="0" w:type="dxa"/>
            <w:right w:w="108" w:type="dxa"/>
          </w:tblCellMar>
        </w:tblPrEx>
        <w:trPr>
          <w:trHeight w:val="276"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市审计局</w:t>
            </w:r>
          </w:p>
        </w:tc>
        <w:tc>
          <w:tcPr>
            <w:tcW w:w="104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rPr>
            </w:pPr>
            <w:r>
              <w:rPr>
                <w:rFonts w:hint="eastAsia" w:ascii="宋体" w:hAnsi="宋体" w:eastAsia="宋体" w:cs="宋体"/>
                <w:sz w:val="24"/>
              </w:rPr>
              <w:t>市本级政府性投资海绵城市建设项目的审计监督工作。</w:t>
            </w:r>
          </w:p>
        </w:tc>
      </w:tr>
    </w:tbl>
    <w:p>
      <w:pPr>
        <w:spacing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注：其他</w:t>
      </w:r>
      <w:r>
        <w:rPr>
          <w:rFonts w:hint="eastAsia" w:ascii="仿宋_GB2312" w:hAnsi="仿宋_GB2312" w:eastAsia="仿宋_GB2312" w:cs="仿宋_GB2312"/>
          <w:sz w:val="32"/>
          <w:szCs w:val="32"/>
          <w:lang w:eastAsia="zh-CN"/>
        </w:rPr>
        <w:t>有关单位</w:t>
      </w:r>
      <w:r>
        <w:rPr>
          <w:rFonts w:hint="eastAsia" w:ascii="仿宋_GB2312" w:hAnsi="仿宋_GB2312" w:eastAsia="仿宋_GB2312" w:cs="仿宋_GB2312"/>
          <w:sz w:val="32"/>
          <w:szCs w:val="32"/>
        </w:rPr>
        <w:t>、区人民政府（管委会）在各自职责范围内配合做好海绵城市建设项目的立项、规划、建设、管理和运营维护等相关工作。</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楷体-GB13000">
    <w:altName w:val="楷体_GB2312"/>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6932671"/>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spacing w:line="168" w:lineRule="exact"/>
      <w:ind w:firstLine="4459"/>
      <w:rPr>
        <w:rFonts w:ascii="宋体" w:hAnsi="宋体" w:eastAsia="宋体" w:cs="宋体"/>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C6DD4"/>
    <w:multiLevelType w:val="multilevel"/>
    <w:tmpl w:val="001C6DD4"/>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73A26"/>
    <w:rsid w:val="7F704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100" w:after="90"/>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pPr>
    <w:rPr>
      <w:sz w:val="18"/>
      <w:szCs w:val="18"/>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7">
    <w:name w:val="List Paragraph"/>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2022-10-24T10:12:00Z</dcterms:created>
  <dc:creator>Administrator</dc:creator>
  <cp:lastModifiedBy>丁恒</cp:lastModifiedBy>
  <dcterms:modified xsi:type="dcterms:W3CDTF">2022-10-24T10:15:42Z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