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年产</w:t>
            </w:r>
            <w:r>
              <w:rPr>
                <w:rFonts w:hint="eastAsia" w:ascii="宋体" w:hAnsi="宋体" w:eastAsia="宋体"/>
                <w:sz w:val="21"/>
                <w:szCs w:val="21"/>
                <w:lang w:val="en-US" w:eastAsia="zh-CN"/>
              </w:rPr>
              <w:t>1万头生猪规模化养殖建设项目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zMwNzI2ZTA0ODk5NThiMDM5OGQxY2ZjOTQ2MWEifQ=="/>
  </w:docVars>
  <w:rsids>
    <w:rsidRoot w:val="44EB321A"/>
    <w:rsid w:val="44EB321A"/>
    <w:rsid w:val="4AEE6576"/>
    <w:rsid w:val="4F6013D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439</Characters>
  <Lines>0</Lines>
  <Paragraphs>0</Paragraphs>
  <TotalTime>1</TotalTime>
  <ScaleCrop>false</ScaleCrop>
  <LinksUpToDate>false</LinksUpToDate>
  <CharactersWithSpaces>462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p:lastModifiedBy>
  <dcterms:modified xsi:type="dcterms:W3CDTF">2022-10-21T09:16:43Z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F72451F3A0B34FA1A04194E3646DC660</vt:lpwstr>
  </property>
</Properties>
</file>