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Toc110866540"/>
      <w:bookmarkStart w:id="1" w:name="_Toc471925979"/>
      <w:bookmarkStart w:id="2" w:name="_Toc101862924"/>
      <w:bookmarkStart w:id="3" w:name="_Toc529446718"/>
      <w:bookmarkStart w:id="4" w:name="_Toc16256721"/>
      <w:bookmarkStart w:id="5" w:name="_Toc21530176"/>
      <w:bookmarkStart w:id="6" w:name="_Toc26883115"/>
      <w:bookmarkStart w:id="7" w:name="_Toc132623316"/>
      <w:bookmarkStart w:id="8" w:name="_Toc127956140"/>
      <w:bookmarkStart w:id="9" w:name="_Toc13040011"/>
      <w:bookmarkStart w:id="10" w:name="_Toc24027377"/>
      <w:bookmarkStart w:id="11" w:name="_Toc82587943"/>
      <w:bookmarkStart w:id="12" w:name="_Toc26883116"/>
      <w:bookmarkStart w:id="13" w:name="_Toc13040012"/>
      <w:bookmarkStart w:id="14" w:name="_Toc21530177"/>
      <w:bookmarkStart w:id="15" w:name="_Toc16256722"/>
      <w:bookmarkStart w:id="16" w:name="_Toc24027378"/>
      <w:bookmarkStart w:id="17" w:name="_Toc516140325"/>
      <w:bookmarkStart w:id="18" w:name="_Toc529446719"/>
      <w:bookmarkStart w:id="19" w:name="_Toc36806112"/>
      <w:bookmarkStart w:id="20" w:name="_Toc50974833"/>
      <w:bookmarkStart w:id="21" w:name="_Toc37162054"/>
      <w:bookmarkStart w:id="22" w:name="_Toc37337029"/>
      <w:bookmarkStart w:id="23" w:name="_Toc910703"/>
      <w:bookmarkStart w:id="24" w:name="_Toc60988602"/>
      <w:bookmarkStart w:id="25" w:name="_Toc44514965"/>
      <w:bookmarkStart w:id="26" w:name="_Toc44657754"/>
      <w:bookmarkStart w:id="27" w:name="_Toc529446722"/>
      <w:bookmarkStart w:id="28" w:name="_Toc43889223"/>
      <w:bookmarkStart w:id="29" w:name="_Toc38031394"/>
      <w:bookmarkStart w:id="30" w:name="_Toc40261099"/>
      <w:bookmarkStart w:id="31" w:name="_Toc524013163"/>
      <w:bookmarkStart w:id="32" w:name="_Toc45894153"/>
      <w:bookmarkStart w:id="33" w:name="_Toc43888023"/>
      <w:bookmarkStart w:id="34" w:name="_Toc45287602"/>
      <w:bookmarkStart w:id="35" w:name="_Toc45890231"/>
      <w:r>
        <w:rPr>
          <w:rFonts w:hint="eastAsia" w:ascii="方正小标宋简体" w:hAnsi="Times New Roman" w:eastAsia="方正小标宋简体" w:cs="Times New Roman"/>
          <w:sz w:val="44"/>
          <w:szCs w:val="44"/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bookmarkEnd w:id="15"/>
    <w:bookmarkEnd w:id="16"/>
    <w:bookmarkEnd w:id="17"/>
    <w:bookmarkEnd w:id="18"/>
    <w:p>
      <w:pPr>
        <w:spacing w:line="560" w:lineRule="exact"/>
        <w:ind w:firstLine="640" w:firstLineChars="200"/>
        <w:jc w:val="left"/>
        <w:outlineLvl w:val="1"/>
        <w:rPr>
          <w:rFonts w:ascii="黑体" w:hAnsi="Times New Roman" w:eastAsia="黑体" w:cs="Times New Roman"/>
          <w:sz w:val="32"/>
          <w:szCs w:val="32"/>
        </w:rPr>
      </w:pPr>
      <w:bookmarkStart w:id="36" w:name="_Toc82587944"/>
      <w:bookmarkStart w:id="37" w:name="_Toc113969597"/>
      <w:bookmarkStart w:id="38" w:name="_Toc101862925"/>
      <w:bookmarkStart w:id="39" w:name="_Toc110866541"/>
      <w:bookmarkStart w:id="40" w:name="_Toc127956141"/>
      <w:bookmarkStart w:id="41" w:name="_Toc132623317"/>
      <w:r>
        <w:rPr>
          <w:rFonts w:hint="eastAsia" w:ascii="黑体" w:hAnsi="Times New Roman" w:eastAsia="黑体" w:cs="Times New Roman"/>
          <w:sz w:val="32"/>
          <w:szCs w:val="32"/>
        </w:rPr>
        <w:t>一、3月水环境质量概况</w:t>
      </w:r>
      <w:bookmarkEnd w:id="36"/>
      <w:bookmarkEnd w:id="37"/>
      <w:bookmarkEnd w:id="38"/>
      <w:bookmarkEnd w:id="39"/>
      <w:bookmarkEnd w:id="40"/>
      <w:bookmarkEnd w:id="41"/>
      <w:r>
        <w:rPr>
          <w:rFonts w:hint="eastAsia" w:ascii="黑体" w:hAnsi="Times New Roman" w:eastAsia="黑体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根据3月地表水水质监测结果，宜昌市24条河流水质总体为“优”，符合Ⅰ～Ⅲ类的断面47个，占全部断面的92.2%；河流水质达到水环境功能区要求的断面49个，达标比例为96.1%。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地表水国控、省控断面水质情况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宜昌市纳入国家考核16个断面水质优良率为93.8%，</w:t>
      </w:r>
      <w:r>
        <w:rPr>
          <w:rFonts w:ascii="Times New Roman" w:hAnsi="Times New Roman" w:eastAsia="仿宋_GB2312" w:cs="Times New Roman"/>
          <w:sz w:val="32"/>
          <w:szCs w:val="32"/>
        </w:rPr>
        <w:t>达标率为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93.8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34个省控断面水质优良率为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97.1</w:t>
      </w:r>
      <w:r>
        <w:rPr>
          <w:rFonts w:ascii="Times New Roman" w:hAnsi="Times New Roman" w:eastAsia="仿宋_GB2312" w:cs="Times New Roman"/>
          <w:sz w:val="32"/>
          <w:szCs w:val="32"/>
        </w:rPr>
        <w:t>%，达标率为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97.1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。监测结果详见附表</w:t>
      </w: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spacing w:line="600" w:lineRule="exact"/>
        <w:ind w:firstLine="643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（二）部分断面水质1-3月累计同比变化情况</w:t>
      </w:r>
    </w:p>
    <w:p>
      <w:pPr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24条河流51个断面中，水质累计同比下降断面3个，分别为：沮漳河荆州河口断面水质由去年同期</w:t>
      </w:r>
      <w:r>
        <w:rPr>
          <w:rFonts w:hint="eastAsia" w:ascii="宋体" w:hAnsi="宋体" w:eastAsia="宋体" w:cs="宋体"/>
          <w:sz w:val="32"/>
          <w:szCs w:val="32"/>
        </w:rPr>
        <w:t>Ⅱ</w:t>
      </w:r>
      <w:r>
        <w:rPr>
          <w:rFonts w:hint="eastAsia" w:ascii="仿宋_GB2312" w:hAnsi="Times New Roman" w:eastAsia="仿宋_GB2312" w:cs="Times New Roman"/>
          <w:sz w:val="32"/>
          <w:szCs w:val="32"/>
        </w:rPr>
        <w:t>类下降至Ⅲ类；柏临河土门大桥断面水质由去年同期</w:t>
      </w:r>
      <w:r>
        <w:rPr>
          <w:rFonts w:hint="eastAsia" w:ascii="宋体" w:hAnsi="宋体" w:eastAsia="宋体" w:cs="宋体"/>
          <w:sz w:val="32"/>
          <w:szCs w:val="32"/>
        </w:rPr>
        <w:t>Ⅱ</w:t>
      </w:r>
      <w:r>
        <w:rPr>
          <w:rFonts w:hint="eastAsia" w:ascii="仿宋_GB2312" w:hAnsi="Times New Roman" w:eastAsia="仿宋_GB2312" w:cs="Times New Roman"/>
          <w:sz w:val="32"/>
          <w:szCs w:val="32"/>
        </w:rPr>
        <w:t>类下降至Ⅲ类；联棚河红光二桥断面水质由去年同期</w:t>
      </w:r>
      <w:r>
        <w:rPr>
          <w:rFonts w:hint="eastAsia" w:ascii="宋体" w:hAnsi="宋体" w:eastAsia="宋体" w:cs="Times New Roman"/>
          <w:sz w:val="32"/>
          <w:szCs w:val="32"/>
        </w:rPr>
        <w:t>Ⅲ类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下降至</w:t>
      </w:r>
      <w:r>
        <w:rPr>
          <w:rFonts w:hint="eastAsia" w:ascii="宋体" w:hAnsi="宋体" w:eastAsia="宋体" w:cs="Times New Roman"/>
          <w:sz w:val="32"/>
          <w:szCs w:val="32"/>
        </w:rPr>
        <w:t>Ⅴ</w:t>
      </w:r>
      <w:r>
        <w:rPr>
          <w:rFonts w:hint="eastAsia" w:ascii="仿宋_GB2312" w:hAnsi="Times New Roman" w:eastAsia="仿宋_GB2312" w:cs="Times New Roman"/>
          <w:sz w:val="32"/>
          <w:szCs w:val="32"/>
        </w:rPr>
        <w:t>类。</w:t>
      </w:r>
    </w:p>
    <w:p>
      <w:pPr>
        <w:spacing w:line="56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（三）部分河流断面水质未达标情况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24条河流51个监测断面中，有2条河流3个断面存在超标情况，分别为：运河（铁路桥下和万寿桥断面）和沮漳河（荆州河口断面）。 </w:t>
      </w:r>
    </w:p>
    <w:p>
      <w:pPr>
        <w:spacing w:before="156" w:beforeLines="50" w:after="156" w:afterLines="50" w:line="560" w:lineRule="exact"/>
        <w:ind w:firstLine="640" w:firstLineChars="200"/>
        <w:jc w:val="left"/>
        <w:outlineLvl w:val="1"/>
        <w:rPr>
          <w:rFonts w:ascii="黑体" w:hAnsi="Times New Roman" w:eastAsia="黑体" w:cs="Times New Roman"/>
          <w:sz w:val="32"/>
          <w:szCs w:val="32"/>
        </w:rPr>
      </w:pPr>
      <w:bookmarkStart w:id="42" w:name="_Toc101862926"/>
      <w:bookmarkStart w:id="43" w:name="_Toc132623318"/>
      <w:bookmarkStart w:id="44" w:name="_Toc113969598"/>
      <w:bookmarkStart w:id="45" w:name="_Toc127956142"/>
      <w:bookmarkStart w:id="46" w:name="_Toc110866542"/>
      <w:r>
        <w:rPr>
          <w:rFonts w:hint="eastAsia" w:ascii="黑体" w:hAnsi="Times New Roman" w:eastAsia="黑体" w:cs="Times New Roman"/>
          <w:sz w:val="32"/>
          <w:szCs w:val="32"/>
        </w:rPr>
        <w:t>二、3月省跨界断面水质监测情况</w:t>
      </w:r>
      <w:bookmarkEnd w:id="42"/>
      <w:bookmarkEnd w:id="43"/>
      <w:bookmarkEnd w:id="44"/>
      <w:bookmarkEnd w:id="45"/>
      <w:bookmarkEnd w:id="46"/>
    </w:p>
    <w:p>
      <w:pPr>
        <w:spacing w:line="56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按照《湖北省长江流域跨界断面水质考核办法（修订版）》要求，我市有7个跨界断面中只有沮漳河荆州河口1个断面超标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ascii="黑体" w:hAnsi="黑体" w:eastAsia="黑体" w:cs="Times New Roman"/>
          <w:sz w:val="32"/>
          <w:szCs w:val="32"/>
        </w:rPr>
      </w:pPr>
      <w:bookmarkStart w:id="47" w:name="_Toc127956143"/>
      <w:bookmarkStart w:id="48" w:name="_Toc113969599"/>
      <w:bookmarkStart w:id="49" w:name="_Toc132623319"/>
      <w:r>
        <w:rPr>
          <w:rFonts w:hint="eastAsia" w:ascii="黑体" w:hAnsi="黑体" w:eastAsia="黑体" w:cs="Times New Roman"/>
          <w:sz w:val="32"/>
          <w:szCs w:val="32"/>
        </w:rPr>
        <w:t>三、3月城区饮用水源地水质现状</w:t>
      </w:r>
      <w:bookmarkEnd w:id="47"/>
      <w:bookmarkEnd w:id="48"/>
      <w:bookmarkEnd w:id="49"/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2023年3月，对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城区4个饮用水源地水质进行手工监测，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城区水源地取水量合计1085.7297万吨，水源地水质均达到或优于《地表水环境质量标准》（GB3838-2002）Ⅲ类标准，水源地水质达标比例和水量达标比例均为100.0%。</w:t>
      </w:r>
      <w:r>
        <w:rPr>
          <w:rFonts w:hint="eastAsia" w:ascii="仿宋_GB2312" w:hAnsi="宋体" w:eastAsia="仿宋_GB2312" w:cs="宋体"/>
          <w:sz w:val="32"/>
          <w:szCs w:val="32"/>
        </w:rPr>
        <w:t>监测结果详见附表</w:t>
      </w:r>
      <w:r>
        <w:rPr>
          <w:rFonts w:ascii="仿宋_GB2312" w:hAnsi="宋体" w:eastAsia="仿宋_GB2312" w:cs="宋体"/>
          <w:sz w:val="32"/>
          <w:szCs w:val="32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</w:t>
      </w:r>
    </w:p>
    <w:p>
      <w:pPr>
        <w:tabs>
          <w:tab w:val="left" w:pos="692"/>
        </w:tabs>
        <w:spacing w:before="312" w:beforeLines="100" w:line="460" w:lineRule="exact"/>
        <w:ind w:firstLine="640" w:firstLineChars="200"/>
        <w:outlineLvl w:val="1"/>
        <w:rPr>
          <w:rFonts w:ascii="黑体" w:hAnsi="黑体" w:eastAsia="黑体" w:cs="Times New Roman"/>
          <w:sz w:val="32"/>
          <w:szCs w:val="32"/>
        </w:rPr>
      </w:pPr>
      <w:bookmarkStart w:id="50" w:name="_Toc132623320"/>
      <w:bookmarkStart w:id="51" w:name="_Toc110866544"/>
      <w:r>
        <w:rPr>
          <w:rFonts w:hint="eastAsia" w:ascii="黑体" w:hAnsi="黑体" w:eastAsia="黑体" w:cs="Times New Roman"/>
          <w:sz w:val="32"/>
          <w:szCs w:val="32"/>
        </w:rPr>
        <w:t>四、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黑体" w:hAnsi="黑体" w:eastAsia="黑体" w:cs="Times New Roman"/>
          <w:sz w:val="32"/>
          <w:szCs w:val="32"/>
        </w:rPr>
        <w:t>3月</w:t>
      </w:r>
      <w:r>
        <w:rPr>
          <w:rFonts w:hint="eastAsia" w:ascii="黑体" w:hAnsi="黑体" w:eastAsia="黑体" w:cs="Times New Roman"/>
          <w:sz w:val="32"/>
          <w:szCs w:val="32"/>
        </w:rPr>
        <w:t>水质自动站监测情况</w:t>
      </w:r>
      <w:bookmarkEnd w:id="50"/>
      <w:bookmarkEnd w:id="51"/>
    </w:p>
    <w:p>
      <w:pPr>
        <w:tabs>
          <w:tab w:val="left" w:pos="692"/>
        </w:tabs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2" w:name="_Hlk36557277"/>
      <w:r>
        <w:rPr>
          <w:rFonts w:hint="eastAsia" w:ascii="仿宋_GB2312" w:hAnsi="Times New Roman" w:eastAsia="仿宋_GB2312" w:cs="Times New Roman"/>
          <w:sz w:val="32"/>
          <w:szCs w:val="32"/>
        </w:rPr>
        <w:t>2023年</w:t>
      </w:r>
      <w:r>
        <w:rPr>
          <w:rFonts w:ascii="仿宋_GB2312" w:hAnsi="Times New Roman" w:eastAsia="仿宋_GB2312" w:cs="Times New Roman"/>
          <w:sz w:val="32"/>
          <w:szCs w:val="32"/>
        </w:rPr>
        <w:t>3月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考核宜昌市国控9个、长江经济带6个、省控九畹溪河口和市控水源地善溪冲水库、官庄水库共计1</w:t>
      </w:r>
      <w:r>
        <w:rPr>
          <w:rFonts w:ascii="仿宋_GB2312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个水质自动监测站监测情况如下：各水质自动监测站月均值均达标；水质现状</w:t>
      </w:r>
      <w:r>
        <w:rPr>
          <w:rFonts w:ascii="仿宋_GB2312" w:hAnsi="Times New Roman" w:eastAsia="仿宋_GB2312" w:cs="Times New Roman"/>
          <w:sz w:val="32"/>
          <w:szCs w:val="32"/>
        </w:rPr>
        <w:t>均为优（Ⅰ类或Ⅱ类）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；水质日均值达标率除马勒坡日均值达标率为</w:t>
      </w:r>
      <w:r>
        <w:rPr>
          <w:rFonts w:ascii="仿宋_GB2312" w:hAnsi="Times New Roman" w:eastAsia="仿宋_GB2312" w:cs="Times New Roman"/>
          <w:sz w:val="32"/>
          <w:szCs w:val="32"/>
        </w:rPr>
        <w:t>67.7</w:t>
      </w:r>
      <w:r>
        <w:rPr>
          <w:rFonts w:hint="eastAsia" w:ascii="仿宋_GB2312" w:hAnsi="Times New Roman" w:eastAsia="仿宋_GB2312" w:cs="Times New Roman"/>
          <w:sz w:val="32"/>
          <w:szCs w:val="32"/>
        </w:rPr>
        <w:t>%外，其余1</w:t>
      </w:r>
      <w:r>
        <w:rPr>
          <w:rFonts w:ascii="仿宋_GB2312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个水质自动监测站均为1</w:t>
      </w:r>
      <w:r>
        <w:rPr>
          <w:rFonts w:ascii="仿宋_GB2312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.0%。具体监测情况详见附表9。</w:t>
      </w:r>
    </w:p>
    <w:bookmarkEnd w:id="52"/>
    <w:p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表</w:t>
      </w:r>
      <w:r>
        <w:rPr>
          <w:rFonts w:ascii="黑体" w:hAnsi="黑体" w:eastAsia="黑体" w:cs="Times New Roman"/>
          <w:sz w:val="30"/>
          <w:szCs w:val="30"/>
        </w:rPr>
        <w:t xml:space="preserve">7  </w:t>
      </w:r>
      <w:r>
        <w:rPr>
          <w:rFonts w:hint="eastAsia" w:ascii="黑体" w:hAnsi="黑体" w:eastAsia="黑体" w:cs="Times New Roman"/>
          <w:sz w:val="30"/>
          <w:szCs w:val="30"/>
        </w:rPr>
        <w:t>202</w:t>
      </w:r>
      <w:r>
        <w:rPr>
          <w:rFonts w:ascii="黑体" w:hAnsi="黑体" w:eastAsia="黑体" w:cs="Times New Roman"/>
          <w:sz w:val="30"/>
          <w:szCs w:val="30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年3月宜昌市主要河流断面水质监测类别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1-3月累计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氨氮（0.25）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氨氮（2.13）、总磷（0.60）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向家河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县控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化学需氧量（0.08）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当阳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劣Ⅴ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Ⅴ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明显下降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4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伍家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岗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Ⅳ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Ⅱ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</w:tbl>
    <w:p>
      <w:pPr>
        <w:spacing w:before="156" w:beforeLines="50" w:after="156" w:afterLines="50" w:line="560" w:lineRule="exact"/>
        <w:rPr>
          <w:rFonts w:ascii="黑体" w:hAnsi="黑体" w:eastAsia="黑体"/>
          <w:sz w:val="30"/>
          <w:szCs w:val="30"/>
        </w:rPr>
        <w:sectPr>
          <w:pgSz w:w="16838" w:h="11906" w:orient="landscape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表</w:t>
      </w:r>
      <w:r>
        <w:rPr>
          <w:rFonts w:ascii="黑体" w:hAnsi="黑体" w:eastAsia="黑体" w:cs="Times New Roman"/>
          <w:sz w:val="30"/>
          <w:szCs w:val="30"/>
        </w:rPr>
        <w:t xml:space="preserve">8  </w:t>
      </w:r>
      <w:r>
        <w:rPr>
          <w:rFonts w:hint="eastAsia" w:ascii="黑体" w:hAnsi="黑体" w:eastAsia="黑体" w:cs="Times New Roman"/>
          <w:sz w:val="30"/>
          <w:szCs w:val="30"/>
        </w:rPr>
        <w:t>2023年3月宜昌市城区饮用水源地水质类别</w:t>
      </w:r>
    </w:p>
    <w:tbl>
      <w:tblPr>
        <w:tblStyle w:val="3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Ⅱ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893.3644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Ⅱ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2.8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Ⅱ</w:t>
            </w:r>
            <w:r>
              <w:rPr>
                <w:rFonts w:ascii="仿宋_GB2312" w:hAnsi="Times New Roman" w:eastAsia="仿宋_GB2312" w:cs="Times New Roman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189.5653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</w:tbl>
    <w:p>
      <w:pPr>
        <w:tabs>
          <w:tab w:val="left" w:pos="692"/>
        </w:tabs>
        <w:jc w:val="left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>备注：窑湾水厂水源地为备用水源地。</w:t>
      </w:r>
    </w:p>
    <w:p>
      <w:pPr>
        <w:tabs>
          <w:tab w:val="left" w:pos="692"/>
        </w:tabs>
        <w:spacing w:before="156" w:beforeLines="50"/>
        <w:jc w:val="left"/>
        <w:rPr>
          <w:rFonts w:ascii="仿宋_GB2312" w:hAnsi="Times New Roman" w:eastAsia="仿宋_GB2312" w:cs="Times New Roman"/>
          <w:kern w:val="0"/>
          <w:szCs w:val="21"/>
        </w:rPr>
      </w:pPr>
    </w:p>
    <w:p>
      <w:pPr>
        <w:widowControl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br w:type="page"/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0"/>
          <w:szCs w:val="30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9  </w:t>
      </w:r>
      <w:r>
        <w:rPr>
          <w:rFonts w:hint="eastAsia" w:ascii="黑体" w:hAnsi="黑体" w:eastAsia="黑体" w:cs="黑体"/>
          <w:w w:val="99"/>
          <w:sz w:val="32"/>
          <w:szCs w:val="32"/>
        </w:rPr>
        <w:t>2023年</w:t>
      </w:r>
      <w:r>
        <w:rPr>
          <w:rFonts w:ascii="黑体" w:hAnsi="黑体" w:eastAsia="黑体" w:cs="黑体"/>
          <w:w w:val="99"/>
          <w:sz w:val="32"/>
          <w:szCs w:val="32"/>
        </w:rPr>
        <w:t>3月</w:t>
      </w:r>
      <w:r>
        <w:rPr>
          <w:rFonts w:hint="eastAsia" w:ascii="黑体" w:hAnsi="黑体" w:eastAsia="黑体" w:cs="黑体"/>
          <w:w w:val="99"/>
          <w:sz w:val="32"/>
          <w:szCs w:val="32"/>
        </w:rPr>
        <w:t>宜昌市水质自动站监测情况</w:t>
      </w:r>
    </w:p>
    <w:tbl>
      <w:tblPr>
        <w:tblStyle w:val="3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94"/>
        <w:gridCol w:w="601"/>
        <w:gridCol w:w="728"/>
        <w:gridCol w:w="1179"/>
        <w:gridCol w:w="738"/>
        <w:gridCol w:w="738"/>
        <w:gridCol w:w="677"/>
        <w:gridCol w:w="655"/>
        <w:gridCol w:w="591"/>
        <w:gridCol w:w="1463"/>
        <w:gridCol w:w="953"/>
        <w:gridCol w:w="1659"/>
        <w:gridCol w:w="1250"/>
        <w:gridCol w:w="1451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4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9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6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72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17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9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442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9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0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51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8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9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7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7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7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67.7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氨氮(0.2)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0.6</w:t>
            </w:r>
          </w:p>
        </w:tc>
        <w:tc>
          <w:tcPr>
            <w:tcW w:w="134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上游施工；水流量与流速明显下降，水体自净能力下降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6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(0.01-0.42)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0.101-0.142</w:t>
            </w:r>
          </w:p>
        </w:tc>
        <w:tc>
          <w:tcPr>
            <w:tcW w:w="134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17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18</w:t>
            </w:r>
          </w:p>
        </w:tc>
        <w:tc>
          <w:tcPr>
            <w:tcW w:w="59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湖库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猇亭区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2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19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9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仿宋_GB2312"/>
        </w:rPr>
      </w:pPr>
      <w:r>
        <w:rPr>
          <w:rFonts w:hint="eastAsia" w:ascii="仿宋_GB2312" w:hAnsi="Times New Roman" w:eastAsia="仿宋_GB2312" w:cs="仿宋_GB2312"/>
        </w:rPr>
        <w:t>备注：</w:t>
      </w:r>
      <w:r>
        <w:rPr>
          <w:rFonts w:ascii="仿宋_GB2312" w:hAnsi="Times New Roman" w:eastAsia="仿宋_GB2312" w:cs="仿宋_GB2312"/>
        </w:rPr>
        <w:t>数据源于省网水质自动监测数据，评价结果仅供参考</w:t>
      </w:r>
      <w:r>
        <w:rPr>
          <w:rFonts w:hint="eastAsia" w:ascii="仿宋_GB2312" w:hAnsi="Times New Roman" w:eastAsia="仿宋_GB2312" w:cs="仿宋_GB2312"/>
        </w:rPr>
        <w:t>，</w:t>
      </w:r>
      <w:r>
        <w:rPr>
          <w:rFonts w:ascii="仿宋_GB2312" w:hAnsi="Times New Roman" w:eastAsia="仿宋_GB2312" w:cs="仿宋_GB2312"/>
        </w:rPr>
        <w:t>实际评价结果以国家网水质</w:t>
      </w:r>
      <w:r>
        <w:rPr>
          <w:rFonts w:hint="eastAsia" w:ascii="仿宋_GB2312" w:hAnsi="Times New Roman" w:eastAsia="仿宋_GB2312" w:cs="仿宋_GB2312"/>
        </w:rPr>
        <w:t>平台公布</w:t>
      </w:r>
      <w:r>
        <w:rPr>
          <w:rFonts w:ascii="仿宋_GB2312" w:hAnsi="Times New Roman" w:eastAsia="仿宋_GB2312" w:cs="仿宋_GB2312"/>
        </w:rPr>
        <w:t>为准。</w:t>
      </w:r>
    </w:p>
    <w:p>
      <w:pPr>
        <w:widowControl/>
        <w:jc w:val="left"/>
        <w:rPr>
          <w:rFonts w:ascii="仿宋_GB2312" w:hAnsi="Times New Roman" w:eastAsia="仿宋_GB2312" w:cs="仿宋_GB2312"/>
        </w:rPr>
      </w:pPr>
    </w:p>
    <w:p>
      <w:bookmarkStart w:id="53" w:name="_GoBack"/>
      <w:bookmarkEnd w:id="53"/>
    </w:p>
    <w:sectPr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3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>
    <w:pPr>
      <w:rPr>
        <w:rFonts w:ascii="Times New Roman" w:hAnsi="Times New Roman" w:eastAsia="宋体" w:cs="Times New Roman"/>
      </w:rPr>
    </w:pPr>
  </w:p>
  <w:p>
    <w:pPr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18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33362505"/>
    <w:rsid w:val="37B767DF"/>
    <w:rsid w:val="452A5386"/>
    <w:rsid w:val="49B36B27"/>
    <w:rsid w:val="5CC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2894</Words>
  <Characters>3362</Characters>
  <Lines>0</Lines>
  <Paragraphs>0</Paragraphs>
  <TotalTime>0</TotalTime>
  <ScaleCrop>false</ScaleCrop>
  <LinksUpToDate>false</LinksUpToDate>
  <CharactersWithSpaces>3372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2023-02-20T02:43:00Z</dcterms:created>
  <dc:creator>Administrator</dc:creator>
  <cp:lastModifiedBy>꽃이 피다, 천천</cp:lastModifiedBy>
  <dcterms:modified xsi:type="dcterms:W3CDTF">2023-04-24T07:30:30Z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7483B301BDF44BEDA2B71121C858FF80</vt:lpwstr>
  </property>
</Properties>
</file>