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300" w:line="420" w:lineRule="atLeast"/>
        <w:jc w:val="center"/>
        <w:rPr>
          <w:rFonts w:ascii="微软雅黑" w:hAnsi="微软雅黑" w:eastAsia="微软雅黑" w:cs="宋体"/>
          <w:color w:val="auto"/>
          <w:kern w:val="0"/>
          <w:sz w:val="32"/>
          <w:szCs w:val="32"/>
        </w:rPr>
      </w:pPr>
      <w:r>
        <w:rPr>
          <w:rFonts w:hint="eastAsia" w:asciiTheme="minorEastAsia" w:hAnsiTheme="minorEastAsia" w:eastAsiaTheme="minorEastAsia" w:cstheme="minorEastAsia"/>
          <w:color w:val="auto"/>
          <w:kern w:val="0"/>
          <w:sz w:val="21"/>
          <w:szCs w:val="21"/>
        </w:rPr>
        <w:drawing>
          <wp:anchor distT="0" distB="0" distL="114300" distR="114300" simplePos="0" relativeHeight="251664384"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2" name="图片 12"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12"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3360"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1" name="图片 11"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2336"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0" name="图片 10"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1312"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9" name="图片 9"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0288"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8" name="图片 8"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59264" behindDoc="0" locked="0" layoutInCell="1" allowOverlap="1">
            <wp:simplePos x="0" y="0"/>
            <wp:positionH relativeFrom="column">
              <wp:posOffset>4401185</wp:posOffset>
            </wp:positionH>
            <wp:positionV relativeFrom="paragraph">
              <wp:posOffset>-325120</wp:posOffset>
            </wp:positionV>
            <wp:extent cx="1443990" cy="1440180"/>
            <wp:effectExtent l="173990" t="270510" r="306070" b="118110"/>
            <wp:wrapNone/>
            <wp:docPr id="1" name="图片 1"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f72e344d933e05adf625489931fc752"/>
                    <pic:cNvPicPr>
                      <a:picLocks noChangeAspect="true"/>
                    </pic:cNvPicPr>
                  </pic:nvPicPr>
                  <pic:blipFill>
                    <a:blip r:embed="rId5"/>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7456"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5" name="图片 15"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5"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6432"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4" name="图片 14"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14"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Theme="minorEastAsia" w:hAnsiTheme="minorEastAsia" w:eastAsiaTheme="minorEastAsia" w:cstheme="minorEastAsia"/>
          <w:color w:val="auto"/>
          <w:kern w:val="0"/>
          <w:sz w:val="21"/>
          <w:szCs w:val="21"/>
        </w:rPr>
        <w:drawing>
          <wp:anchor distT="0" distB="0" distL="114300" distR="114300" simplePos="0" relativeHeight="251665408" behindDoc="0" locked="0" layoutInCell="1" allowOverlap="1">
            <wp:simplePos x="0" y="0"/>
            <wp:positionH relativeFrom="column">
              <wp:posOffset>4401185</wp:posOffset>
            </wp:positionH>
            <wp:positionV relativeFrom="paragraph">
              <wp:posOffset>-325120</wp:posOffset>
            </wp:positionV>
            <wp:extent cx="1443990" cy="1440180"/>
            <wp:effectExtent l="0" t="0" r="0" b="0"/>
            <wp:wrapNone/>
            <wp:docPr id="13" name="图片 13" descr="f72e344d933e05adf625489931fc75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13" descr="f72e344d933e05adf625489931fc752"/>
                    <pic:cNvPicPr>
                      <a:picLocks noChangeAspect="true"/>
                    </pic:cNvPicPr>
                  </pic:nvPicPr>
                  <pic:blipFill>
                    <a:blip r:embed="rId4"/>
                    <a:stretch>
                      <a:fillRect/>
                    </a:stretch>
                  </pic:blipFill>
                  <pic:spPr>
                    <a:xfrm rot="19380000">
                      <a:off x="0" y="0"/>
                      <a:ext cx="1443990" cy="1440180"/>
                    </a:xfrm>
                    <a:prstGeom prst="rect">
                      <a:avLst/>
                    </a:prstGeom>
                  </pic:spPr>
                </pic:pic>
              </a:graphicData>
            </a:graphic>
          </wp:anchor>
        </w:drawing>
      </w:r>
      <w:r>
        <w:rPr>
          <w:rFonts w:hint="eastAsia" w:ascii="微软雅黑" w:hAnsi="微软雅黑" w:eastAsia="微软雅黑" w:cs="宋体"/>
          <w:color w:val="auto"/>
          <w:kern w:val="0"/>
          <w:sz w:val="32"/>
          <w:szCs w:val="32"/>
        </w:rPr>
        <w:t>宜昌市农业小微课题“揭榜挂帅”需求征集信息表</w:t>
      </w:r>
    </w:p>
    <w:tbl>
      <w:tblPr>
        <w:tblStyle w:val="3"/>
        <w:tblW w:w="8864" w:type="dxa"/>
        <w:tblInd w:w="-54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2070"/>
        <w:gridCol w:w="2550"/>
        <w:gridCol w:w="2250"/>
        <w:gridCol w:w="199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10"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申请单位</w:t>
            </w: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枝江市仙女峰柑橘专业合作社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统一社会信用代码</w:t>
            </w: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93420583MA4CYWAE6Q</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90"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联 系 人</w:t>
            </w:r>
          </w:p>
        </w:tc>
        <w:tc>
          <w:tcPr>
            <w:tcW w:w="255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胡忠</w:t>
            </w:r>
            <w:r>
              <w:rPr>
                <w:rFonts w:hint="eastAsia" w:asciiTheme="minorEastAsia" w:hAnsiTheme="minorEastAsia" w:eastAsiaTheme="minorEastAsia" w:cstheme="minorEastAsia"/>
                <w:color w:val="auto"/>
                <w:kern w:val="0"/>
                <w:sz w:val="21"/>
                <w:szCs w:val="21"/>
                <w:lang w:eastAsia="zh-CN"/>
              </w:rPr>
              <w:t>华</w:t>
            </w:r>
          </w:p>
        </w:tc>
        <w:tc>
          <w:tcPr>
            <w:tcW w:w="225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联系电话</w:t>
            </w:r>
          </w:p>
        </w:tc>
        <w:tc>
          <w:tcPr>
            <w:tcW w:w="1994"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18571023123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需求名称</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晚熟柑橘果实在枝江越冬试验研究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bookmarkStart w:id="0" w:name="_GoBack" w:colFirst="1" w:colLast="3"/>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单位基本情况</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一、仙女峰柑桔合作社基本情况</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枝江市仙女峰柑桔专业合作社位于枝江市仙女镇余家冲村，2019年流转土地1500亩开始建设，基地现有柑橘种植面积1200亩，栽植品种及面积是：①纽荷尔脐橙500亩，②春见杂柑400亩，③早熟温州蜜柑200亩，④爱媛28杂柑50亩，⑤伦晚脐橙20亩，其它品种30亩。全园建成水肥一体化设施，柑桔种植大棚12个4000平方米，千吨冷库一个。</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二、经济效益预测</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2023年柑橘产量及经济效益预测：①纽荷尔脐橙500亩，500吨，200万元；②春见400亩，400吨，400万元，③早熟温州蜜柑200亩，300吨，60万元④爱媛28杂柑50亩，25吨，⑤伦晚脐橙20亩，10吨，其它柑橘品种30亩。预计2023年总产值700万元，纯收入300万元。</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2024年柑橘产量及经济效益预测：①纽荷尔脐橙500亩，1000吨，400万元；②春见400亩，800吨，800万元，③早熟温州蜜柑200亩，600吨，120万元，④爱媛28杂柑50亩，50吨，⑤伦晚脐橙20亩，20吨，其它柑橘品种30亩。预计2024年总产值1500万元，纯收入600万元。助力推动枝江市柑橘产业发展。</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2025年及以后仙女峰柑桔专业合作社每年的经济效益稳定在1500万元以上。</w:t>
            </w:r>
          </w:p>
          <w:p>
            <w:pPr>
              <w:keepNext w:val="0"/>
              <w:keepLines w:val="0"/>
              <w:pageBreakBefore w:val="0"/>
              <w:widowControl/>
              <w:kinsoku/>
              <w:wordWrap w:val="0"/>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三、社会效益、生态效益分析</w:t>
            </w:r>
          </w:p>
          <w:p>
            <w:pPr>
              <w:keepNext w:val="0"/>
              <w:keepLines w:val="0"/>
              <w:pageBreakBefore w:val="0"/>
              <w:widowControl/>
              <w:kinsoku/>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土地流转户每亩年增加稳定收入300元，惠及周边三个村100余户村民，帮扶基地周边18户贫困户脱贫致富，为30多个村民提供就地就业机会，为仙女镇余家冲村村集体经济每年增加收入10万元。通过柑桔园高标准现代化建设，用新品种新技术带动周边桔农提质增效，通过生草栽培绿色防控、道路建设，美化环境发展休闲观光采摘农业，打造新的乡村旅游景点。成为枝江市休闲观光生态环保和乡村旅游农业的示范基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965"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问题(需求)描述</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pStyle w:val="2"/>
              <w:shd w:val="clear" w:color="auto" w:fill="FFFFFF"/>
              <w:spacing w:before="0" w:beforeAutospacing="0" w:after="0" w:afterAutospacing="0"/>
              <w:ind w:firstLine="48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 一、合作社晚熟柑橘果实在枝江越冬试验研究需求提出背景及研究的意义</w:t>
            </w:r>
          </w:p>
          <w:p>
            <w:pPr>
              <w:pStyle w:val="2"/>
              <w:shd w:val="clear" w:color="auto" w:fill="FFFFFF"/>
              <w:spacing w:before="0" w:beforeAutospacing="0" w:after="0" w:afterAutospacing="0"/>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晚熟柑橘是柑橘的品种之一，在第一年春季开花，第二年春夏季节果实成熟采摘。在枝江柑橘种植区，极端冻害一般发生在一月份，对晚熟柑橘生产会造成了不同程度的影响，损伤柑橘树体，越冬果实冻害脱落，直接影响柑农的经济收入。为此，要结合冻害发生的规律研究越冬保果管理技术和防控技术，减少冻害对果实所造成的影响。</w:t>
            </w:r>
          </w:p>
          <w:p>
            <w:pPr>
              <w:pStyle w:val="2"/>
              <w:shd w:val="clear" w:color="auto" w:fill="FFFFFF"/>
              <w:spacing w:before="0" w:beforeAutospacing="0" w:after="0" w:afterAutospacing="0"/>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1.仙女峰柑桔专业合作社基地现有晚熟柑橘：春见、爱媛28和伦晚脐橙，果实成熟期在第二年2月份至5月份，枝江市每年冬季的最低温度在-2℃—-5℃，有时可以超过-5℃，这样的低温对晚熟柑橘果实越冬十分不利，轻者会影响果实的品质，严重时会导致果实受冻落果，降低柑橘产量，降低经济效益。枝江市现有晚熟柑橘面积不大，主要原因是冬季低温冻害问题，为了研究这些晚熟柑橘果实安全越冬，客观上需要研究安全越冬方法，提高枝江晚熟柑橘栽培面积，科学进行成熟期调整。为枝江晚熟柑橘产业发展提供理论和实践指导。</w:t>
            </w:r>
          </w:p>
          <w:p>
            <w:pPr>
              <w:pStyle w:val="2"/>
              <w:shd w:val="clear" w:color="auto" w:fill="FFFFFF"/>
              <w:spacing w:before="0" w:beforeAutospacing="0" w:after="0" w:afterAutospacing="0"/>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2.因为晚熟柑橘果实通过防治方法的研究，果实度过严寒冬季，在第二年春夏季节成熟采摘，可以填补春夏新鲜柑橘果实空白，又有一个好价格，可以显著提高经济效益。</w:t>
            </w:r>
          </w:p>
          <w:p>
            <w:pPr>
              <w:widowControl/>
              <w:shd w:val="clear" w:color="auto" w:fill="FFFFFF"/>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3.为了找到晚熟柑橘果实越冬的有效方法和措施，我们迫切需要有关单位和专家在基地开展晚熟柑橘果实越冬研究。为合作社乃至枝江市晚熟柑橘果实越冬提供科学实用的技术方案，推动枝江市晚熟柑橘快速发展。</w:t>
            </w:r>
          </w:p>
          <w:p>
            <w:pPr>
              <w:widowControl/>
              <w:shd w:val="clear" w:color="auto" w:fill="FFFFFF"/>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二、晚熟柑橘保果越冬和管理技术分析</w:t>
            </w:r>
          </w:p>
          <w:p>
            <w:pPr>
              <w:widowControl/>
              <w:shd w:val="clear" w:color="auto" w:fill="FFFFFF"/>
              <w:spacing w:line="480" w:lineRule="atLeast"/>
              <w:ind w:firstLine="48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（一）保果设施</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1.大棚保温</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大棚保温设施在晚熟柑橘生长过程中起着非常重要的作用，大棚保温设施可以帮助晚熟品种的柑橘安全过冬，可以提高柑橘果实的品质，但是大棚保温设施的成本较大。</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2.防冻布和农膜覆盖</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防冻布和农膜覆盖是当前比较常见的柑橘保果越冬措施，就是在低温到来之前，先使用药物喷洒树冠，如多菌灵或者甲基硫菌灵杀菌剂，喷洒1～2次，可以有效的预防病虫害，同时提高果实的品质。当温度低于5℃时，利用防冻布或者塑料薄膜覆盖树冠，立支架进行覆盖，或者单株覆盖，减少落果。待来年气温回升之后再解开防冻布和薄膜。</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（二）田园增温度措施</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第一，选择熏烟加溫防霜，冻害来临之前，在傍晚7：00～8：00，熏烟保果，提高晚熟柑橘的抗寒能力。</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第二，选择树干涂白或者包扎的方式进行御寒。选择生石灰石硫合剂涂白剂，对柑橘主干和大枝进行涂刷，也可以在树干外部用稻草包扎，起到保温的效果。</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（三）水肥管理</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除了做好地上部分的保温之外，还要对地下的土壤、肥料和水资源进行有效的管理，保证晚熟柑橘果实能够顺利过冬。在冻害来临之前，柑橘园浇一次透水，并且对树盘进行地膜覆盖，提高土壤的温度，促进根系的生长，提高柑橘树的抗寒能力，减轻落果。</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（四） 喷药保果</w:t>
            </w:r>
          </w:p>
          <w:p>
            <w:pPr>
              <w:widowControl/>
              <w:shd w:val="clear" w:color="auto" w:fill="FFFFFF"/>
              <w:spacing w:line="480" w:lineRule="atLeast"/>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在晚熟柑橘种植的过程中，在枝江会经常零度以下天气，还有大风和大雨天气，为此，可以喷施保果剂保护果实。</w:t>
            </w:r>
          </w:p>
          <w:p>
            <w:pPr>
              <w:widowControl/>
              <w:shd w:val="clear" w:color="auto" w:fill="FFFFFF"/>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晚熟柑橘果实越冬的方法和措施。从而使基地晚熟柑橘种植成功，果实价格每公斤达到5元以上。</w:t>
            </w:r>
          </w:p>
          <w:p>
            <w:pPr>
              <w:widowControl/>
              <w:shd w:val="clear" w:color="auto" w:fill="FFFFFF"/>
              <w:ind w:firstLine="546" w:firstLineChars="260"/>
              <w:jc w:val="left"/>
              <w:rPr>
                <w:rFonts w:hint="eastAsia" w:asciiTheme="minorEastAsia" w:hAnsiTheme="minorEastAsia" w:eastAsiaTheme="minorEastAsia" w:cstheme="minorEastAsia"/>
                <w:color w:val="auto"/>
                <w:kern w:val="0"/>
                <w:sz w:val="21"/>
                <w:szCs w:val="21"/>
                <w:lang w:val="en-US" w:eastAsia="zh-CN" w:bidi="ar-SA"/>
              </w:rPr>
            </w:pPr>
          </w:p>
          <w:p>
            <w:pPr>
              <w:keepNext w:val="0"/>
              <w:keepLines w:val="0"/>
              <w:pageBreakBefore w:val="0"/>
              <w:widowControl/>
              <w:shd w:val="clear" w:color="auto" w:fill="FFFFFF"/>
              <w:kinsoku/>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bidi="ar-SA"/>
              </w:rPr>
              <w:t>四、项目研究形成成果有：公开发表文章一篇，形成研究报告一份。成果由枝江市仙女峰柑桔专业合作社和揭榜挂帅研究单位共同所有。</w:t>
            </w:r>
          </w:p>
        </w:tc>
      </w:tr>
      <w:bookmarkEnd w:id="0"/>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065"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可提供科研条件</w:t>
            </w: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ind w:firstLine="420" w:firstLineChars="200"/>
              <w:jc w:val="both"/>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bidi="ar-SA"/>
              </w:rPr>
              <w:t>枝江市仙女峰柑桔专业合作社提供晚熟柑橘果实越冬研究的场所（柑橘园）、设施（大棚）、药剂（保果和病虫害防治药剂）、设备（水肥一体化、农用器具），并有专职人员参与组织实施。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30"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预算研发投入　</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（万元）</w:t>
            </w:r>
          </w:p>
        </w:tc>
        <w:tc>
          <w:tcPr>
            <w:tcW w:w="255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cstheme="minorEastAsia"/>
                <w:color w:val="auto"/>
                <w:kern w:val="0"/>
                <w:sz w:val="21"/>
                <w:szCs w:val="21"/>
                <w:lang w:val="en-US" w:eastAsia="zh-CN"/>
              </w:rPr>
              <w:t>38</w:t>
            </w:r>
          </w:p>
        </w:tc>
        <w:tc>
          <w:tcPr>
            <w:tcW w:w="225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其中：企业可提供资金</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（万元）</w:t>
            </w:r>
          </w:p>
        </w:tc>
        <w:tc>
          <w:tcPr>
            <w:tcW w:w="1994"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cstheme="minorEastAsia"/>
                <w:color w:val="auto"/>
                <w:kern w:val="0"/>
                <w:sz w:val="21"/>
                <w:szCs w:val="21"/>
                <w:lang w:val="en-US" w:eastAsia="zh-CN"/>
              </w:rPr>
              <w:t>30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47" w:hRule="atLeast"/>
        </w:trPr>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备注</w:t>
            </w:r>
          </w:p>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tc>
        <w:tc>
          <w:tcPr>
            <w:tcW w:w="6794" w:type="dxa"/>
            <w:gridSpan w:val="3"/>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widowControl/>
              <w:kinsoku/>
              <w:wordWrap w:val="0"/>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kern w:val="0"/>
                <w:sz w:val="21"/>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xNGM2M2I0ZDkyZWJjZWNlOGYyZWUwODMzMzYyM2UifQ=="/>
  </w:docVars>
  <w:rsids>
    <w:rsidRoot w:val="0E415557"/>
    <w:rsid w:val="0E415557"/>
    <w:rsid w:val="FE7FE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2023-03-26T08:59:00Z</dcterms:created>
  <dc:creator>果如</dc:creator>
  <cp:lastModifiedBy>greatwall</cp:lastModifiedBy>
  <dcterms:modified xsi:type="dcterms:W3CDTF">2023-04-11T16:02:42Z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2AA8F62E0A404BE196953561206BE574</vt:lpwstr>
  </property>
</Properties>
</file>